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sz w:val="32"/>
        </w:rPr>
        <w:t>外部技术限制下中国企业创新网络重构与自主创新能力提升机制</w:t>
      </w:r>
    </w:p>
    <w:p>
      <w:pPr>
        <w:spacing w:after="240"/>
        <w:jc w:val="center"/>
      </w:pPr>
      <w:r>
        <w:rPr>
          <w:rFonts w:ascii="黑体" w:hAnsi="黑体" w:eastAsia="黑体"/>
          <w:sz w:val="28"/>
        </w:rPr>
        <w:t>——课题论证活页</w:t>
      </w:r>
    </w:p>
    <w:p>
      <w:pPr>
        <w:spacing w:before="240" w:after="120"/>
      </w:pPr>
      <w:r>
        <w:rPr>
          <w:rFonts w:ascii="黑体" w:hAnsi="黑体" w:eastAsia="黑体"/>
          <w:b/>
          <w:sz w:val="28"/>
        </w:rPr>
        <w:t>一、选题说明</w:t>
      </w:r>
    </w:p>
    <w:p>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pPr>
        <w:spacing w:before="240" w:after="120"/>
      </w:pPr>
      <w:r>
        <w:rPr>
          <w:rFonts w:ascii="黑体" w:hAnsi="黑体" w:eastAsia="黑体"/>
          <w:b/>
          <w:sz w:val="28"/>
        </w:rPr>
        <w:t>二、选题依据</w:t>
      </w:r>
    </w:p>
    <w:p>
      <w:pPr>
        <w:spacing w:before="120" w:after="60"/>
      </w:pPr>
      <w:r>
        <w:rPr>
          <w:rFonts w:ascii="黑体" w:hAnsi="黑体" w:eastAsia="黑体"/>
          <w:b/>
          <w:sz w:val="26"/>
        </w:rPr>
        <w:t>（一）现实背景</w:t>
      </w:r>
    </w:p>
    <w:p>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pPr>
        <w:spacing w:before="120" w:after="60"/>
      </w:pPr>
      <w:r>
        <w:rPr>
          <w:rFonts w:ascii="黑体" w:hAnsi="黑体" w:eastAsia="黑体"/>
          <w:b/>
          <w:sz w:val="26"/>
        </w:rPr>
        <w:t>（二）文献梳理</w:t>
      </w:r>
    </w:p>
    <w:p>
      <w:pPr>
        <w:ind w:firstLine="420"/>
      </w:pPr>
      <w:r>
        <w:rPr>
          <w:rFonts w:ascii="宋体" w:hAnsi="宋体" w:eastAsia="宋体"/>
          <w:sz w:val="24"/>
        </w:rPr>
        <w:t>本课题涉及四支文献的交叉：创新网络理论、全球开放创新、供应链与产学研协同创新网络，以及技术脱钩与自主创新的关系。</w:t>
      </w:r>
    </w:p>
    <w:p>
      <w:pPr>
        <w:ind w:firstLine="420"/>
      </w:pPr>
      <w:r>
        <w:rPr>
          <w:rFonts w:ascii="宋体" w:hAnsi="宋体" w:eastAsia="宋体"/>
          <w:sz w:val="24"/>
        </w:rPr>
      </w:r>
      <w:r>
        <w:rPr>
          <w:rFonts w:ascii="宋体" w:hAnsi="宋体" w:eastAsia="宋体"/>
          <w:b/>
          <w:sz w:val="24"/>
        </w:rPr>
        <w:t>1. 创新网络理论的演进</w:t>
      </w:r>
      <w:r>
        <w:rPr>
          <w:rFonts w:ascii="宋体" w:hAnsi="宋体" w:eastAsia="宋体"/>
          <w:sz w:val="24"/>
        </w:rPr>
      </w:r>
    </w:p>
    <w:p>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pPr>
        <w:ind w:firstLine="420"/>
      </w:pPr>
      <w:r>
        <w:rPr>
          <w:rFonts w:ascii="宋体" w:hAnsi="宋体" w:eastAsia="宋体"/>
          <w:sz w:val="24"/>
        </w:rPr>
      </w:r>
      <w:r>
        <w:rPr>
          <w:rFonts w:ascii="宋体" w:hAnsi="宋体" w:eastAsia="宋体"/>
          <w:b/>
          <w:sz w:val="24"/>
        </w:rPr>
        <w:t>2. 全球开放创新网络</w:t>
      </w:r>
      <w:r>
        <w:rPr>
          <w:rFonts w:ascii="宋体" w:hAnsi="宋体" w:eastAsia="宋体"/>
          <w:sz w:val="24"/>
        </w:rPr>
      </w:r>
    </w:p>
    <w:p>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pPr>
        <w:ind w:firstLine="420"/>
      </w:pPr>
      <w:r>
        <w:rPr>
          <w:rFonts w:ascii="宋体" w:hAnsi="宋体" w:eastAsia="宋体"/>
          <w:sz w:val="24"/>
        </w:rPr>
      </w:r>
      <w:r>
        <w:rPr>
          <w:rFonts w:ascii="宋体" w:hAnsi="宋体" w:eastAsia="宋体"/>
          <w:b/>
          <w:sz w:val="24"/>
        </w:rPr>
        <w:t>3. 供应链驱动创新网络与产学研协同创新网络</w:t>
      </w:r>
      <w:r>
        <w:rPr>
          <w:rFonts w:ascii="宋体" w:hAnsi="宋体" w:eastAsia="宋体"/>
          <w:sz w:val="24"/>
        </w:rPr>
      </w:r>
    </w:p>
    <w:p>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pPr>
        <w:ind w:firstLine="420"/>
      </w:pPr>
      <w:r>
        <w:rPr>
          <w:rFonts w:ascii="宋体" w:hAnsi="宋体" w:eastAsia="宋体"/>
          <w:sz w:val="24"/>
        </w:rPr>
      </w:r>
      <w:r>
        <w:rPr>
          <w:rFonts w:ascii="宋体" w:hAnsi="宋体" w:eastAsia="宋体"/>
          <w:b/>
          <w:sz w:val="24"/>
        </w:rPr>
        <w:t>4. 外部技术限制与企业创新</w:t>
      </w:r>
      <w:r>
        <w:rPr>
          <w:rFonts w:ascii="宋体" w:hAnsi="宋体" w:eastAsia="宋体"/>
          <w:sz w:val="24"/>
        </w:rPr>
      </w:r>
    </w:p>
    <w:p>
      <w:pPr>
        <w:ind w:firstLine="420"/>
      </w:pPr>
      <w:r>
        <w:rPr>
          <w:rFonts w:ascii="宋体" w:hAnsi="宋体" w:eastAsia="宋体"/>
          <w:sz w:val="24"/>
        </w:rPr>
        <w:t>出口管制如何影响企业创新？近期文献给出了两幅并不完全重合的图景。</w:t>
      </w:r>
    </w:p>
    <w:p>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与互补——尚未被作为独立问题加以考察。第三，理论机制、实证识别与政策设计之间衔接松散，缺少一个能系统回答"何种网络组合在何种条件下有利于何种核心技术突破"的分析框架。本课题正是围绕这三个缺口展开的。</w:t>
      </w:r>
    </w:p>
    <w:p>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pPr>
        <w:spacing w:before="120" w:after="60"/>
      </w:pPr>
      <w:r>
        <w:rPr>
          <w:rFonts w:ascii="黑体" w:hAnsi="黑体" w:eastAsia="黑体"/>
          <w:b/>
          <w:sz w:val="26"/>
        </w:rPr>
        <w:t>（三）学术价值与应用价值</w:t>
      </w:r>
    </w:p>
    <w:p>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替代与互补关系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pPr>
        <w:spacing w:before="240" w:after="120"/>
      </w:pPr>
      <w:r>
        <w:rPr>
          <w:rFonts w:ascii="黑体" w:hAnsi="黑体" w:eastAsia="黑体"/>
          <w:b/>
          <w:sz w:val="28"/>
        </w:rPr>
        <w:t>三、研究内容</w:t>
      </w:r>
    </w:p>
    <w:p>
      <w:pPr>
        <w:spacing w:before="120" w:after="60"/>
      </w:pPr>
      <w:r>
        <w:rPr>
          <w:rFonts w:ascii="黑体" w:hAnsi="黑体" w:eastAsia="黑体"/>
          <w:b/>
          <w:sz w:val="26"/>
        </w:rPr>
        <w:t>（一）总体框架与目录</w:t>
      </w:r>
    </w:p>
    <w:p>
      <w:pPr>
        <w:ind w:firstLine="420"/>
      </w:pPr>
      <w:r>
        <w:rPr>
          <w:rFonts w:ascii="宋体" w:hAnsi="宋体" w:eastAsia="宋体"/>
          <w:sz w:val="24"/>
        </w:rPr>
        <w:t>本课题以"冲击—网络重构—突破"为主线，构建三阶段分析框架，下设六章。</w:t>
      </w:r>
    </w:p>
    <w:p>
      <w:pPr>
        <w:ind w:firstLine="420"/>
      </w:pPr>
      <w:r>
        <w:rPr>
          <w:rFonts w:ascii="宋体" w:hAnsi="宋体" w:eastAsia="宋体"/>
          <w:sz w:val="24"/>
        </w:rPr>
        <w:t>第一章　导论：研究背景、核心概念与文献基础</w:t>
      </w:r>
    </w:p>
    <w:p>
      <w:pPr>
        <w:ind w:firstLine="420"/>
      </w:pPr>
      <w:r>
        <w:rPr>
          <w:rFonts w:ascii="宋体" w:hAnsi="宋体" w:eastAsia="宋体"/>
          <w:sz w:val="24"/>
        </w:rPr>
        <w:t>第二章　外部技术限制冲击的刻画：实体清单演变的特征事实、冲击的范围与网络扩散格局</w:t>
      </w:r>
    </w:p>
    <w:p>
      <w:pPr>
        <w:ind w:firstLine="420"/>
      </w:pPr>
      <w:r>
        <w:rPr>
          <w:rFonts w:ascii="宋体" w:hAnsi="宋体" w:eastAsia="宋体"/>
          <w:sz w:val="24"/>
        </w:rPr>
        <w:t>第三章　产学研协同创新网络的重构：知识补位与中间转化</w:t>
      </w:r>
    </w:p>
    <w:p>
      <w:pPr>
        <w:ind w:firstLine="420"/>
      </w:pPr>
      <w:r>
        <w:rPr>
          <w:rFonts w:ascii="宋体" w:hAnsi="宋体" w:eastAsia="宋体"/>
          <w:sz w:val="24"/>
        </w:rPr>
        <w:t>第四章　全球开放创新网络的重构：方向性转移与深度替代</w:t>
      </w:r>
    </w:p>
    <w:p>
      <w:pPr>
        <w:ind w:firstLine="420"/>
      </w:pPr>
      <w:r>
        <w:rPr>
          <w:rFonts w:ascii="宋体" w:hAnsi="宋体" w:eastAsia="宋体"/>
          <w:sz w:val="24"/>
        </w:rPr>
        <w:t>第五章　供应链驱动创新网络的重构：关系升级与需求拉动</w:t>
      </w:r>
    </w:p>
    <w:p>
      <w:pPr>
        <w:ind w:firstLine="420"/>
      </w:pPr>
      <w:r>
        <w:rPr>
          <w:rFonts w:ascii="宋体" w:hAnsi="宋体" w:eastAsia="宋体"/>
          <w:sz w:val="24"/>
        </w:rPr>
        <w:t>第六章　网络匹配、替代与核心技术突破：假说检验与政策含义</w:t>
      </w:r>
    </w:p>
    <w:p>
      <w:pPr>
        <w:spacing w:before="120" w:after="60"/>
      </w:pPr>
      <w:r>
        <w:rPr>
          <w:rFonts w:ascii="黑体" w:hAnsi="黑体" w:eastAsia="黑体"/>
          <w:b/>
          <w:sz w:val="26"/>
        </w:rPr>
        <w:t>（二）研究对象与核心概念</w:t>
      </w:r>
    </w:p>
    <w:p>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pPr>
        <w:ind w:firstLine="420"/>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pPr>
        <w:ind w:firstLine="420"/>
      </w:pPr>
      <w:r>
        <w:rPr>
          <w:rFonts w:ascii="宋体" w:hAnsi="宋体" w:eastAsia="宋体"/>
          <w:sz w:val="24"/>
        </w:rPr>
      </w:r>
      <w:r>
        <w:rPr>
          <w:rFonts w:ascii="宋体" w:hAnsi="宋体" w:eastAsia="宋体"/>
          <w:b/>
          <w:sz w:val="24"/>
        </w:rPr>
        <w:t>（1）产学研协同创新网络。</w:t>
      </w:r>
      <w:r>
        <w:rPr>
          <w:rFonts w:ascii="宋体" w:hAnsi="宋体" w:eastAsia="宋体"/>
          <w:sz w:val="24"/>
        </w:rPr>
        <w:t xml:space="preserve"> 这张网承担的是知识创造功能——另两张网替代不了：把大学和科研院所里的科学知识变成企业产线上能用的技术方案。</w:t>
      </w:r>
    </w:p>
    <w:p>
      <w:pPr>
        <w:ind w:firstLine="420"/>
      </w:pPr>
      <w:r>
        <w:rPr>
          <w:rFonts w:ascii="宋体" w:hAnsi="宋体" w:eastAsia="宋体"/>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pPr>
        <w:ind w:firstLine="420"/>
      </w:pPr>
      <w:r>
        <w:rPr>
          <w:rFonts w:ascii="宋体" w:hAnsi="宋体" w:eastAsia="宋体"/>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pPr>
        <w:ind w:firstLine="420"/>
      </w:pPr>
      <w:r>
        <w:rPr>
          <w:rFonts w:ascii="宋体" w:hAnsi="宋体" w:eastAsia="宋体"/>
          <w:sz w:val="24"/>
        </w:rPr>
        <w:t>连接的类型在三张网中最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pPr>
        <w:ind w:firstLine="420"/>
      </w:pPr>
      <w:r>
        <w:rPr>
          <w:rFonts w:ascii="宋体" w:hAnsi="宋体" w:eastAsia="宋体"/>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pPr>
        <w:ind w:firstLine="420"/>
      </w:pPr>
      <w:r>
        <w:rPr>
          <w:rFonts w:ascii="宋体" w:hAnsi="宋体" w:eastAsia="宋体"/>
          <w:sz w:val="24"/>
        </w:rPr>
      </w:r>
      <w:r>
        <w:rPr>
          <w:rFonts w:ascii="宋体" w:hAnsi="宋体" w:eastAsia="宋体"/>
          <w:b/>
          <w:sz w:val="24"/>
        </w:rPr>
        <w:t>（2）全球开放创新网络。</w:t>
      </w:r>
      <w:r>
        <w:rPr>
          <w:rFonts w:ascii="宋体" w:hAnsi="宋体" w:eastAsia="宋体"/>
          <w:sz w:val="24"/>
        </w:rPr>
        <w:t xml:space="preserve"> 这张网的基础定义来自Chesbrough（2003）：企业主动管理跨越组织边界的知识流入与流出。本课题取其跨国维度——中国企业通过与外国供应商、客户、竞争者、大学和独立科研机构等主体的合作获取知识。</w:t>
      </w:r>
    </w:p>
    <w:p>
      <w:pPr>
        <w:ind w:firstLine="420"/>
      </w:pPr>
      <w:r>
        <w:rPr>
          <w:rFonts w:ascii="宋体" w:hAnsi="宋体" w:eastAsia="宋体"/>
          <w:sz w:val="24"/>
        </w:rPr>
        <w:t>这张网最显著的结构特征是节点分布在不同的主权管辖之下。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2015）。所以这张网本身就是三张网里最脆的。</w:t>
      </w:r>
    </w:p>
    <w:p>
      <w:pPr>
        <w:ind w:firstLine="420"/>
      </w:pPr>
      <w:r>
        <w:rPr>
          <w:rFonts w:ascii="宋体" w:hAnsi="宋体" w:eastAsia="宋体"/>
          <w:sz w:val="24"/>
        </w:rPr>
        <w:t>连接形式上，Dahlander和Gann（2010）以入向/出向和金钱/非金钱两个维度划分了四类开放类型。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pPr>
        <w:ind w:firstLine="420"/>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pPr>
        <w:ind w:firstLine="420"/>
      </w:pPr>
      <w:r>
        <w:rPr>
          <w:rFonts w:ascii="宋体" w:hAnsi="宋体" w:eastAsia="宋体"/>
          <w:sz w:val="24"/>
        </w:rPr>
      </w:r>
      <w:r>
        <w:rPr>
          <w:rFonts w:ascii="宋体" w:hAnsi="宋体" w:eastAsia="宋体"/>
          <w:b/>
          <w:sz w:val="24"/>
        </w:rPr>
        <w:t>（3）供应链驱动创新网络。</w:t>
      </w:r>
      <w:r>
        <w:rPr>
          <w:rFonts w:ascii="宋体" w:hAnsi="宋体" w:eastAsia="宋体"/>
          <w:sz w:val="24"/>
        </w:rPr>
        <w:t xml:space="preserve"> 以垂直交易关系为载体的知识传递与创新协同。和全球开放网络的本质区别在于：这张网的知识不来自"买"，而来自"用"——大量技术改进是在配套、调试和迭代交付中磨出来的。</w:t>
      </w:r>
    </w:p>
    <w:p>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pPr>
        <w:ind w:firstLine="420"/>
      </w:pPr>
      <w:r>
        <w:rPr>
          <w:rFonts w:ascii="宋体" w:hAnsi="宋体" w:eastAsia="宋体"/>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这里的知识是制造过程中内生的——区别于产学研连接的关键所在——参数怎么调、良率怎么提、成本怎么降——本身就是创新，不需要经过从科学原理到技术方案的翻译。</w:t>
      </w:r>
    </w:p>
    <w:p>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pPr>
        <w:ind w:firstLine="420"/>
      </w:pPr>
      <w:r>
        <w:rPr>
          <w:rFonts w:ascii="宋体" w:hAnsi="宋体" w:eastAsia="宋体"/>
          <w:sz w:val="24"/>
        </w:rPr>
      </w: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pPr>
        <w:ind w:firstLine="420"/>
      </w:pPr>
      <w:r>
        <w:rPr>
          <w:rFonts w:ascii="宋体" w:hAnsi="宋体" w:eastAsia="宋体"/>
          <w:sz w:val="24"/>
        </w:rPr>
      </w: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pPr>
        <w:spacing w:before="120" w:after="60"/>
      </w:pPr>
      <w:r>
        <w:rPr>
          <w:rFonts w:ascii="黑体" w:hAnsi="黑体" w:eastAsia="黑体"/>
          <w:b/>
          <w:sz w:val="26"/>
        </w:rPr>
        <w:t>（三）三类网络的基本逻辑</w:t>
      </w:r>
    </w:p>
    <w:p>
      <w:pPr>
        <w:ind w:firstLine="420"/>
      </w:pPr>
      <w:r>
        <w:rPr>
          <w:rFonts w:ascii="宋体" w:hAnsi="宋体" w:eastAsia="宋体"/>
          <w:sz w:val="24"/>
        </w:rPr>
        <w:t>选取三类网络并非出于分类便利。从自主创新的知识链条来看，一项核心技术的突破需要经历三个环节：知识创造——从科学原理出发建立技术可能性；知识流动——从外部获取异质性知识并与内部知识组合；知识产品化——在制造过程中将技术方案迭代为可量产、可盈利的产品。这三个环节恰好对应了三张网各自不可替代的功能。</w:t>
      </w:r>
    </w:p>
    <w:p>
      <w:pPr>
        <w:ind w:firstLine="420"/>
      </w:pPr>
      <w:r>
        <w:rPr>
          <w:rFonts w:ascii="宋体" w:hAnsi="宋体" w:eastAsia="宋体"/>
          <w:sz w:val="24"/>
        </w:rPr>
        <w:t>产学研协同创新网络承担的是知识创造。大学和科研院所把科学原理变成可验证的技术方案，解决的是"技术从哪里长出来"的问题。过去这个环节被全球技术采购绕过了——企业直接从国外买已完成工程化的方案，不需要经过从原理到方案的翻译。全球开放创新网络承担的是知识流动。企业在全球范围内搜寻、吸收和组合异质性知识，解决的是"知识从哪里来"的问题。过去三十年，中国企业技术能力的积累沿"引进—消化—吸收—再创新"展开，全球网络就是这个路径的载体。供应链驱动创新网络承担的是知识产品化。大量技术改进不是在实验室完成的，而是在配套、调试和迭代交付中磨出来的——参数怎么调、良率怎么提、成本怎么降，这些制造过程中的经验积累本身就是产品化的核心环节。</w:t>
      </w:r>
    </w:p>
    <w:p>
      <w:pPr>
        <w:ind w:firstLine="420"/>
      </w:pPr>
      <w:r>
        <w:rPr>
          <w:rFonts w:ascii="宋体" w:hAnsi="宋体" w:eastAsia="宋体"/>
          <w:sz w:val="24"/>
        </w:rPr>
        <w:t>在正常条件下，三个环节通过三张网贯通：产学研创造知识，全球网络输送知识，供应链消化知识并完成产品化。环节之间的空隙靠全球采购填补。外部技术限制打断的正是知识流动这个中间环节——全球网络的连接被切断后，知识创造和知识产品化被推到了前台。但这两个环节能否承担起断裂链条的修复——产学研能否从辅助通道升级为知识的主要来源，供应链能否从消化外部知识转向内生性的技术迭代——取决于各自的网络结构条件、核心企业的能力特征，以及网络配置与技术问题类型的匹配。这正是接下来两个假说要回答的。</w:t>
      </w:r>
    </w:p>
    <w:p>
      <w:pPr>
        <w:spacing w:before="120" w:after="60"/>
      </w:pPr>
      <w:r>
        <w:rPr>
          <w:rFonts w:ascii="黑体" w:hAnsi="黑体" w:eastAsia="黑体"/>
          <w:b/>
          <w:sz w:val="26"/>
        </w:rPr>
        <w:t>（四）两个核心假说</w:t>
      </w:r>
    </w:p>
    <w:p>
      <w:pPr>
        <w:ind w:firstLine="420"/>
      </w:pPr>
      <w:r>
        <w:rPr>
          <w:rFonts w:ascii="宋体" w:hAnsi="宋体" w:eastAsia="宋体"/>
          <w:sz w:val="24"/>
        </w:rPr>
      </w: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pPr>
        <w:ind w:firstLine="420"/>
      </w:pPr>
      <w:r>
        <w:rPr>
          <w:rFonts w:ascii="宋体" w:hAnsi="宋体" w:eastAsia="宋体"/>
          <w:sz w:val="24"/>
        </w:rPr>
      </w: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pPr>
        <w:spacing w:before="120" w:after="60"/>
      </w:pPr>
      <w:r>
        <w:rPr>
          <w:rFonts w:ascii="黑体" w:hAnsi="黑体" w:eastAsia="黑体"/>
          <w:b/>
          <w:sz w:val="26"/>
        </w:rPr>
        <w:t>（五）各章核心机制与检验策略</w:t>
      </w:r>
    </w:p>
    <w:p>
      <w:pPr>
        <w:ind w:firstLine="420"/>
      </w:pPr>
      <w:r>
        <w:rPr>
          <w:rFonts w:ascii="宋体" w:hAnsi="宋体" w:eastAsia="宋体"/>
          <w:sz w:val="24"/>
        </w:rPr>
        <w:t>两个假说分别回答"网络配置怎么选"和"受损功能怎么补"的问题。检验假说之前，需要先厘清每张网在冲击下到底发生了什么。第三章至第五章按三张网展开，每章追踪两个方向相反的机制——一个是网络在冲击下被激活的正向重构，一个是网络因条件不足而出现的负向断裂。正向机制揭示网络在什么情况下能成为创新的新通道，负向机制揭示瓶颈在哪里、条件缺了什么。两个假说——匹配决定了哪些技术问题适合哪些网络配置，替代明确了接管受损功能的前提——共同构成了判断正反向在什么条件下发生的分析工具。</w:t>
      </w:r>
    </w:p>
    <w:p>
      <w:pPr>
        <w:spacing w:before="60" w:after="60"/>
      </w:pPr>
      <w:r>
        <w:rPr>
          <w:rFonts w:ascii="黑体" w:hAnsi="黑体" w:eastAsia="黑体"/>
          <w:b/>
          <w:sz w:val="24"/>
        </w:rPr>
        <w:t>第三章：产学研协同创新网络——知识补位与中间转化</w:t>
      </w:r>
    </w:p>
    <w:p>
      <w:pPr>
        <w:ind w:firstLine="420"/>
      </w:pPr>
      <w:r>
        <w:rPr>
          <w:rFonts w:ascii="宋体" w:hAnsi="宋体" w:eastAsia="宋体"/>
          <w:sz w:val="24"/>
        </w:rPr>
        <w:t>产学研网络做的是另两张网都做不了的事：从基础科学原理出发建立原创性技术路径。过去企业通过国际技术采购绕过国内产学研的薄弱环节，外部限制使产学研从可选项变成必选项——但变成必选项不等于自动运转得好。</w:t>
      </w:r>
    </w:p>
    <w:p>
      <w:pPr>
        <w:ind w:firstLine="420"/>
      </w:pPr>
      <w:r>
        <w:rPr>
          <w:rFonts w:ascii="宋体" w:hAnsi="宋体" w:eastAsia="宋体"/>
          <w:sz w:val="24"/>
        </w:rPr>
      </w:r>
      <w:r>
        <w:rPr>
          <w:rFonts w:ascii="宋体" w:hAnsi="宋体" w:eastAsia="宋体"/>
          <w:b/>
          <w:sz w:val="24"/>
        </w:rPr>
        <w:t>正向机制：知识补位。</w:t>
      </w:r>
      <w:r>
        <w:rPr>
          <w:rFonts w:ascii="宋体" w:hAnsi="宋体" w:eastAsia="宋体"/>
          <w:sz w:val="24"/>
        </w:rPr>
        <w:t xml:space="preserve"> 制裁后企业失去全球技术来源，转向国内大学和科研院所寻求替代性知识。Perkmann等（2013）揭示了一个关键区分：学术参与（人员流动、合作研究）的效果远超商业化（专利许可），因为前者承载的是隐性知识。成功的知识补位应表现为——联合专利的领域与被制裁技术缺口直接对应，后续被引和转化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识别策略同样基于实体清单分批列入的外生冲击，一个值得尝试的设计是比较同一所大学与受制裁企业和未受制裁企业的合作差异。</w:t>
      </w:r>
    </w:p>
    <w:p>
      <w:pPr>
        <w:ind w:firstLine="420"/>
      </w:pPr>
      <w:r>
        <w:rPr>
          <w:rFonts w:ascii="宋体" w:hAnsi="宋体" w:eastAsia="宋体"/>
          <w:sz w:val="24"/>
        </w:rPr>
      </w:r>
      <w:r>
        <w:rPr>
          <w:rFonts w:ascii="宋体" w:hAnsi="宋体" w:eastAsia="宋体"/>
          <w:b/>
          <w:sz w:val="24"/>
        </w:rPr>
        <w:t>负向机制：中间转化卡住。</w:t>
      </w:r>
      <w:r>
        <w:rPr>
          <w:rFonts w:ascii="宋体" w:hAnsi="宋体" w:eastAsia="宋体"/>
          <w:sz w:val="24"/>
        </w:rPr>
        <w:t xml:space="preserve"> 何郁冰（2012）在三协同框架中把"组织协同"列为独立维度，联合实验室等实体是组织协同的载体。当这些中间转化设施缺失时，产学研合作在纸面上扩大，但科学知识无法有效翻译为企业可用技术方案——联合专利申请量上升，但IPC分类与被制裁技术缺口不匹配，后续引用率很低。合作停留在挂名层面，大学提供了申请量但没提供实质性的知识。可检验的假设是：制裁后新建立联合实验室的大学—企业配对，其合作产出（联合专利的后续转化率、产业化成功率）显著低于制裁前已有联合实验室的配对——后者已经积累了制度化的协作经验，前者从零起步需要时间。匹配假说提示，中间转化的瓶颈对前沿原创型突破最为致命，因为这个类型最依赖从基础原理到技术方案的完整翻译链条。</w:t>
      </w:r>
    </w:p>
    <w:p>
      <w:pPr>
        <w:ind w:firstLine="420"/>
      </w:pPr>
      <w:r>
        <w:rPr>
          <w:rFonts w:ascii="宋体" w:hAnsi="宋体" w:eastAsia="宋体"/>
          <w:sz w:val="24"/>
        </w:rPr>
        <w:t>本章还有两个更一般的难点。一是产学研合作质量的度量——联合专利数量上升可能仅反映挂名合作，需以发明人实际身份和合作成果的后续技术影响等细粒度指标区分。二是滞后期——从开始合作到产生技术成果可能需要三至五年甚至更长，课题观测窗口未必能覆盖完整周期，需在研究设计中明确说明。数据来源包括国家知识产权局联合专利申请、NSFC联合资助项目、上市公司年报与官网披露的联合实验室设立信息，以及企业专利发明人履历数据。此外，Perkmann等（2013）揭示的数据偏差——最有效的通道（人员流动）在公开数据中最难观测——意味着如果只看联合专利数量，大概率会系统性高估知识补位的实际效果。本章的实证策略因此在数量指标之外，还需要质量指标和案例证据的配合。</w:t>
      </w:r>
    </w:p>
    <w:p>
      <w:pPr>
        <w:spacing w:before="60" w:after="60"/>
      </w:pPr>
      <w:r>
        <w:rPr>
          <w:rFonts w:ascii="黑体" w:hAnsi="黑体" w:eastAsia="黑体"/>
          <w:b/>
          <w:sz w:val="24"/>
        </w:rPr>
        <w:t>第四章：全球开放创新网络——方向性转移与深度替代</w:t>
      </w:r>
    </w:p>
    <w:p>
      <w:pPr>
        <w:ind w:firstLine="420"/>
      </w:pPr>
      <w:r>
        <w:rPr>
          <w:rFonts w:ascii="宋体" w:hAnsi="宋体" w:eastAsia="宋体"/>
          <w:sz w:val="24"/>
        </w:rPr>
        <w:t>全球开放创新网络是直接承受外部冲击的对象。出口管制切断了部分连接后，这张网同时出现了两股相反的力量。</w:t>
      </w:r>
    </w:p>
    <w:p>
      <w:pPr>
        <w:ind w:firstLine="420"/>
      </w:pPr>
      <w:r>
        <w:rPr>
          <w:rFonts w:ascii="宋体" w:hAnsi="宋体" w:eastAsia="宋体"/>
          <w:sz w:val="24"/>
        </w:rPr>
      </w:r>
      <w:r>
        <w:rPr>
          <w:rFonts w:ascii="宋体" w:hAnsi="宋体" w:eastAsia="宋体"/>
          <w:b/>
          <w:sz w:val="24"/>
        </w:rPr>
        <w:t>正向机制：方向性转移。</w:t>
      </w:r>
      <w:r>
        <w:rPr>
          <w:rFonts w:ascii="宋体" w:hAnsi="宋体" w:eastAsia="宋体"/>
          <w:sz w:val="24"/>
        </w:rPr>
        <w:t xml:space="preserve"> 制裁后，企业把合作资源从美国转向欧洲、日韩和东盟，寻找替代性的知识来源。吴剑峰等（2015）发现国际研发合作地域广度的创新收益受企业资源禀赋调节——资金和技术资源更充裕的企业能更好地消化异质性知识。将这条逻辑平移到制裁情境：转向替代地区后，能否维持创新质量，取决于新合作方在相关技术领域的知识储备深度，以及企业自身的吸收能力。可检验的含义是——制裁后国际联合专利中替代地区合作方的占比上升，且这些专利的后续引用率和实际经济价值不显著低于制裁前与被制裁方的合作水平。更进一步，可以考察转移的方向是否存在行业和能力层面的规律：追赶迭代型技术缺口的企业最依赖全球网络的竞争性信息输入，转移成功的空间相对更大；前沿原创型缺口集中在少数国家的前沿机构，替代来源更少，转移更难。</w:t>
      </w:r>
    </w:p>
    <w:p>
      <w:pPr>
        <w:ind w:firstLine="420"/>
      </w:pPr>
      <w:r>
        <w:rPr>
          <w:rFonts w:ascii="宋体" w:hAnsi="宋体" w:eastAsia="宋体"/>
          <w:sz w:val="24"/>
        </w:rPr>
        <w:t>计量上，以制裁前后企业国际联合专利中不同地区合作方的占比变化做初步度量，再以被切断技术领域的专利质量变化判断转移的实质效果。识别策略以美国实体清单分批列入为外生冲击，清单企业及其关联企业为处理组、PSM匹配的未受制裁企业为对照组，构建多时点DID。数据来源包括跨国联合专利申请（PATSTAT与国知局）、上市公司海外子公司设立记录、技术许可与转让合同数据，以及海关高技术产品贸易数据。本章最核心的困难是区分"转出去了"和"转成功了"——替代地区合作的增加是否构成对被切断连接的实质性替代，需要将受冲击技术领域与未受冲击领域做精确对应。</w:t>
      </w:r>
    </w:p>
    <w:p>
      <w:pPr>
        <w:ind w:firstLine="420"/>
      </w:pPr>
      <w:r>
        <w:rPr>
          <w:rFonts w:ascii="宋体" w:hAnsi="宋体" w:eastAsia="宋体"/>
          <w:sz w:val="24"/>
        </w:rPr>
      </w:r>
      <w:r>
        <w:rPr>
          <w:rFonts w:ascii="宋体" w:hAnsi="宋体" w:eastAsia="宋体"/>
          <w:b/>
          <w:sz w:val="24"/>
        </w:rPr>
        <w:t>负向机制：深度替代的瓶颈。</w:t>
      </w:r>
      <w:r>
        <w:rPr>
          <w:rFonts w:ascii="宋体" w:hAnsi="宋体" w:eastAsia="宋体"/>
          <w:sz w:val="24"/>
        </w:rPr>
        <w:t xml:space="preserve"> 当横向转移不可行时——特定领域的核心知识集中于少数国家或机构——企业只能将原依赖外部获取的知识转化为内部研发方向。Laursen和Salter（2006）讨论过外部搜索深度对创新的影响，但他们的分析是在企业自主选择加深搜索的条件下展开的。制裁情境下，加深搜索是被迫行为。内部研发投入大幅增加本身不说明问题——关键要看产出质量。如果企业在该领域有技术储备和人才基础，纵深推进可能产生实质性成果；如果被切断的是一个此前完全依赖外部采购、内部没有积累的领域，短期大量投入更可能变成低质量的专利泡沫。可检验的含义是——制裁后被切断技术领域的自主研发投入和发明专利申请增幅可以很大，但后续引用率和经济转化率显著落后于数量增长。匹配假说在此提供了一层区分：追赶迭代型缺口（技术路线相对明确）比前沿原创型缺口（依赖多源知识碰撞）更适合内部研发的纵深推进。</w:t>
      </w:r>
    </w:p>
    <w:p>
      <w:pPr>
        <w:spacing w:before="60" w:after="60"/>
      </w:pPr>
      <w:r>
        <w:rPr>
          <w:rFonts w:ascii="黑体" w:hAnsi="黑体" w:eastAsia="黑体"/>
          <w:b/>
          <w:sz w:val="24"/>
        </w:rPr>
        <w:t>第四章：供应链驱动创新网络——关系升级与供应商断裂</w:t>
      </w:r>
    </w:p>
    <w:p>
      <w:pPr>
        <w:ind w:firstLine="420"/>
      </w:pPr>
      <w:r>
        <w:rPr>
          <w:rFonts w:ascii="宋体" w:hAnsi="宋体" w:eastAsia="宋体"/>
          <w:sz w:val="24"/>
        </w:rPr>
        <w:t>供应链网络的创新功能来自一个常被忽视的事实：大量技术改进是在配套、调试和迭代交付中磨出来的。外部冲击不直接打断这张网的连接，但内部关系因替代需求的涌现而被牵动，同时出现了升级和断裂两种走向。</w:t>
      </w:r>
    </w:p>
    <w:p>
      <w:pPr>
        <w:ind w:firstLine="420"/>
      </w:pPr>
      <w:r>
        <w:rPr>
          <w:rFonts w:ascii="宋体" w:hAnsi="宋体" w:eastAsia="宋体"/>
          <w:sz w:val="24"/>
        </w:rPr>
      </w:r>
      <w:r>
        <w:rPr>
          <w:rFonts w:ascii="宋体" w:hAnsi="宋体" w:eastAsia="宋体"/>
          <w:b/>
          <w:sz w:val="24"/>
        </w:rPr>
        <w:t>正向机制：关系升级。</w:t>
      </w:r>
      <w:r>
        <w:rPr>
          <w:rFonts w:ascii="宋体" w:hAnsi="宋体" w:eastAsia="宋体"/>
          <w:sz w:val="24"/>
        </w:rPr>
        <w:t xml:space="preserve"> 制裁切断了外部技术来源后，链主企业转向国内供应商寻求替代方案，买卖关系被推向联合攻关。Dyer和Nobeoka（2000）揭示了丰田通过制度化安排将知识扩散至供应商网络的机制，但中国企业面对的是截然不同的情境——制裁来得突然，没有几十年可用来慢慢积累信任。Isaksson等（2016）的发现给出了一个关键线索：供应链知识溢出仅在长期关系中显著。与被制裁企业有长期合作历史的供应商，制裁后创新提升的幅度应显著大于关系较短的供应商——因为长期关系中已经积累了信任基础和隐性协作惯例，升级的门槛更低。成功的信号是链主与供应商之间的联合专利申请增加，供应商具备了独立的产品开发能力而不仅仅是跟着链主做配套。</w:t>
      </w:r>
    </w:p>
    <w:p>
      <w:pPr>
        <w:ind w:firstLine="420"/>
      </w:pPr>
      <w:r>
        <w:rPr>
          <w:rFonts w:ascii="宋体" w:hAnsi="宋体" w:eastAsia="宋体"/>
          <w:sz w:val="24"/>
        </w:rPr>
        <w:t>替代假说在此直接进入检验：制裁冲击×关系持续时间的交乘项是否显著正向影响供应商创新产出。需求的拉动效应同样可检验——制裁后原来从美国进口的零部件供应断裂，有技术储备的国内供应商获得了此前被国际竞争对手占据的市场机会（He &amp; Lyu, 2025在企业集团内部已发现类似效应），其研发投入和专利申请应出现事件研究意义上的跳升。匹配假说进一步提示，需求拉动对卡脖子攻关型缺口最有效——目标明确、技术路线已知，供应商知道该往哪个方向投入研发。</w:t>
      </w:r>
    </w:p>
    <w:p>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关系持续时间和供应商网络中心性作为交乘项。本章有三个独特难点：供应链关系的内生性（链主本就会选择高质量供应商，以供应商更换事件辅助识别）；替代性创新与突破性创新的区分（以专利质量和产品性能指标区分）；以及供应商策略性行为的工具变量处理。</w:t>
      </w:r>
    </w:p>
    <w:p>
      <w:pPr>
        <w:ind w:firstLine="420"/>
      </w:pPr>
      <w:r>
        <w:rPr>
          <w:rFonts w:ascii="宋体" w:hAnsi="宋体" w:eastAsia="宋体"/>
          <w:sz w:val="24"/>
        </w:rPr>
      </w:r>
      <w:r>
        <w:rPr>
          <w:rFonts w:ascii="宋体" w:hAnsi="宋体" w:eastAsia="宋体"/>
          <w:b/>
          <w:sz w:val="24"/>
        </w:rPr>
        <w:t>负向机制：供应商跟不上。</w:t>
      </w:r>
      <w:r>
        <w:rPr>
          <w:rFonts w:ascii="宋体" w:hAnsi="宋体" w:eastAsia="宋体"/>
          <w:sz w:val="24"/>
        </w:rPr>
        <w:t xml:space="preserve"> 关系升级的反面是断裂。当链主提出的技术要求显著超出供应商现有能力时，联合攻关变成链主单方面的技术输出——链主投入大量资源辅导供应商，但供应商吸收不了。极端情况下，链主被迫更换供应商，原有的供应关系不仅没有升级反而解体。这种断裂更可能发生在与链主合作历史较短的供应商身上——制裁后新选中的供应商创新提升应显著小于长期供应商，短期内的更换率也更高。Azadegan和Dooley（2010）的学习风格匹配逻辑提示，断裂的风险还取决于链主与供应商的匹配程度——在案例中可以进一步追踪。此外，制裁前没有技术储备的供应商面对突然出现的市场需求，既缺技术基础也缺人才储备，不仅接不住机会，反而可能因为无法满足链主新标准而被挤出供应链。市场机会本身不足以催生创新——这个反面的检验价值和正面同等重要。</w:t>
      </w:r>
    </w:p>
    <w:p>
      <w:pPr>
        <w:spacing w:before="120" w:after="60"/>
      </w:pPr>
      <w:r>
        <w:rPr>
          <w:rFonts w:ascii="黑体" w:hAnsi="黑体" w:eastAsia="黑体"/>
          <w:b/>
          <w:sz w:val="26"/>
        </w:rPr>
        <w:t>（六）研究目标</w:t>
      </w:r>
    </w:p>
    <w:p>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与网络替代两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pPr>
        <w:spacing w:before="120" w:after="60"/>
      </w:pPr>
      <w:r>
        <w:rPr>
          <w:rFonts w:ascii="黑体" w:hAnsi="黑体" w:eastAsia="黑体"/>
          <w:b/>
          <w:sz w:val="26"/>
        </w:rPr>
        <w:t>（七）重点难点</w:t>
      </w:r>
    </w:p>
    <w:p>
      <w:pPr>
        <w:ind w:firstLine="420"/>
      </w:pPr>
      <w:r>
        <w:rPr>
          <w:rFonts w:ascii="宋体" w:hAnsi="宋体" w:eastAsia="宋体"/>
          <w:sz w:val="24"/>
        </w:rPr>
        <w:t>重点有三。其一，构建三类创新网络的统一分析框架，厘清概念边界与功能差异。其二，分析网络重构的机制，检验动态匹配与网络替代两个核心假说。其三，考察网络重构与核心技术突破之间的关联。</w:t>
      </w:r>
    </w:p>
    <w:p>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pPr>
        <w:spacing w:before="120" w:after="60"/>
      </w:pPr>
      <w:r>
        <w:rPr>
          <w:rFonts w:ascii="黑体" w:hAnsi="黑体" w:eastAsia="黑体"/>
          <w:b/>
          <w:sz w:val="26"/>
        </w:rPr>
        <w:t>（八）研究方法与数据</w:t>
      </w:r>
    </w:p>
    <w:p>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网络—计量结合的机制检验：将社会网络分析的结构指标纳入DID框架，检验网络结构变化是否构成冲击影响创新的传导渠道。通过交乘项分析检验网络结构在冲击前后的变化如何影响创新产出。</w:t>
      </w:r>
    </w:p>
    <w:p>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pPr>
        <w:spacing w:before="120" w:after="60"/>
      </w:pPr>
      <w:r>
        <w:rPr>
          <w:rFonts w:ascii="黑体" w:hAnsi="黑体" w:eastAsia="黑体"/>
          <w:b/>
          <w:sz w:val="26"/>
        </w:rPr>
        <w:t>（九）研究计划与可行性</w:t>
      </w:r>
    </w:p>
    <w:p>
      <w:pPr>
        <w:ind w:firstLine="420"/>
      </w:pPr>
      <w:r>
        <w:rPr>
          <w:rFonts w:ascii="宋体" w:hAnsi="宋体" w:eastAsia="宋体"/>
          <w:sz w:val="24"/>
        </w:rPr>
        <w:t>研究分四个阶段推进，总周期30个月。第一阶段（1至6月）：文献深化研究，理论框架构建，多源数据清洗、匹配与网络构建。第二阶段（7至14月）：利用DID方法识别外部技术限制的创新冲击效应，考察产学研协同网络的知识补位与全球开放网络的方向性转移，撰写中期成果。第三阶段（15至22月）：考察供应链驱动网络的替代性强化，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pPr>
        <w:spacing w:before="240" w:after="120"/>
      </w:pPr>
      <w:r>
        <w:rPr>
          <w:rFonts w:ascii="黑体" w:hAnsi="黑体" w:eastAsia="黑体"/>
          <w:b/>
          <w:sz w:val="28"/>
        </w:rPr>
        <w:t>四、创新之处</w:t>
      </w:r>
    </w:p>
    <w:p>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力图推进创新网络理论在复杂技术系统中的拓展。</w:t>
      </w:r>
    </w:p>
    <w:p>
      <w:pPr>
        <w:ind w:firstLine="420"/>
      </w:pPr>
      <w:r>
        <w:rPr>
          <w:rFonts w:ascii="宋体" w:hAnsi="宋体" w:eastAsia="宋体"/>
          <w:sz w:val="24"/>
        </w:rPr>
        <w:t>在学术观点上，提出动态匹配与网络替代两个核心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的匹配关系——前沿原创应让产学研主导、卡脖子攻关应让供应链主导、追赶迭代应让全球开放网络主导。匹配错位，重构效果就会打折。网络替代假说明确了替代发生的两个边界条件——供应链上的长期合作积累（Isaksson等，2016）和产学研之间的中间转化设施（何郁冰，2012；Perkmann等，2013），并将He和Lyu（2025）关于企业集团内部创新转移的发现从"集团内"推至"网络间"。两个假说共同指向同一个核心问题：网络重构的效果取决于条件——匹配决定了正确的配置方向，替代明确了补偿的前提。</w:t>
      </w:r>
    </w:p>
    <w:p>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pPr>
        <w:spacing w:before="240" w:after="120"/>
      </w:pPr>
      <w:r>
        <w:rPr>
          <w:rFonts w:ascii="黑体" w:hAnsi="黑体" w:eastAsia="黑体"/>
          <w:b/>
          <w:sz w:val="28"/>
        </w:rPr>
        <w:t>五、预期成果</w:t>
      </w:r>
    </w:p>
    <w:p>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pPr>
        <w:spacing w:before="240" w:after="120"/>
      </w:pPr>
      <w:r>
        <w:rPr>
          <w:rFonts w:ascii="黑体" w:hAnsi="黑体" w:eastAsia="黑体"/>
          <w:b/>
          <w:sz w:val="28"/>
        </w:rPr>
        <w:t>六、参考文献</w:t>
      </w:r>
    </w:p>
    <w:p>
      <w:pPr>
        <w:spacing w:before="0" w:after="0"/>
        <w:ind w:firstLine="0"/>
      </w:pPr>
      <w:r>
        <w:rPr>
          <w:rFonts w:ascii="宋体" w:hAnsi="宋体" w:eastAsia="宋体"/>
          <w:sz w:val="21"/>
        </w:rPr>
        <w:t>1. Ahuja, G. (2000). Collaboration Networks, Structural Holes, and Innovation. *Administrative Science Quarterly*, 45(3), 425-455.</w:t>
      </w:r>
    </w:p>
    <w:p>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pPr>
        <w:spacing w:before="0" w:after="0"/>
        <w:ind w:firstLine="0"/>
      </w:pPr>
      <w:r>
        <w:rPr>
          <w:rFonts w:ascii="宋体" w:hAnsi="宋体" w:eastAsia="宋体"/>
          <w:sz w:val="21"/>
        </w:rPr>
        <w:t>3. 安同良, 魏婕, 姜舸. (2023). 基于复杂网络的中国企业互联式创新. *中国社会科学*, (10).</w:t>
      </w:r>
    </w:p>
    <w:p>
      <w:pPr>
        <w:spacing w:before="0" w:after="0"/>
        <w:ind w:firstLine="0"/>
      </w:pPr>
      <w:r>
        <w:rPr>
          <w:rFonts w:ascii="宋体" w:hAnsi="宋体" w:eastAsia="宋体"/>
          <w:sz w:val="21"/>
        </w:rPr>
        <w:t>4. 陈劲, 阳银娟. (2012). 协同创新的理论基础与内涵. *科学学研究*, 30(2), 161-164.</w:t>
      </w:r>
    </w:p>
    <w:p>
      <w:pPr>
        <w:spacing w:before="0" w:after="0"/>
        <w:ind w:firstLine="0"/>
      </w:pPr>
      <w:r>
        <w:rPr>
          <w:rFonts w:ascii="宋体" w:hAnsi="宋体" w:eastAsia="宋体"/>
          <w:sz w:val="21"/>
        </w:rPr>
        <w:t>5. Chesbrough, H. W. (2003). *Open Innovation*. Harvard Business School Press.</w:t>
      </w:r>
    </w:p>
    <w:p>
      <w:pPr>
        <w:spacing w:before="0" w:after="0"/>
        <w:ind w:firstLine="0"/>
      </w:pPr>
      <w:r>
        <w:rPr>
          <w:rFonts w:ascii="宋体" w:hAnsi="宋体" w:eastAsia="宋体"/>
          <w:sz w:val="21"/>
        </w:rPr>
        <w:t>6. Laursen, K., &amp; Salter, A. (2006). Open for Innovation. *Strategic Management Journal*, 27(2), 131-150.</w:t>
      </w:r>
    </w:p>
    <w:p>
      <w:pPr>
        <w:spacing w:before="0" w:after="0"/>
        <w:ind w:firstLine="0"/>
      </w:pPr>
      <w:r>
        <w:rPr>
          <w:rFonts w:ascii="宋体" w:hAnsi="宋体" w:eastAsia="宋体"/>
          <w:sz w:val="21"/>
        </w:rPr>
        <w:t>7. Dahlander, L., &amp; Gann, D. M. (2010). How Open is Innovation? *Research Policy*, 39(6), 699-709.</w:t>
      </w:r>
    </w:p>
    <w:p>
      <w:pPr>
        <w:spacing w:before="0" w:after="0"/>
        <w:ind w:firstLine="0"/>
      </w:pPr>
      <w:r>
        <w:rPr>
          <w:rFonts w:ascii="宋体" w:hAnsi="宋体" w:eastAsia="宋体"/>
          <w:sz w:val="21"/>
        </w:rPr>
        <w:t>8. 吴剑峰, 杨震宁, 邱永辉. (2015). 国际研发合作的地域广度、资源禀赋与技术创新绩效. *管理学报*, 12(10).</w:t>
      </w:r>
    </w:p>
    <w:p>
      <w:pPr>
        <w:spacing w:before="0" w:after="0"/>
        <w:ind w:firstLine="0"/>
      </w:pPr>
      <w:r>
        <w:rPr>
          <w:rFonts w:ascii="宋体" w:hAnsi="宋体" w:eastAsia="宋体"/>
          <w:sz w:val="21"/>
        </w:rPr>
        <w:t>9. 李梅, 余天骄. (2016). 研发国际化是否促进了企业创新. *管理世界*, (11).</w:t>
      </w:r>
    </w:p>
    <w:p>
      <w:pPr>
        <w:spacing w:before="0" w:after="0"/>
        <w:ind w:firstLine="0"/>
      </w:pPr>
      <w:r>
        <w:rPr>
          <w:rFonts w:ascii="宋体" w:hAnsi="宋体" w:eastAsia="宋体"/>
          <w:sz w:val="21"/>
        </w:rPr>
        <w:t>10. Dyer, J. H., &amp; Nobeoka, K. (2000). Creating and Managing a High-Performance Knowledge-Sharing Network. *Strategic Management Journal*, 21(3), 345-367.</w:t>
      </w:r>
    </w:p>
    <w:p>
      <w:pPr>
        <w:spacing w:before="0" w:after="0"/>
        <w:ind w:firstLine="0"/>
      </w:pPr>
      <w:r>
        <w:rPr>
          <w:rFonts w:ascii="宋体" w:hAnsi="宋体" w:eastAsia="宋体"/>
          <w:sz w:val="21"/>
        </w:rPr>
        <w:t>11. Isaksson, O. H. D., Simeth, M., &amp; Seifert, R. W. (2016). Knowledge Spillovers in the Supply Chain. *Research Policy*, 45(3), 699-706.</w:t>
      </w:r>
    </w:p>
    <w:p>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pPr>
        <w:spacing w:before="0" w:after="0"/>
        <w:ind w:firstLine="0"/>
      </w:pPr>
      <w:r>
        <w:rPr>
          <w:rFonts w:ascii="宋体" w:hAnsi="宋体" w:eastAsia="宋体"/>
          <w:sz w:val="21"/>
        </w:rPr>
        <w:t>14. Etzkowitz, H., &amp; Leydesdorff, L. (2000). The Dynamics of Innovation: From National Systems to a Triple Helix. *Research Policy*, 29(2), 109-123.</w:t>
      </w:r>
    </w:p>
    <w:p>
      <w:pPr>
        <w:spacing w:before="0" w:after="0"/>
        <w:ind w:firstLine="0"/>
      </w:pPr>
      <w:r>
        <w:rPr>
          <w:rFonts w:ascii="宋体" w:hAnsi="宋体" w:eastAsia="宋体"/>
          <w:sz w:val="21"/>
        </w:rPr>
        <w:t>15. Perkmann, M., et al. (2013). Academic Engagement and Commercialisation. *Research Policy*, 42(2), 423-442.</w:t>
      </w:r>
    </w:p>
    <w:p>
      <w:pPr>
        <w:spacing w:before="0" w:after="0"/>
        <w:ind w:firstLine="0"/>
      </w:pPr>
      <w:r>
        <w:rPr>
          <w:rFonts w:ascii="宋体" w:hAnsi="宋体" w:eastAsia="宋体"/>
          <w:sz w:val="21"/>
        </w:rPr>
        <w:t>16. 何郁冰. (2012). 产学研协同创新的理论模式. *科学学研究*, 30(2), 165-174.</w:t>
      </w:r>
    </w:p>
    <w:p>
      <w:pPr>
        <w:spacing w:before="0" w:after="0"/>
        <w:ind w:firstLine="0"/>
      </w:pPr>
      <w:r>
        <w:rPr>
          <w:rFonts w:ascii="宋体" w:hAnsi="宋体" w:eastAsia="宋体"/>
          <w:sz w:val="21"/>
        </w:rPr>
        <w:t>17. 洪银兴. (2014). 产学研协同创新的经济学分析.</w:t>
      </w:r>
    </w:p>
    <w:p>
      <w:pPr>
        <w:spacing w:before="0" w:after="0"/>
        <w:ind w:firstLine="0"/>
      </w:pPr>
      <w:r>
        <w:rPr>
          <w:rFonts w:ascii="宋体" w:hAnsi="宋体" w:eastAsia="宋体"/>
          <w:sz w:val="21"/>
        </w:rPr>
        <w:t>18. 原长弘, 张树满. (2019). 以企业为主体的产学研协同创新：管理框架构建. 科研管理, 40(10), 184-192.</w:t>
      </w:r>
    </w:p>
    <w:p>
      <w:pPr>
        <w:spacing w:before="0" w:after="0"/>
        <w:ind w:firstLine="0"/>
      </w:pPr>
      <w:r>
        <w:rPr>
          <w:rFonts w:ascii="宋体" w:hAnsi="宋体" w:eastAsia="宋体"/>
          <w:sz w:val="21"/>
        </w:rPr>
        <w:t>19. He, Y., &amp; Lyu, J. (2025). Export Controls and Innovation Transfer within Chinese Business Groups. *Research Policy*.</w:t>
      </w:r>
    </w:p>
    <w:p>
      <w:pPr>
        <w:spacing w:before="0" w:after="0"/>
        <w:ind w:firstLine="0"/>
      </w:pPr>
      <w:r>
        <w:rPr>
          <w:rFonts w:ascii="宋体" w:hAnsi="宋体" w:eastAsia="宋体"/>
          <w:sz w:val="21"/>
        </w:rPr>
        <w:t>20. Anwar, S., Hu, B., Luan, Q., &amp; Wang, K. (2024). Export Controls and Innovation Performance. *The World Economy*, 47, 2995-3033.</w:t>
      </w:r>
    </w:p>
    <w:p>
      <w:pPr>
        <w:spacing w:before="0" w:after="0"/>
        <w:ind w:firstLine="0"/>
      </w:pPr>
      <w:r>
        <w:rPr>
          <w:rFonts w:ascii="宋体" w:hAnsi="宋体" w:eastAsia="宋体"/>
          <w:sz w:val="21"/>
        </w:rPr>
        <w:t>21. 寇宗来等. (2023). 技术断供与自主创新激励：纵向结构的视角.</w:t>
      </w:r>
    </w:p>
    <w:p>
      <w:pPr>
        <w:spacing w:before="0" w:after="0"/>
        <w:ind w:firstLine="0"/>
      </w:pPr>
      <w:r>
        <w:rPr>
          <w:rFonts w:ascii="宋体" w:hAnsi="宋体" w:eastAsia="宋体"/>
          <w:sz w:val="21"/>
        </w:rPr>
        <w:t>22. 郑世林等. (2025). 产业链风险与中国企业自主创新突破.</w:t>
      </w:r>
    </w:p>
    <w:p>
      <w:pPr>
        <w:spacing w:before="0" w:after="0"/>
        <w:ind w:firstLine="0"/>
      </w:pPr>
      <w:r>
        <w:rPr>
          <w:rFonts w:ascii="宋体" w:hAnsi="宋体" w:eastAsia="宋体"/>
          <w:sz w:val="21"/>
        </w:rPr>
        <w:t>23. 柳卸林, 胡志坚. (2002). 中国区域创新能力的分布与成因. *科学学研究*, 20(5), 550-557.</w:t>
      </w:r>
    </w:p>
    <w:p>
      <w:pPr>
        <w:spacing w:before="0" w:after="0"/>
        <w:ind w:firstLine="0"/>
      </w:pPr>
      <w:r>
        <w:rPr>
          <w:rFonts w:ascii="宋体" w:hAnsi="宋体" w:eastAsia="宋体"/>
          <w:sz w:val="21"/>
        </w:rPr>
        <w:t>24. 吕铁. 政府干预何以有效：对中国高铁技术赶超的调查研究.</w:t>
      </w:r>
    </w:p>
    <w:p>
      <w:pPr>
        <w:spacing w:before="0" w:after="0"/>
        <w:ind w:firstLine="0"/>
      </w:pPr>
      <w:r>
        <w:rPr>
          <w:rFonts w:ascii="宋体" w:hAnsi="宋体" w:eastAsia="宋体"/>
          <w:sz w:val="21"/>
        </w:rPr>
        <w:t>25. 陈劲. 新型举国体制的理论逻辑、落地模式与应用场景.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