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ascii="黑体" w:hAnsi="黑体" w:eastAsia="黑体"/>
          <w:b/>
          <w:sz w:val="32"/>
        </w:rPr>
        <w:t>外部技术限制下中国企业创新网络重构与自主创新能力提升机制</w:t>
      </w:r>
    </w:p>
    <w:p>
      <w:pPr>
        <w:spacing w:after="240"/>
        <w:jc w:val="center"/>
      </w:pPr>
      <w:r>
        <w:rPr>
          <w:rFonts w:ascii="黑体" w:hAnsi="黑体" w:eastAsia="黑体"/>
          <w:sz w:val="28"/>
        </w:rPr>
        <w:t>——课题论证活页</w:t>
      </w:r>
    </w:p>
    <w:p>
      <w:pPr>
        <w:spacing w:before="240" w:after="120"/>
      </w:pPr>
      <w:r>
        <w:rPr>
          <w:rFonts w:ascii="黑体" w:hAnsi="黑体" w:eastAsia="黑体"/>
          <w:b/>
          <w:sz w:val="28"/>
        </w:rPr>
        <w:t>一、选题说明</w:t>
      </w:r>
    </w:p>
    <w:p>
      <w:pPr>
        <w:ind w:firstLine="420"/>
      </w:pPr>
      <w:r>
        <w:rPr>
          <w:rFonts w:ascii="宋体" w:hAnsi="宋体" w:eastAsia="宋体"/>
          <w:sz w:val="24"/>
        </w:rPr>
        <w:t>本课题拟围绕"外部技术限制下中国企业创新网络重构与自主创新能力提升机制"开展研究。课题以创新网络为核心分析视角，将全球开放创新网络、供应链驱动创新网络与产学研协同创新网络作为三类关键网络形态，考察其在知识获取、技术扩散、联合攻关与产业化转化中的作用机制，解释中国企业和产业体系在外部封锁条件下通过多主体网络协同提升自主创新能力的路径。研究旨在形成具有理论解释力与政策可操作性的网络化技术突破分析框架。</w:t>
      </w:r>
    </w:p>
    <w:p>
      <w:pPr>
        <w:spacing w:before="240" w:after="120"/>
      </w:pPr>
      <w:r>
        <w:rPr>
          <w:rFonts w:ascii="黑体" w:hAnsi="黑体" w:eastAsia="黑体"/>
          <w:b/>
          <w:sz w:val="28"/>
        </w:rPr>
        <w:t>二、选题依据</w:t>
      </w:r>
    </w:p>
    <w:p>
      <w:pPr>
        <w:spacing w:before="120" w:after="60"/>
      </w:pPr>
      <w:r>
        <w:rPr>
          <w:rFonts w:ascii="黑体" w:hAnsi="黑体" w:eastAsia="黑体"/>
          <w:b/>
          <w:sz w:val="26"/>
        </w:rPr>
        <w:t>（一）现实背景</w:t>
      </w:r>
    </w:p>
    <w:p>
      <w:pPr>
        <w:ind w:firstLine="420"/>
      </w:pPr>
      <w:r>
        <w:rPr>
          <w:rFonts w:ascii="宋体" w:hAnsi="宋体" w:eastAsia="宋体"/>
          <w:sz w:val="24"/>
        </w:rPr>
        <w:t>国际科技竞争格局的深刻演变，改变了中国企业获取创新资源的外部环境。出口管制、投资审查、技术标准壁垒与关键设备限制等措施，加大了企业依赖外部单一技术来源的风险。自2018年以来，美国商务部工业安全局实体清单持续扩大，中国企业嵌入全球创新网络的传统路径面临选择性断裂。与此同时，集成电路、人工智能、高端装备等前沿领域的技术突破越来越依赖跨学科知识组合与产业链上下游协同，创新活动的组织方式已从线性研发模式转向网络化模式。</w:t>
      </w:r>
    </w:p>
    <w:p>
      <w:pPr>
        <w:ind w:firstLine="420"/>
      </w:pPr>
      <w:r>
        <w:rPr>
          <w:rFonts w:ascii="宋体" w:hAnsi="宋体" w:eastAsia="宋体"/>
          <w:sz w:val="24"/>
        </w:rPr>
        <w:t>在此背景下，关键核心技术攻关不宜被简化为单个主体的研发投入问题，亦不宜被归结为"开放"与"自主"的二元选择。现实中，技术突破往往发生在不同网络的交织地带：企业通过全球开放网络吸收多元知识，通过供应链网络实现需求牵引与联合开发，通过产学研网络衔接基础研究与产业化。当外部技术限制切断了部分全球网络连接后，供应链网络与产学研网络能否以及在何种条件下替代和补充受损的创新功能，是亟待回应的理论与现实问题。</w:t>
      </w:r>
    </w:p>
    <w:p>
      <w:pPr>
        <w:spacing w:before="120" w:after="60"/>
      </w:pPr>
      <w:r>
        <w:rPr>
          <w:rFonts w:ascii="黑体" w:hAnsi="黑体" w:eastAsia="黑体"/>
          <w:b/>
          <w:sz w:val="26"/>
        </w:rPr>
        <w:t>（二）文献梳理</w:t>
      </w:r>
    </w:p>
    <w:p>
      <w:pPr>
        <w:ind w:firstLine="420"/>
      </w:pPr>
      <w:r>
        <w:rPr>
          <w:rFonts w:ascii="宋体" w:hAnsi="宋体" w:eastAsia="宋体"/>
          <w:sz w:val="24"/>
        </w:rPr>
        <w:t>本课题涉及四支文献的交叉：创新网络理论、全球开放创新、供应链与产学研协同创新网络，以及技术脱钩与自主创新的关系。</w:t>
      </w:r>
    </w:p>
    <w:p>
      <w:pPr>
        <w:ind w:firstLine="420"/>
      </w:pPr>
      <w:r>
        <w:rPr>
          <w:rFonts w:ascii="宋体" w:hAnsi="宋体" w:eastAsia="宋体"/>
          <w:sz w:val="24"/>
        </w:rPr>
      </w:r>
      <w:r>
        <w:rPr>
          <w:rFonts w:ascii="宋体" w:hAnsi="宋体" w:eastAsia="宋体"/>
          <w:b/>
          <w:sz w:val="24"/>
        </w:rPr>
        <w:t>1. 创新网络理论的演进</w:t>
      </w:r>
      <w:r>
        <w:rPr>
          <w:rFonts w:ascii="宋体" w:hAnsi="宋体" w:eastAsia="宋体"/>
          <w:sz w:val="24"/>
        </w:rPr>
      </w:r>
    </w:p>
    <w:p>
      <w:pPr>
        <w:ind w:firstLine="420"/>
      </w:pPr>
      <w:r>
        <w:rPr>
          <w:rFonts w:ascii="宋体" w:hAnsi="宋体" w:eastAsia="宋体"/>
          <w:sz w:val="24"/>
        </w:rPr>
        <w:t>把"网络"作为创新的分析单元，是过去三十年创新研究最重要的转向之一。Powell、Koput和Smith-Doerr（1996）对生物技术产业的研究率先打破了"企业是创新容器"的预设——他们发现，当知识基础复杂且广泛分散时，研发联盟、人员流动和非正式合作构成的组织间网络才是创新实际发生的场所，网络中心性越高、后续合作越多，形成自我强化的正反馈。五年后，Ahuja（2000）在全球化工产业中将这一判断推进了一步：网络不是铁板一块，直接联系、间接联系和结构洞各自对创新有不同方向的影响。直接联系提供知识共享与资源互补，间接联系拓宽信息边界但效果随直接联系的增加而递减，结构洞在竞争者合作中则可能损害信任而不利于创新。Powell回答了"创新在哪里发生"，Ahuja追问了"网络的什么结构在起作用"——两条线索共同确立了网络分析的学术合法性。</w:t>
      </w:r>
    </w:p>
    <w:p>
      <w:pPr>
        <w:ind w:firstLine="420"/>
      </w:pPr>
      <w:r>
        <w:rPr>
          <w:rFonts w:ascii="宋体" w:hAnsi="宋体" w:eastAsia="宋体"/>
          <w:sz w:val="24"/>
        </w:rPr>
        <w:t>西方理论面对中国情境时暴露了局限。最早注意到这一点的学者之一，柳卸林和胡志坚（2002）从区域宏观层面揭示了中国创新能力"东高西低"的梯度分布格局，并指出制度环境——而非简单的要素投入——是决定区域创新能力差异的深层因素。这是国内较早将创新分析从企业层面拉至系统层面的工作。池仁勇（2005）则将社会网络分析法应用于浙江省中小企业，发现转型期中国创新网络的密度偏低、中心节点功能不强、区域间呈块状分割——"网络结构决定功能"这一命题在中国首先表现为结构缺陷对功能的制约，而非结构优化对功能的释放。两条线索，一条在区域宏观格局，一条在网络微观结构，共同说明中国情境下的创新网络有着自身结构特征与发展逻辑。陈劲和阳银娟（2012）在此基础上从"整合"与"互动"两个维度切入，将协同创新的本质界定为以知识增值为核心的多元主体整合，为中国情境下政府、企业与学界的跨域合作提供了概念基础。安同良、魏婕和姜舸（2023）则从复杂网络方法出发，将数字时代创新组织方式概括为"互联式创新"——嵌入互联网的分布式主体通过目标知识搜寻发生广泛连接，为理解当下技术突破的组织方式提供了描述性框架。</w:t>
      </w:r>
    </w:p>
    <w:p>
      <w:pPr>
        <w:ind w:firstLine="420"/>
      </w:pPr>
      <w:r>
        <w:rPr>
          <w:rFonts w:ascii="宋体" w:hAnsi="宋体" w:eastAsia="宋体"/>
          <w:sz w:val="24"/>
        </w:rPr>
        <w:t>上述理论为课题提供了分析工具，但它们讨论的基本面是"连接如何建立和优化"，而非"连接如何断裂和重建"。当外部技术限制——出口管制、投资审查、技术标准壁垒——切断了企业已建立的网络连接时，企业面对的就不再是位置优化问题，而是生存策略问题。网络因此如何被重塑，既有理论未给出充分回应。</w:t>
      </w:r>
    </w:p>
    <w:p>
      <w:pPr>
        <w:ind w:firstLine="420"/>
      </w:pPr>
      <w:r>
        <w:rPr>
          <w:rFonts w:ascii="宋体" w:hAnsi="宋体" w:eastAsia="宋体"/>
          <w:sz w:val="24"/>
        </w:rPr>
      </w:r>
      <w:r>
        <w:rPr>
          <w:rFonts w:ascii="宋体" w:hAnsi="宋体" w:eastAsia="宋体"/>
          <w:b/>
          <w:sz w:val="24"/>
        </w:rPr>
        <w:t>2. 全球开放创新网络</w:t>
      </w:r>
      <w:r>
        <w:rPr>
          <w:rFonts w:ascii="宋体" w:hAnsi="宋体" w:eastAsia="宋体"/>
          <w:sz w:val="24"/>
        </w:rPr>
      </w:r>
    </w:p>
    <w:p>
      <w:pPr>
        <w:ind w:firstLine="420"/>
      </w:pPr>
      <w:r>
        <w:rPr>
          <w:rFonts w:ascii="宋体" w:hAnsi="宋体" w:eastAsia="宋体"/>
          <w:sz w:val="24"/>
        </w:rPr>
        <w:t>开放式创新的起点是一条经验事实：有价值的知识广泛散布于各类组织中，没有任何企业能仅靠内部研发维持长期竞争力（Chesbrough, 2003）。Laursen和Salter（2006）将这条直觉转化为可检验的命题——他们用英国制造业大样本将"开放度"操作化为外部搜索的广度与深度，发现两者的创新回报均呈倒U型：适度开放最优，过度开放因注意力过载和管理复杂度上升而反噬创新。Dahlander和Gann（2010）以入向/出向与金钱/非金钱两个维度将开放创新归纳为四种类型（Sourcing/Acquiring/Revealing/Selling），同时指出文献严重偏向开放的收益端，对成本与风险的讨论不成比例。三篇文献从"为什么开放""开放到什么程度""开放有哪些形式"逐层推进，最终指向一个判断：不存在普适的最优开放度，它随企业消化能力而变化。</w:t>
      </w:r>
    </w:p>
    <w:p>
      <w:pPr>
        <w:ind w:firstLine="420"/>
      </w:pPr>
      <w:r>
        <w:rPr>
          <w:rFonts w:ascii="宋体" w:hAnsi="宋体" w:eastAsia="宋体"/>
          <w:sz w:val="24"/>
        </w:rPr>
        <w:t>中国企业国际研发合作的数据为这一判断提供了直接证据。电子设备制造业的经验表明，国际研发合作的地域广度与创新绩效之间同样呈倒U型——空间距离、制度距离和协调成本终究会吃掉异质性知识的红利，能走得更远的是那些资金与技术资源更充裕的企业（吴剑峰、杨震宁、邱永辉，2015）。李梅和余天骄（2016）则将关注点从"能合作多广"拉回到"谁能从合作中获益"：研发国际化对中国企业创新的促进效应受社会资源的结构性调节——高管政治联系有助于资源获取而正向调节，国有股权因效率损失而负向调节，制度落后地区的社会资源作用更为突出。两条中国证据合在一起，说明开放收益由企业内部能力与外部制度环境共同决定。</w:t>
      </w:r>
    </w:p>
    <w:p>
      <w:pPr>
        <w:ind w:firstLine="420"/>
      </w:pPr>
      <w:r>
        <w:rPr>
          <w:rFonts w:ascii="宋体" w:hAnsi="宋体" w:eastAsia="宋体"/>
          <w:sz w:val="24"/>
        </w:rPr>
        <w:t>但上述文献共享一个未加审视的前提：开放度是企业可以自主权衡的策略参数。2018年以来美国实体清单的持续扩大改变了这个前提——出口管制使得部分网络连接不是被企业"优化掉"，而是被政治力量"切断掉"。开放度不再是管理变量，而是外生约束。这种非自愿、结构性的网络断裂如何改变企业的创新行为与合作策略，是目前文献中最显著的缺口。</w:t>
      </w:r>
    </w:p>
    <w:p>
      <w:pPr>
        <w:ind w:firstLine="420"/>
      </w:pPr>
      <w:r>
        <w:rPr>
          <w:rFonts w:ascii="宋体" w:hAnsi="宋体" w:eastAsia="宋体"/>
          <w:sz w:val="24"/>
        </w:rPr>
      </w:r>
      <w:r>
        <w:rPr>
          <w:rFonts w:ascii="宋体" w:hAnsi="宋体" w:eastAsia="宋体"/>
          <w:b/>
          <w:sz w:val="24"/>
        </w:rPr>
        <w:t>3. 供应链驱动创新网络与产学研协同创新网络</w:t>
      </w:r>
      <w:r>
        <w:rPr>
          <w:rFonts w:ascii="宋体" w:hAnsi="宋体" w:eastAsia="宋体"/>
          <w:sz w:val="24"/>
        </w:rPr>
      </w:r>
    </w:p>
    <w:p>
      <w:pPr>
        <w:ind w:firstLine="420"/>
      </w:pPr>
      <w:r>
        <w:rPr>
          <w:rFonts w:ascii="宋体" w:hAnsi="宋体" w:eastAsia="宋体"/>
          <w:sz w:val="24"/>
        </w:rPr>
        <w:t>全球开放网络是企业主动跨越边界的知识搜寻，而供应链网络和产学研网络嵌入在已有的交易关系与制度安排之中，它们的创新功能是被"激活"出来的，运行逻辑与开放网络有根本区别。</w:t>
      </w:r>
    </w:p>
    <w:p>
      <w:pPr>
        <w:ind w:firstLine="420"/>
      </w:pPr>
      <w:r>
        <w:rPr>
          <w:rFonts w:ascii="宋体" w:hAnsi="宋体" w:eastAsia="宋体"/>
          <w:sz w:val="24"/>
        </w:rPr>
        <w:t>供应链的创新功能来自一个常被忽视的事实：大量技术改进并非诞生于实验室，而是在配套、调试和迭代交付中"用"出来的。Dyer和Nobeoka（2000）对丰田供应商网络的经典研究揭示了这一过程被制度化的可能——供应商协会、自愿学习小组和企业咨询部门协同运作，核心制度设计是将生产知识定义为"网络的财产"而非某家企业的私有物，由此同时绕过了知识共享中的激励不足、搭便车和搜寻成本三重障碍。但丰田模式依赖的是数十年积累的信任与协作惯例。Isaksson、Simeth和Seifert（2016）用美国高科技产业面板数据给出了一个关键的限定条件：买方创新确实正向溢出至供应商，但溢出仅在长期关系中显著，技术邻近性的调节效应反而不成立。在供应链情境下，"知道谁"似乎比"知道什么"更关键。Bellamy、Ghosh和Hora（2014）将分析视角从二元关系拉升至网络整体，发现供应网络的可及性与互联性存在正向交互——企业既要能快速触及网络信息，也要有彼此信任的合作伙伴，吸收能力和伙伴创新质量决定了结构优势能否兑现为实际产出。Azadegan和Dooley（2010）从组织学习风格切入，补充了另一层细致逻辑：制造商与供应商之间的学习风格需要匹配，设计责任高时供应商的探索能力更关键，设计责任低时互补性配对更优。</w:t>
      </w:r>
    </w:p>
    <w:p>
      <w:pPr>
        <w:ind w:firstLine="420"/>
      </w:pPr>
      <w:r>
        <w:rPr>
          <w:rFonts w:ascii="宋体" w:hAnsi="宋体" w:eastAsia="宋体"/>
          <w:sz w:val="24"/>
        </w:rPr>
        <w:t>产学研网络解决的是另一类问题：将科学知识转化为技术方案。Etzkowitz和Leydesdorff（2000）从制度变迁的角度提出"三重螺旋"——大学、产业与政府从分立走向功能交叠，大学在传统的教学与研究之外承担经济贡献的"第三使命"。Perkmann等（2013）的综述将这一宏大叙事拉回到经验层面，区分了大学—产业关系的两种形态：学术参与（合作研究、咨询、人员流动）和商业化（专利、许可、衍生企业）。他们发现学术参与在规模和影响力上远超商业化，但恰恰是前者受到了更少的学术关注。</w:t>
      </w:r>
    </w:p>
    <w:p>
      <w:pPr>
        <w:ind w:firstLine="420"/>
      </w:pPr>
      <w:r>
        <w:rPr>
          <w:rFonts w:ascii="宋体" w:hAnsi="宋体" w:eastAsia="宋体"/>
          <w:sz w:val="24"/>
        </w:rPr>
        <w:t>在中国情境下，产学研协同面临着科学与产业之间的结构性衔接障碍。何郁冰（2012）将协同拆解为战略、知识和组织三个维度——知识协同是基础（隐性知识与显性知识的双向流动），组织协同是载体（联合实验室等实体），战略协同是导向（价值创造与利益分配的一致），任何一维的薄弱都会拖累整体效果。洪银兴（2014）从公共经济学角度指出，科学知识的公共产品属性决定了基础研究的市场供给天然不足，政府介入具有效率正当性。原长弘和张树满（2019）则从管理操作层面出发，构建了"以企业为主体"的产学研协同框架（战略层—组织层—运营层），将"谁主导协同"的政策争论转化为可操作的管理问题。</w:t>
      </w:r>
    </w:p>
    <w:p>
      <w:pPr>
        <w:ind w:firstLine="420"/>
      </w:pPr>
      <w:r>
        <w:rPr>
          <w:rFonts w:ascii="宋体" w:hAnsi="宋体" w:eastAsia="宋体"/>
          <w:sz w:val="24"/>
        </w:rPr>
        <w:t>上述两支文献为理解供应链和产学研各自的创新机制提供了坚实的起点。但它们均在"正常条件"下展开分析——网络是给定的，机制是稳定的。当外部技术限制切断了全球开放网络后，供应链网络和产学研网络所承受的压力和承载的期望同时上升：它们不仅要完成各自原有的创新功能，还被期待补上全球网络受损留下的缺口。这种功能叠加能否发生、在什么条件下发生，是既有文献尚未触及的问题。</w:t>
      </w:r>
    </w:p>
    <w:p>
      <w:pPr>
        <w:ind w:firstLine="420"/>
      </w:pPr>
      <w:r>
        <w:rPr>
          <w:rFonts w:ascii="宋体" w:hAnsi="宋体" w:eastAsia="宋体"/>
          <w:sz w:val="24"/>
        </w:rPr>
      </w:r>
      <w:r>
        <w:rPr>
          <w:rFonts w:ascii="宋体" w:hAnsi="宋体" w:eastAsia="宋体"/>
          <w:b/>
          <w:sz w:val="24"/>
        </w:rPr>
        <w:t>4. 外部技术限制与企业创新</w:t>
      </w:r>
      <w:r>
        <w:rPr>
          <w:rFonts w:ascii="宋体" w:hAnsi="宋体" w:eastAsia="宋体"/>
          <w:sz w:val="24"/>
        </w:rPr>
      </w:r>
    </w:p>
    <w:p>
      <w:pPr>
        <w:ind w:firstLine="420"/>
      </w:pPr>
      <w:r>
        <w:rPr>
          <w:rFonts w:ascii="宋体" w:hAnsi="宋体" w:eastAsia="宋体"/>
          <w:sz w:val="24"/>
        </w:rPr>
        <w:t>出口管制如何影响企业创新？近期文献给出了两幅并不完全重合的图景。</w:t>
      </w:r>
    </w:p>
    <w:p>
      <w:pPr>
        <w:ind w:firstLine="420"/>
      </w:pPr>
      <w:r>
        <w:rPr>
          <w:rFonts w:ascii="宋体" w:hAnsi="宋体" w:eastAsia="宋体"/>
          <w:sz w:val="24"/>
        </w:rPr>
        <w:t>He和Lyu（2025）利用A股上市公司数据和多时点双重差分法发现，被制裁企业集团内未直接受限的关联企业，在制裁后高质量发明专利申请显著增加，但低质量专利无变化。供应链关系——尤其是上游企业——是这一创新转移的关键推动力。然而，制裁对集团整体创新绩效并无显著提升，效应本质上是内部资源的重新配置而非整体跃升。Anwar、Hu、Luan和Wang（2024）则用更长时段数据和PSM-DID设计得出了不同的判断：制裁通过政府补贴增加、企业R&amp;D投入加大和业务聚焦等渠道，在整体层面促进了被制裁中国企业的创新，并产生了行业正向溢出。同时，制裁对美国供应商造成了显著负面冲击——收入和利润下降、资本回报率下滑，是一种"双输"格局。</w:t>
      </w:r>
    </w:p>
    <w:p>
      <w:pPr>
        <w:ind w:firstLine="420"/>
      </w:pPr>
      <w:r>
        <w:rPr>
          <w:rFonts w:ascii="宋体" w:hAnsi="宋体" w:eastAsia="宋体"/>
          <w:sz w:val="24"/>
        </w:rPr>
        <w:t>两组研究的差异——转移还是促进、内部重配还是整体跃升——本身比任何一方的单独结论更有信息量。它们很可能源于样本时段、覆盖范围和机制关注点的区别，但共同指向了一个判断：制裁的创新效应不是线性的，方向、强度和边界都依赖于具体条件。</w:t>
      </w:r>
    </w:p>
    <w:p>
      <w:pPr>
        <w:ind w:firstLine="420"/>
      </w:pPr>
      <w:r>
        <w:rPr>
          <w:rFonts w:ascii="宋体" w:hAnsi="宋体" w:eastAsia="宋体"/>
          <w:sz w:val="24"/>
        </w:rPr>
        <w:t>国内研究精细化了这些条件。产业链"卡脖子"风险对头部企业自主创新有显著促进作用，但其前提是产业集聚和协同网络的存在——缺乏网络支撑的企业更多感受到的是生存压力而非创新激励（郑世林等，2025）。技术断供对下游企业创新激励的强度则取决于上游市场集中度：上游越集中、替代来源越少，倒逼效应越强（寇宗来等，2023）。冲击的效果，说到底取决于冲击落点所处的网络结构。</w:t>
      </w:r>
    </w:p>
    <w:p>
      <w:pPr>
        <w:ind w:firstLine="420"/>
      </w:pPr>
      <w:r>
        <w:rPr>
          <w:rFonts w:ascii="宋体" w:hAnsi="宋体" w:eastAsia="宋体"/>
          <w:sz w:val="24"/>
        </w:rPr>
        <w:t>综合来看，既有研究已经揭示了制裁效应的非线性、非对称和条件依赖性，也注意到了企业集团、供应链和合作网络在冲击传导中的缓冲与转移作用。但三个缺口仍然清晰。第一，不同网络形态——全球开放、供应链驱动、产学研协同——之间的概念边界没有被认真厘清，它们常常被笼统地归入"开放合作"或"协同创新"的标签下，各自在空间尺度、组织关系和知识转化链上的结构性差异被遮蔽。第二，网络之间的关系——替代、互补、叠加——尚未被作为独立问题加以考察。第三，理论机制、实证识别与政策设计之间衔接松散，缺少一个能系统回答"何种网络组合在何种条件下有利于何种核心技术突破"的分析框架。本课题正是围绕这三个缺口展开的。</w:t>
      </w:r>
    </w:p>
    <w:p>
      <w:pPr>
        <w:ind w:firstLine="420"/>
      </w:pPr>
      <w:r>
        <w:rPr>
          <w:rFonts w:ascii="宋体" w:hAnsi="宋体" w:eastAsia="宋体"/>
          <w:sz w:val="24"/>
        </w:rPr>
        <w:t>在政策层面，陈劲、阳镇和朱子钦（2021）将新型举国体制提炼为三种差异化落地模式——面向应急攻关的举国动员、基于国家战略科技力量的政产学研用深度融合、以央企为主导的整合式创新——分别对应重大公共危机、前沿技术突破和产业链安全等不同场景。这一框架为理解政府如何组织关键核心技术突破提供了制度层面的起点，但它侧重于制度设计原则，尚未下沉到企业层面的网络运行机制。本课题试图完成这个衔接：将新型举国体制的制度逻辑与创新网络的微观机制对接，追问不同政策工具在何种网络条件下最有效。</w:t>
      </w:r>
    </w:p>
    <w:p>
      <w:pPr>
        <w:spacing w:before="120" w:after="60"/>
      </w:pPr>
      <w:r>
        <w:rPr>
          <w:rFonts w:ascii="黑体" w:hAnsi="黑体" w:eastAsia="黑体"/>
          <w:b/>
          <w:sz w:val="26"/>
        </w:rPr>
        <w:t>（三）学术价值与应用价值</w:t>
      </w:r>
    </w:p>
    <w:p>
      <w:pPr>
        <w:ind w:firstLine="420"/>
      </w:pPr>
      <w:r>
        <w:rPr>
          <w:rFonts w:ascii="宋体" w:hAnsi="宋体" w:eastAsia="宋体"/>
          <w:sz w:val="24"/>
        </w:rPr>
        <w:t>学术价值在于：其一，将全球开放创新网络、供应链驱动创新网络与产学研协同创新网络纳入统一分析框架，厘清三类网络的概念边界、结构特征与功能差异，推进创新网络理论在"受限开放"情境下的拓展。其二，从网络间互动关系——替代、互补与叠加——切入，分析外部技术限制如何改变企业与产业的网络选择与合作路径，深化对复杂技术系统中多网络协同机制的理解。其三，通过多源数据与典型案例的结合，识别不同网络对关键核心技术突破的作用条件与边界，为开放式创新、全球价值链升级与国家创新系统的交叉研究提供经验证据。</w:t>
      </w:r>
    </w:p>
    <w:p>
      <w:pPr>
        <w:ind w:firstLine="420"/>
      </w:pPr>
      <w:r>
        <w:rPr>
          <w:rFonts w:ascii="宋体" w:hAnsi="宋体" w:eastAsia="宋体"/>
          <w:sz w:val="24"/>
        </w:rPr>
        <w:t>应用价值在于：其一，为外部不确定性上升背景下优化创新资源配置、提升产业链供应链韧性提供基于实证的决策依据。其二，为地方政府与行业主管部门构建高质量创新网络、完善产学研协同机制提供差异化的政策工具。其三，为企业在全球合作受限条件下选择合作伙伴、组织联合攻关提供实践参考。</w:t>
      </w:r>
    </w:p>
    <w:p>
      <w:pPr>
        <w:spacing w:before="240" w:after="120"/>
      </w:pPr>
      <w:r>
        <w:rPr>
          <w:rFonts w:ascii="黑体" w:hAnsi="黑体" w:eastAsia="黑体"/>
          <w:b/>
          <w:sz w:val="28"/>
        </w:rPr>
        <w:t>三、研究内容</w:t>
      </w:r>
    </w:p>
    <w:p>
      <w:pPr>
        <w:spacing w:before="120" w:after="60"/>
      </w:pPr>
      <w:r>
        <w:rPr>
          <w:rFonts w:ascii="黑体" w:hAnsi="黑体" w:eastAsia="黑体"/>
          <w:b/>
          <w:sz w:val="26"/>
        </w:rPr>
        <w:t>（一）总体框架与目录</w:t>
      </w:r>
    </w:p>
    <w:p>
      <w:pPr>
        <w:ind w:firstLine="420"/>
      </w:pPr>
      <w:r>
        <w:rPr>
          <w:rFonts w:ascii="宋体" w:hAnsi="宋体" w:eastAsia="宋体"/>
          <w:sz w:val="24"/>
        </w:rPr>
        <w:t>本课题以"冲击—网络重构—突破"为主线，构建三阶段分析框架，下设六章。</w:t>
      </w:r>
    </w:p>
    <w:p>
      <w:pPr>
        <w:ind w:firstLine="420"/>
      </w:pPr>
      <w:r>
        <w:rPr>
          <w:rFonts w:ascii="宋体" w:hAnsi="宋体" w:eastAsia="宋体"/>
          <w:sz w:val="24"/>
        </w:rPr>
        <w:t>第一章　导论：研究背景、核心概念与文献基础</w:t>
      </w:r>
    </w:p>
    <w:p>
      <w:pPr>
        <w:ind w:firstLine="420"/>
      </w:pPr>
      <w:r>
        <w:rPr>
          <w:rFonts w:ascii="宋体" w:hAnsi="宋体" w:eastAsia="宋体"/>
          <w:sz w:val="24"/>
        </w:rPr>
        <w:t>第二章　外部技术限制冲击的刻画：实体清单演变的特征事实、冲击的范围与网络扩散格局</w:t>
      </w:r>
    </w:p>
    <w:p>
      <w:pPr>
        <w:ind w:firstLine="420"/>
      </w:pPr>
      <w:r>
        <w:rPr>
          <w:rFonts w:ascii="宋体" w:hAnsi="宋体" w:eastAsia="宋体"/>
          <w:sz w:val="24"/>
        </w:rPr>
        <w:t>第三章　全球开放创新网络的重构：方向性转移与深度替代</w:t>
      </w:r>
    </w:p>
    <w:p>
      <w:pPr>
        <w:ind w:firstLine="420"/>
      </w:pPr>
      <w:r>
        <w:rPr>
          <w:rFonts w:ascii="宋体" w:hAnsi="宋体" w:eastAsia="宋体"/>
          <w:sz w:val="24"/>
        </w:rPr>
        <w:t>第四章　供应链驱动创新网络的重构：关系升级与需求拉动</w:t>
      </w:r>
    </w:p>
    <w:p>
      <w:pPr>
        <w:ind w:firstLine="420"/>
      </w:pPr>
      <w:r>
        <w:rPr>
          <w:rFonts w:ascii="宋体" w:hAnsi="宋体" w:eastAsia="宋体"/>
          <w:sz w:val="24"/>
        </w:rPr>
        <w:t>第五章　产学研协同创新网络的重构：知识补位与中间转化</w:t>
      </w:r>
    </w:p>
    <w:p>
      <w:pPr>
        <w:ind w:firstLine="420"/>
      </w:pPr>
      <w:r>
        <w:rPr>
          <w:rFonts w:ascii="宋体" w:hAnsi="宋体" w:eastAsia="宋体"/>
          <w:sz w:val="24"/>
        </w:rPr>
        <w:t>第六章　三类网络的互动关系与核心技术突破：网络匹配、替代与叠加的检验与政策含义</w:t>
      </w:r>
    </w:p>
    <w:p>
      <w:pPr>
        <w:spacing w:before="120" w:after="60"/>
      </w:pPr>
      <w:r>
        <w:rPr>
          <w:rFonts w:ascii="黑体" w:hAnsi="黑体" w:eastAsia="黑体"/>
          <w:b/>
          <w:sz w:val="26"/>
        </w:rPr>
        <w:t>（二）研究对象与核心概念</w:t>
      </w:r>
    </w:p>
    <w:p>
      <w:pPr>
        <w:ind w:firstLine="420"/>
      </w:pPr>
      <w:r>
        <w:rPr>
          <w:rFonts w:ascii="宋体" w:hAnsi="宋体" w:eastAsia="宋体"/>
          <w:sz w:val="24"/>
        </w:rPr>
        <w:t>本课题以面临外部技术限制的中国制造业企业为主要研究对象，聚焦集成电路、通信设备、高端装备、新能源汽车等受技术管制影响显著的战略性产业。分析单元包括企业层（创新行为与网络策略）、网络层（三类网络的结构特征与演化动态）与产业层（核心技术的突破路径与产业扩散）。</w:t>
      </w:r>
    </w:p>
    <w:p>
      <w:pPr>
        <w:ind w:firstLine="420"/>
      </w:pPr>
      <w:r>
        <w:rPr>
          <w:rFonts w:ascii="宋体" w:hAnsi="宋体" w:eastAsia="宋体"/>
          <w:sz w:val="24"/>
        </w:rPr>
        <w:t>三张网均以邻接矩阵形式操作化——节点为组织，连接为组织间的创新合作。以下是对每张网的具体界定。其中涉及的节点类型和连接形式是本文为计量分析和实证设计所做的操作化归纳，所依据的经验事实均来自选题依据部分已详述的文献，括号内的引用表示归纳所依托的文献出处。</w:t>
      </w:r>
    </w:p>
    <w:p>
      <w:pPr>
        <w:ind w:firstLine="420"/>
      </w:pPr>
      <w:r>
        <w:rPr>
          <w:rFonts w:ascii="宋体" w:hAnsi="宋体" w:eastAsia="宋体"/>
          <w:sz w:val="24"/>
        </w:rPr>
      </w:r>
      <w:r>
        <w:rPr>
          <w:rFonts w:ascii="宋体" w:hAnsi="宋体" w:eastAsia="宋体"/>
          <w:b/>
          <w:sz w:val="24"/>
        </w:rPr>
        <w:t>（1）全球开放创新网络。</w:t>
      </w:r>
      <w:r>
        <w:rPr>
          <w:rFonts w:ascii="宋体" w:hAnsi="宋体" w:eastAsia="宋体"/>
          <w:sz w:val="24"/>
        </w:rPr>
        <w:t xml:space="preserve"> 这张网的基础定义来自Chesbrough（2003）：企业主动管理跨越组织边界的知识流入与流出。本课题取其跨国维度——中国企业通过与外国供应商、客户、竞争者、大学和独立科研机构等主体的合作获取知识。</w:t>
      </w:r>
    </w:p>
    <w:p>
      <w:pPr>
        <w:ind w:firstLine="420"/>
      </w:pPr>
      <w:r>
        <w:rPr>
          <w:rFonts w:ascii="宋体" w:hAnsi="宋体" w:eastAsia="宋体"/>
          <w:sz w:val="24"/>
        </w:rPr>
        <w:t>这张网最显著的结构特征是节点分布在不同的主权管辖之下。出口管制可以直接切断某些连接，企业对此没有自主控制权——这不是Laursen和Salter（2006）所讨论的"企业主动调整开放度"的问题。再加上地理距离增加协调成本、制度距离增加合规风险、文化距离增加沟通障碍——这些摩擦在国际研发合作的地域广度与创新绩效之间制造了一个倒U型（吴剑峰、杨震宁、邱永辉，2015）。所以这张网本身就是三张网里最脆的。</w:t>
      </w:r>
    </w:p>
    <w:p>
      <w:pPr>
        <w:ind w:firstLine="420"/>
      </w:pPr>
      <w:r>
        <w:rPr>
          <w:rFonts w:ascii="宋体" w:hAnsi="宋体" w:eastAsia="宋体"/>
          <w:sz w:val="24"/>
        </w:rPr>
        <w:t>连接形式上，Dahlander和Gann（2010）以入向/出向和金钱/非金钱两个维度划分了四类开放类型。中国企业的主要连接集中在入向一侧：国际研发合作协议、技术许可、海外研发子公司、跨国联合专利申请和跨国技术并购（吴剑峰等，2015；李梅、余天骄，2016）。此外，海归人才引进和技术人员跨国交流承载的是隐性知识——层次更深但更难从公开数据里直接抓到（Perkmann等，2013意义上的人力流动）。这些非正式连接在计量分析中只能间接处理，需要案例补充。</w:t>
      </w:r>
    </w:p>
    <w:p>
      <w:pPr>
        <w:ind w:firstLine="420"/>
      </w:pPr>
      <w:r>
        <w:rPr>
          <w:rFonts w:ascii="宋体" w:hAnsi="宋体" w:eastAsia="宋体"/>
          <w:sz w:val="24"/>
        </w:rPr>
        <w:t>同一张网，不同企业的使用效率差异很大。李梅和余天骄（2016）在信息技术企业中证明了研发国际化的创新效应受社会资源结构性调节——高管政治联系有助于资源获取而正向调节，国有股权因效率损失而负向调节，制度落后地区的社会资源作用更突出。这意味着制裁导致网络断裂后，不同企业的承受力和替代能力不可能一样。吴剑峰等（2015）发现资金和技术资源更充裕的企业能更好地消化异质性知识，这在制裁后同样适用——资源禀赋决定了企业能在多大程度上从替代合作方那里继续获益。</w:t>
      </w:r>
    </w:p>
    <w:p>
      <w:pPr>
        <w:ind w:firstLine="420"/>
      </w:pPr>
      <w:r>
        <w:rPr>
          <w:rFonts w:ascii="宋体" w:hAnsi="宋体" w:eastAsia="宋体"/>
          <w:sz w:val="24"/>
        </w:rPr>
      </w:r>
      <w:r>
        <w:rPr>
          <w:rFonts w:ascii="宋体" w:hAnsi="宋体" w:eastAsia="宋体"/>
          <w:b/>
          <w:sz w:val="24"/>
        </w:rPr>
        <w:t>（2）供应链驱动创新网络。</w:t>
      </w:r>
      <w:r>
        <w:rPr>
          <w:rFonts w:ascii="宋体" w:hAnsi="宋体" w:eastAsia="宋体"/>
          <w:sz w:val="24"/>
        </w:rPr>
        <w:t xml:space="preserve"> 以垂直交易关系为载体的知识传递与创新协同。和全球开放网络的本质区别在于：这张网的知识不来自"买"，而来自"用"——大量技术改进是在配套、调试和迭代交付中磨出来的。</w:t>
      </w:r>
    </w:p>
    <w:p>
      <w:pPr>
        <w:ind w:firstLine="420"/>
      </w:pPr>
      <w:r>
        <w:rPr>
          <w:rFonts w:ascii="宋体" w:hAnsi="宋体" w:eastAsia="宋体"/>
          <w:sz w:val="24"/>
        </w:rPr>
        <w:t>Dyer和Nobeoka（2000）对丰田的经典研究提供了理解这张网的核心线索。他们发现供应商协会（促水平交流）、自愿学习小组（促垂直技术转移）和企业咨询部门（提供直接技术援助）三者协同运作，前提是将生产知识定义为"网络的财产"——不只是链主的私产。在这个框架里，节点包括链主企业（有产品定义权和上下游协调权的系统集成商或终端制造商）、一至多级供应商、客户与经销商，以及物流、检测和认证等维持日常运转的服务方。</w:t>
      </w:r>
    </w:p>
    <w:p>
      <w:pPr>
        <w:ind w:firstLine="420"/>
      </w:pPr>
      <w:r>
        <w:rPr>
          <w:rFonts w:ascii="宋体" w:hAnsi="宋体" w:eastAsia="宋体"/>
          <w:sz w:val="24"/>
        </w:rPr>
        <w:t>连接主要以长期供货合同为基座，但创新功能依托的是联合产品开发、供应商技术援助、上下游联合专利和行业标准共建。Isaksson、Simeth和Seifert（2016）用美国高科技产业面板数据给出了一个有分量的限定——买方创新确实正向溢出至供应商，但只在长期关系中显著。技术邻近性的调节效应反而不成立。这说明在供应链里，信任和协作惯例比技术领域的接近程度更能解释知识流动的方向和强度。另一个区别于产学研连接的关键是，这里的知识是制造过程中内生的——参数怎么调、良率怎么提、成本怎么降——本身就是创新，不需要经过从科学原理到技术方案的翻译。</w:t>
      </w:r>
    </w:p>
    <w:p>
      <w:pPr>
        <w:ind w:firstLine="420"/>
      </w:pPr>
      <w:r>
        <w:rPr>
          <w:rFonts w:ascii="宋体" w:hAnsi="宋体" w:eastAsia="宋体"/>
          <w:sz w:val="24"/>
        </w:rPr>
        <w:t>但从网络结构看，这张网的创新效率不会自动兑现。Bellamy、Ghosh和Hora（2014）发现供应网络的可及性和互联性各自促进创新且有正向交互，但两者的作用都以企业的吸收能力和伙伴创新质量为边界。Azadegan和Dooley（2010）补充了匹配逻辑——制造商与供应商学习风格的搭配效果取决于外包任务的设计责任高低：设计责任高时，供应商的探索能力更关键；设计责任低时，互补性配对更优。综合来看，关系积累的时间长度、网络结构的位置特征和组织学习风格的匹配程度，共同决定了这张网在多大程度上能被激活为创新通道——而不只是物流通道。</w:t>
      </w:r>
    </w:p>
    <w:p>
      <w:pPr>
        <w:ind w:firstLine="420"/>
      </w:pPr>
      <w:r>
        <w:rPr>
          <w:rFonts w:ascii="宋体" w:hAnsi="宋体" w:eastAsia="宋体"/>
          <w:sz w:val="24"/>
        </w:rPr>
      </w:r>
      <w:r>
        <w:rPr>
          <w:rFonts w:ascii="宋体" w:hAnsi="宋体" w:eastAsia="宋体"/>
          <w:b/>
          <w:sz w:val="24"/>
        </w:rPr>
        <w:t>（3）产学研协同创新网络。</w:t>
      </w:r>
      <w:r>
        <w:rPr>
          <w:rFonts w:ascii="宋体" w:hAnsi="宋体" w:eastAsia="宋体"/>
          <w:sz w:val="24"/>
        </w:rPr>
        <w:t xml:space="preserve"> 这张网做的是另两张网都做不了的事：把大学和科研院所里的科学知识变成企业产线上能用的技术方案。</w:t>
      </w:r>
    </w:p>
    <w:p>
      <w:pPr>
        <w:ind w:firstLine="420"/>
      </w:pPr>
      <w:r>
        <w:rPr>
          <w:rFonts w:ascii="宋体" w:hAnsi="宋体" w:eastAsia="宋体"/>
          <w:sz w:val="24"/>
        </w:rPr>
        <w:t>Etzkowitz和Leydesdorff（2000）从制度层面提出了三重螺旋——大学、产业和政府从分立走向功能交叠，大学承担教学和研究之外的"第三使命"。Perkmann等（2013）在综述中把这条线索推进了一大步：他们区分了学术参与（合作研究、咨询、人员流动）和商业化（专利、许可、衍生企业），发现前者的知识转移规模和影响力远超后者——但文献和政策的关注度恰好相反。</w:t>
      </w:r>
    </w:p>
    <w:p>
      <w:pPr>
        <w:ind w:firstLine="420"/>
      </w:pPr>
      <w:r>
        <w:rPr>
          <w:rFonts w:ascii="宋体" w:hAnsi="宋体" w:eastAsia="宋体"/>
          <w:sz w:val="24"/>
        </w:rPr>
        <w:t>落到中国的经验层面，何郁冰（2012）的三协同框架——知识协同（隐性知识与显性知识的双向流动）、组织协同（联合实验室等实体平台）和战略协同（价值创造与利益分配的统一）——提供了一个有用的拆解。其中"组织协同"指向了一类这张网独有的节点：转化中介设施。联合实验室、协同创新中心、中试平台、概念验证中心和技术转移办公室——它们既是连接发生的场所，也是具有独立功能的网络节点。除此之外，节点还包括知识生产方（大学、国立科研机构、重点实验室）、知识应用方（企业研发中心）和制度支持方（政府科技部门、NSFC和行业协会）。洪银兴（2014）论证了最后一方的必要性：科学知识作为公共产品的属性导致了基础研究领域的市场供给不足，政府介入具有效率正当性。</w:t>
      </w:r>
    </w:p>
    <w:p>
      <w:pPr>
        <w:ind w:firstLine="420"/>
      </w:pPr>
      <w:r>
        <w:rPr>
          <w:rFonts w:ascii="宋体" w:hAnsi="宋体" w:eastAsia="宋体"/>
          <w:sz w:val="24"/>
        </w:rPr>
        <w:t>连接的类型比前两张网都丰富。合作研究项目、合同研究、联合专利申请、联合实验室实体化运作、技术许可、学术创业和衍生企业、NSFC联合资助项目、联合培养研究生与企业博士后——这些都是可观测的。原长弘和张树满（2019）的企业为主体管理框架为组织这些连接提供了操作方案。但在所有这些连接形式中，有一类效率最高也最难量化——人员双向流动。教授进企业、工程师进实验室、研究生毕业入产业，承载的是隐性知识。Perkmann等（2013）正是因为这一条才得出了学术参与优于商业化的判断。</w:t>
      </w:r>
    </w:p>
    <w:p>
      <w:pPr>
        <w:ind w:firstLine="420"/>
      </w:pPr>
      <w:r>
        <w:rPr>
          <w:rFonts w:ascii="宋体" w:hAnsi="宋体" w:eastAsia="宋体"/>
          <w:sz w:val="24"/>
        </w:rPr>
        <w:t>这张网的阿喀琉斯之踵在中间转化环节。何郁冰（2012）的三协同框架已经暗示了这一点：三个维度是串联关系，任何一环的薄弱都会拖累整体。过去这道串联上的薄弱被全球技术采购绕过了——企业直接买国外供应商已完成工程化验证的成套方案，产学研网络长期以辅助通道运转。外部技术限制关上了绕行路线，薄弱环节直接暴露为瓶颈。另一个麻烦是Perkmann等（2013）揭示的数据偏差——最有效的通道（人员流动）恰恰是最难用公开数据观测的。如果只看联合专利数量，大概率会系统性高估产学研合作的实际效果。</w:t>
      </w:r>
    </w:p>
    <w:p>
      <w:pPr>
        <w:ind w:firstLine="420"/>
      </w:pPr>
      <w:r>
        <w:rPr>
          <w:rFonts w:ascii="宋体" w:hAnsi="宋体" w:eastAsia="宋体"/>
          <w:sz w:val="24"/>
        </w:rPr>
      </w:r>
      <w:r>
        <w:rPr>
          <w:rFonts w:ascii="宋体" w:hAnsi="宋体" w:eastAsia="宋体"/>
          <w:b/>
          <w:sz w:val="24"/>
        </w:rPr>
        <w:t>（4）网络重构。</w:t>
      </w:r>
      <w:r>
        <w:rPr>
          <w:rFonts w:ascii="宋体" w:hAnsi="宋体" w:eastAsia="宋体"/>
          <w:sz w:val="24"/>
        </w:rPr>
        <w:t xml:space="preserve"> 企业在外部冲击下对创新网络连接的结构性调整，包括合作伙伴的替代、关系的深化或退出，以及网络位置的主动迁移。</w:t>
      </w:r>
    </w:p>
    <w:p>
      <w:pPr>
        <w:ind w:firstLine="420"/>
      </w:pPr>
      <w:r>
        <w:rPr>
          <w:rFonts w:ascii="宋体" w:hAnsi="宋体" w:eastAsia="宋体"/>
          <w:sz w:val="24"/>
        </w:rPr>
      </w:r>
      <w:r>
        <w:rPr>
          <w:rFonts w:ascii="宋体" w:hAnsi="宋体" w:eastAsia="宋体"/>
          <w:b/>
          <w:sz w:val="24"/>
        </w:rPr>
        <w:t>（5）关键核心技术突破。</w:t>
      </w:r>
      <w:r>
        <w:rPr>
          <w:rFonts w:ascii="宋体" w:hAnsi="宋体" w:eastAsia="宋体"/>
          <w:sz w:val="24"/>
        </w:rPr>
        <w:t xml:space="preserve"> 在产业竞争力与国家战略安全层面具有全局影响的技术能力跃迁，操作化为高质量发明专利增长、核心技术标准制定与关键产品国产替代。本课题区分三种类型：从零到一的前沿原创、卡脖子环节的定点攻关、已有路线的追赶迭代——三者对网络配置的需求不同，构成动态匹配假说的出发点。</w:t>
      </w:r>
    </w:p>
    <w:p>
      <w:pPr>
        <w:spacing w:before="120" w:after="60"/>
      </w:pPr>
      <w:r>
        <w:rPr>
          <w:rFonts w:ascii="黑体" w:hAnsi="黑体" w:eastAsia="黑体"/>
          <w:b/>
          <w:sz w:val="26"/>
        </w:rPr>
        <w:t>（三）三类网络的基本逻辑</w:t>
      </w:r>
    </w:p>
    <w:p>
      <w:pPr>
        <w:ind w:firstLine="420"/>
      </w:pPr>
      <w:r>
        <w:rPr>
          <w:rFonts w:ascii="宋体" w:hAnsi="宋体" w:eastAsia="宋体"/>
          <w:sz w:val="24"/>
        </w:rPr>
        <w:t>选取三类网络并非出于分类便利。全球开放创新网络解决的是知识从哪来的问题——过去三十年，中国企业的技术能力积累沿"引进—消化—吸收—再创新"展开，全球网络就是这个路径的载体。供应链驱动创新网络解决的是知识怎么转化的问题——大量技术改进不是在实验室完成的，而是在配套、调试和迭代交付中磨出来的。产学研协同创新网络解决的是知识怎么生产的问题——将科学原理转化为技术方案，过去这条通路被全球技术采购绕过了。三张网在正常条件下各司其职，网络之间的空隙靠全球采购填补。外部技术限制切断了全球网络的部分连接后，供应链和产学研被期待补上缺口。但补不补得上，取决于网络自身的结构条件、核心企业的能力特征，以及网络配置与技术问题类型的匹配——这正是接下来三个假说要回答的。</w:t>
      </w:r>
    </w:p>
    <w:p>
      <w:pPr>
        <w:spacing w:before="120" w:after="60"/>
      </w:pPr>
      <w:r>
        <w:rPr>
          <w:rFonts w:ascii="黑体" w:hAnsi="黑体" w:eastAsia="黑体"/>
          <w:b/>
          <w:sz w:val="26"/>
        </w:rPr>
        <w:t>（四）三个核心假说</w:t>
      </w:r>
    </w:p>
    <w:p>
      <w:pPr>
        <w:ind w:firstLine="420"/>
      </w:pPr>
      <w:r>
        <w:rPr>
          <w:rFonts w:ascii="宋体" w:hAnsi="宋体" w:eastAsia="宋体"/>
          <w:sz w:val="24"/>
        </w:rPr>
      </w:r>
      <w:r>
        <w:rPr>
          <w:rFonts w:ascii="宋体" w:hAnsi="宋体" w:eastAsia="宋体"/>
          <w:b/>
          <w:sz w:val="24"/>
        </w:rPr>
        <w:t>假说一：网络动态匹配假说。</w:t>
      </w:r>
      <w:r>
        <w:rPr>
          <w:rFonts w:ascii="宋体" w:hAnsi="宋体" w:eastAsia="宋体"/>
          <w:sz w:val="24"/>
        </w:rPr>
        <w:t>从零到一的前沿原创、卡脖子环节的定点攻关、已有路线的追赶迭代，是性质完全不同的三类技术活动，各自需要的网络支撑结构也不同。Azadegan和Dooley（2010）从制造商—供应商匹配的微观层面提供了启发——学习风格与外包任务类型的搭配决定了合作绩效，设计责任高时供应商探索能力更关键，设计责任低时互补配对更优。吕铁对中国高铁的产业层面分析则表明，政府干预方式需要随技术发展阶段动态调整，不存在一劳永逸的最优模式。这两条线索分别从微观组织匹配和宏观产业政策指向了同一方向。本文将这一逻辑延伸至网络层面：前沿原创应让产学研网络主导，先走通科学原理；卡脖子攻关应让供应链网络主导，链主企业组织上下游合力攻克已有明确目标的工程难题；追赶迭代应让全球开放网络主导，在合作与竞争中边学边追。匹配错位，网络重构的效果就会打折。</w:t>
      </w:r>
    </w:p>
    <w:p>
      <w:pPr>
        <w:ind w:firstLine="420"/>
      </w:pPr>
      <w:r>
        <w:rPr>
          <w:rFonts w:ascii="宋体" w:hAnsi="宋体" w:eastAsia="宋体"/>
          <w:sz w:val="24"/>
        </w:rPr>
      </w:r>
      <w:r>
        <w:rPr>
          <w:rFonts w:ascii="宋体" w:hAnsi="宋体" w:eastAsia="宋体"/>
          <w:b/>
          <w:sz w:val="24"/>
        </w:rPr>
        <w:t>假说二：网络替代假说。</w:t>
      </w:r>
      <w:r>
        <w:rPr>
          <w:rFonts w:ascii="宋体" w:hAnsi="宋体" w:eastAsia="宋体"/>
          <w:sz w:val="24"/>
        </w:rPr>
        <w:t>外部技术限制冲击下，全球开放网络受损的功能能否被供应链网络和产学研网络部分接管？替代的发生需要条件。供应链网络方面，知识溢出仅在长期合作关系中显著（Isaksson等，2016），这意味着能在制裁后快速从买卖关系切换为联合攻关的，主要是那些已经积累了互信和协作惯例的供应商。产学研网络方面，联合实验室、中试平台、概念验证中心等中间转化设施是把大学的科学知识翻译为企业可用技术方案的关键设施（何郁冰，2012；Perkmann等，2013），缺少这些"翻译"环节，替代就停留在纸面上。不同类型的缺口对替代路径也有选择：供应链网络对卡脖子攻关型缺口的替代效率最高，因为工程难题可沿产业链逐级分解；产学研网络对前沿原创型缺口的替代效率最高，因为需要从科学原理出发建立全新技术路线；追赶迭代型缺口则最难被有效替代，因为它依赖持续的竞争性信息输入。</w:t>
      </w:r>
    </w:p>
    <w:p>
      <w:pPr>
        <w:ind w:firstLine="420"/>
      </w:pPr>
      <w:r>
        <w:rPr>
          <w:rFonts w:ascii="宋体" w:hAnsi="宋体" w:eastAsia="宋体"/>
          <w:sz w:val="24"/>
        </w:rPr>
      </w:r>
      <w:r>
        <w:rPr>
          <w:rFonts w:ascii="宋体" w:hAnsi="宋体" w:eastAsia="宋体"/>
          <w:b/>
          <w:sz w:val="24"/>
        </w:rPr>
        <w:t>假说三：网络叠加假说。</w:t>
      </w:r>
      <w:r>
        <w:rPr>
          <w:rFonts w:ascii="宋体" w:hAnsi="宋体" w:eastAsia="宋体"/>
          <w:sz w:val="24"/>
        </w:rPr>
        <w:t>三类网络并非各自独立运行。Powell等（1996）在生物技术产业中观察到创新实际发生在组织间网络之中，Etzkowitz和Leydesdorff（2000）以三重螺旋描述了大学—产业—政府的功能交叠。但这些研究或者聚焦于单一网络类型内部，或者停留在宏观制度层面，并未将不同类型的组织间网络之间的关系作为独立问题提出。本文认为，当产学研网络提供有效的基础知识、供应链网络具备承接能力、全球网络维持信息通路时，交叉地带会出现超越三者简单加总的非线性放大；而当某一网络功能缺失时，放大就退化为脱节。叠加效应的形态同样因技术问题类型而异：前沿原创需要产学研与全球网络的叠加（基础研究跟进前沿），卡脖子攻关需要供应链与产学研的叠加（工程协同加知识补位），追赶迭代需要全球网络与供应链的叠加（竞争学习加制造转化）。</w:t>
      </w:r>
    </w:p>
    <w:p>
      <w:pPr>
        <w:spacing w:before="120" w:after="60"/>
      </w:pPr>
      <w:r>
        <w:rPr>
          <w:rFonts w:ascii="黑体" w:hAnsi="黑体" w:eastAsia="黑体"/>
          <w:b/>
          <w:sz w:val="26"/>
        </w:rPr>
        <w:t>（五）各章核心机制与检验策略</w:t>
      </w:r>
    </w:p>
    <w:p>
      <w:pPr>
        <w:ind w:firstLine="420"/>
      </w:pPr>
      <w:r>
        <w:rPr>
          <w:rFonts w:ascii="宋体" w:hAnsi="宋体" w:eastAsia="宋体"/>
          <w:sz w:val="24"/>
        </w:rPr>
        <w:t>三个假说回答的是"网络之间什么关系"以及"何种配置最有效"的问题。检验假说之前，需要先厘清每张网在冲击下发生了什么。第三章至第五章按上述三张网展开，每章追踪两个核心重构现象。这两个现象本身不预设方向——方向取决于条件。条件正是三个假说试图捕捉的：匹配假说回答了"技术类型决定了哪种网络配置最有效"，替代假说回答了"替代发生的前提"，叠加假说回答了"网络交叉地带何时出现非线性放大"。三个假说合在一起，为判断同一个重构现象在什么条件下往哪个方向走提供了分析框架。</w:t>
      </w:r>
    </w:p>
    <w:p>
      <w:pPr>
        <w:spacing w:before="60" w:after="60"/>
      </w:pPr>
      <w:r>
        <w:rPr>
          <w:rFonts w:ascii="黑体" w:hAnsi="黑体" w:eastAsia="黑体"/>
          <w:b/>
          <w:sz w:val="24"/>
        </w:rPr>
        <w:t>第三章：全球开放创新网络——方向性转移与深度替代</w:t>
      </w:r>
    </w:p>
    <w:p>
      <w:pPr>
        <w:ind w:firstLine="420"/>
      </w:pPr>
      <w:r>
        <w:rPr>
          <w:rFonts w:ascii="宋体" w:hAnsi="宋体" w:eastAsia="宋体"/>
          <w:sz w:val="24"/>
        </w:rPr>
        <w:t>全球开放创新网络是三类网络中直接承受外部冲击的对象。出口管制切断了企业与特定国家主体之间的部分连接后，网络不只是在"缩小"——它内部发生了结构性的重新组织。本章追踪两个最核心的重构现象。</w:t>
      </w:r>
    </w:p>
    <w:p>
      <w:pPr>
        <w:ind w:firstLine="420"/>
      </w:pPr>
      <w:r>
        <w:rPr>
          <w:rFonts w:ascii="宋体" w:hAnsi="宋体" w:eastAsia="宋体"/>
          <w:sz w:val="24"/>
        </w:rPr>
      </w:r>
      <w:r>
        <w:rPr>
          <w:rFonts w:ascii="宋体" w:hAnsi="宋体" w:eastAsia="宋体"/>
          <w:b/>
          <w:sz w:val="24"/>
        </w:rPr>
        <w:t>现象一：方向性转移。</w:t>
      </w:r>
      <w:r>
        <w:rPr>
          <w:rFonts w:ascii="宋体" w:hAnsi="宋体" w:eastAsia="宋体"/>
          <w:sz w:val="24"/>
        </w:rPr>
        <w:t>制裁后，企业与受影响国家（特别是美国）的合作连接减少，同时启动对替代地区——欧洲、日韩、东盟——的合作搜寻。这个过程本身是中性的。</w:t>
      </w:r>
    </w:p>
    <w:p>
      <w:pPr>
        <w:ind w:firstLine="420"/>
      </w:pPr>
      <w:r>
        <w:rPr>
          <w:rFonts w:ascii="宋体" w:hAnsi="宋体" w:eastAsia="宋体"/>
          <w:sz w:val="24"/>
        </w:rPr>
        <w:t>转移成功的一面是找到了实质性的替代知识来源。吴剑峰等（2015）发现了国际研发合作地域广度的创新收益受企业资源禀赋调节——资金和技术资源充裕的企业能更好地消化异质性知识。将这个逻辑平移到制裁情境：转向替代地区后能否维持创新质量，取决于新合作方在相关技术领域的知识储备深度以及企业自身的吸收能力。可检验的含义是：制裁后企业国际联合专利中替代地区合作方的占比上升，且联合专利的后续引用率和实际经济价值不显著低于制裁前与被制裁方的合作水平。</w:t>
      </w:r>
    </w:p>
    <w:p>
      <w:pPr>
        <w:ind w:firstLine="420"/>
      </w:pPr>
      <w:r>
        <w:rPr>
          <w:rFonts w:ascii="宋体" w:hAnsi="宋体" w:eastAsia="宋体"/>
          <w:sz w:val="24"/>
        </w:rPr>
        <w:t>转移失败的一面是替代来源不可得。特定领域的核心知识集中于少数国家和机构——以半导体设备和EDA工具为例，全球前五大供应商占据了超过70%的市场份额，而且这些供应商集中在美国、日本和荷兰。转向替代地区搜寻不到同等水平的知识源，方向性转移实质上退化为单纯的连接断裂。可检验的含义是：制裁后替代地区合作方占比虽然上升，但联合专利的技术领域分布与制裁前被切断的技术领域不匹配，专利质量指标（后续引用、权利要求数、专利族规模）显著下降。</w:t>
      </w:r>
    </w:p>
    <w:p>
      <w:pPr>
        <w:ind w:firstLine="420"/>
      </w:pPr>
      <w:r>
        <w:rPr>
          <w:rFonts w:ascii="宋体" w:hAnsi="宋体" w:eastAsia="宋体"/>
          <w:sz w:val="24"/>
        </w:rPr>
        <w:t>检验这一现象的关键在于区分"转出去了"和"转成功了"。计量上用制裁前后企业国际联合专利中不同地区合作方的占比变化做初步度量，再以被切断技术领域的专利质量变化——而非仅仅数量变化——判断转移的实质效果。异质性分析考察哪些行业和企业在转移中更可能成功，这直接联系匹配假说：技术追赶迭代型缺口的企业最依赖全球网络的竞争性信息输入，它们对转移失败的承受力最弱。</w:t>
      </w:r>
    </w:p>
    <w:p>
      <w:pPr>
        <w:ind w:firstLine="420"/>
      </w:pPr>
      <w:r>
        <w:rPr>
          <w:rFonts w:ascii="宋体" w:hAnsi="宋体" w:eastAsia="宋体"/>
          <w:sz w:val="24"/>
        </w:rPr>
      </w:r>
      <w:r>
        <w:rPr>
          <w:rFonts w:ascii="宋体" w:hAnsi="宋体" w:eastAsia="宋体"/>
          <w:b/>
          <w:sz w:val="24"/>
        </w:rPr>
        <w:t>现象二：深度替代。</w:t>
      </w:r>
      <w:r>
        <w:rPr>
          <w:rFonts w:ascii="宋体" w:hAnsi="宋体" w:eastAsia="宋体"/>
          <w:sz w:val="24"/>
        </w:rPr>
        <w:t>当横向转移不可行时，企业将原依赖外部获取的知识转化为内部研发的重点方向。Laursen和Salter（2006）讨论了外部搜索深度对创新的影响，但他们的分析是在企业自主选择加深搜索的条件下展开的。制裁情境下，加深搜索不是策略选择而是被迫行为。深度替代同样是中性的——内部研发投入大幅增加这件事本身，既可能意味着真正的自主能力建设，也可能意味着资源在错误方向上的堆积。</w:t>
      </w:r>
    </w:p>
    <w:p>
      <w:pPr>
        <w:ind w:firstLine="420"/>
      </w:pPr>
      <w:r>
        <w:rPr>
          <w:rFonts w:ascii="宋体" w:hAnsi="宋体" w:eastAsia="宋体"/>
          <w:sz w:val="24"/>
        </w:rPr>
        <w:t>深度替代能否成功，与匹配假说直接相关。如果被切断的技术缺口属于追赶迭代型——技术路线相对明确、差距主要在工程实现——内部研发的纵深推进更可能产生实质性成果。缺口属于前沿原创型则不同：前沿原创依赖多源异构知识的碰撞，纯内部研发的效率天然受限。如果企业恰好具备该领域的技术储备和人才基础，替代可能性更高；如果被切断的是一个此前完全依赖外部采购、内部没有任何积累的领域，短期内大量投入的内部研发更可能变成低质量的专利泡沫。可检验的含义是：制裁后企业在被切断技术领域的自主研发投入增幅和发明专利申请增幅可以很大，但关键要看这些专利的后续引用率和经济转化率是否跟上了数量增长。</w:t>
      </w:r>
    </w:p>
    <w:p>
      <w:pPr>
        <w:ind w:firstLine="420"/>
      </w:pPr>
      <w:r>
        <w:rPr>
          <w:rFonts w:ascii="宋体" w:hAnsi="宋体" w:eastAsia="宋体"/>
          <w:sz w:val="24"/>
        </w:rPr>
        <w:t>识别策略。本章以美国实体清单的分批列入为外生冲击，以清单企业及其关联企业为处理组、PSM匹配的未受制裁企业为对照组，构建多时点DID。数据来源包括跨国联合专利申请（PATSTAT与国知局）、上市公司海外子公司与分支机构设立记录（CSMAR与年报文本提取）、技术许可与转让合同数据，以及海关进出口中的高技术产品贸易数据。</w:t>
      </w:r>
    </w:p>
    <w:p>
      <w:pPr>
        <w:ind w:firstLine="420"/>
      </w:pPr>
      <w:r>
        <w:rPr>
          <w:rFonts w:ascii="宋体" w:hAnsi="宋体" w:eastAsia="宋体"/>
          <w:sz w:val="24"/>
        </w:rPr>
        <w:t>本章独特难点在于区分"主动转移"与"被动断裂"——制裁后企业与替代地区合作增加，增加的部分是否构成对被切断连接的实质性替代？因果推断需要将受制裁冲击的技术领域与未受冲击领域做精确的领域—时间匹配。</w:t>
      </w:r>
    </w:p>
    <w:p>
      <w:pPr>
        <w:spacing w:before="60" w:after="60"/>
      </w:pPr>
      <w:r>
        <w:rPr>
          <w:rFonts w:ascii="黑体" w:hAnsi="黑体" w:eastAsia="黑体"/>
          <w:b/>
          <w:sz w:val="24"/>
        </w:rPr>
        <w:t>第四章：供应链驱动创新网络——关系升级与需求拉动</w:t>
      </w:r>
    </w:p>
    <w:p>
      <w:pPr>
        <w:ind w:firstLine="420"/>
      </w:pPr>
      <w:r>
        <w:rPr>
          <w:rFonts w:ascii="宋体" w:hAnsi="宋体" w:eastAsia="宋体"/>
          <w:sz w:val="24"/>
        </w:rPr>
        <w:t>供应链网络的创新功能源于一个基本事实：在中国制造业中，大量技术改进是在配套、调试与迭代交付中"用"出来的。外部冲击对供应链网络的作用不同于对全球开放网络——它不是连接的直接受损方，但内部关系因替代需求的涌现而被牵动。本章追踪两个核心重构现象。</w:t>
      </w:r>
    </w:p>
    <w:p>
      <w:pPr>
        <w:ind w:firstLine="420"/>
      </w:pPr>
      <w:r>
        <w:rPr>
          <w:rFonts w:ascii="宋体" w:hAnsi="宋体" w:eastAsia="宋体"/>
          <w:sz w:val="24"/>
        </w:rPr>
      </w:r>
      <w:r>
        <w:rPr>
          <w:rFonts w:ascii="宋体" w:hAnsi="宋体" w:eastAsia="宋体"/>
          <w:b/>
          <w:sz w:val="24"/>
        </w:rPr>
        <w:t>现象一：关系升级。</w:t>
      </w:r>
      <w:r>
        <w:rPr>
          <w:rFonts w:ascii="宋体" w:hAnsi="宋体" w:eastAsia="宋体"/>
          <w:sz w:val="24"/>
        </w:rPr>
        <w:t>制裁切断了外部技术来源后，链主企业转向国内供应商寻求替代方案，原有的买卖关系被推向联合攻关关系。Dyer和Nobeoka（2000）揭示了丰田通过制度化安排将知识扩散至供应商网络的机制，但中国企业面对的情境有重要区别：丰田花了数十年积累信任和协作惯例，而制裁来得突然。</w:t>
      </w:r>
    </w:p>
    <w:p>
      <w:pPr>
        <w:ind w:firstLine="420"/>
      </w:pPr>
      <w:r>
        <w:rPr>
          <w:rFonts w:ascii="宋体" w:hAnsi="宋体" w:eastAsia="宋体"/>
          <w:sz w:val="24"/>
        </w:rPr>
        <w:t>关系升级可能成功。Isaksson等（2016）的发现——供应链知识溢出仅在长期关系中显著——给出了一个直接线索：与被制裁企业有长期合作历史的供应商，制裁后创新提升的幅度应显著大于关系较短的供应商。这是因为长期关系中已经积累了信任基础和隐性协作惯例，升级的门槛更低。成功的信号包括：链主与供应商之间的联合专利申请增加，供应商自身的技术能力出现了可观测的提升——不仅仅是跟着链主做配套，而是具备了独立的产品开发能力。</w:t>
      </w:r>
    </w:p>
    <w:p>
      <w:pPr>
        <w:ind w:firstLine="420"/>
      </w:pPr>
      <w:r>
        <w:rPr>
          <w:rFonts w:ascii="宋体" w:hAnsi="宋体" w:eastAsia="宋体"/>
          <w:sz w:val="24"/>
        </w:rPr>
        <w:t>关系升级也可能失败。当链主提出的技术要求显著超出供应商现有能力时，升级变为单方面输出——链主投入大量资源辅导供应商，但供应商吸收不了。极端情况下，链主被迫更换供应商，原有的供应关系不仅没有升级反而断裂。失败更可能发生在与链主合作历史较短的供应商身上。可检验的含义是：制裁后新选中供应商的创新提升显著小于长期供应商，且新选中的供应商在短期内的更换率更高。此外，Azadegan和Dooley（2010）的学习风格匹配逻辑提示，关系升级的效果还取决于链主与供应商在学习风格上的匹配程度——这在案例中可以进一步追踪。</w:t>
      </w:r>
    </w:p>
    <w:p>
      <w:pPr>
        <w:ind w:firstLine="420"/>
      </w:pPr>
      <w:r>
        <w:rPr>
          <w:rFonts w:ascii="宋体" w:hAnsi="宋体" w:eastAsia="宋体"/>
          <w:sz w:val="24"/>
        </w:rPr>
        <w:t>替代假说在此直接进入检验：制裁冲击×关系持续时间的交乘项是否显著正向影响供应商创新产出。如果交乘项不显著，说明关系积累并未降低升级门槛，替代假说中"替代以长期关系为前提"的判断需要修正。</w:t>
      </w:r>
    </w:p>
    <w:p>
      <w:pPr>
        <w:ind w:firstLine="420"/>
      </w:pPr>
      <w:r>
        <w:rPr>
          <w:rFonts w:ascii="宋体" w:hAnsi="宋体" w:eastAsia="宋体"/>
          <w:sz w:val="24"/>
        </w:rPr>
      </w:r>
      <w:r>
        <w:rPr>
          <w:rFonts w:ascii="宋体" w:hAnsi="宋体" w:eastAsia="宋体"/>
          <w:b/>
          <w:sz w:val="24"/>
        </w:rPr>
        <w:t>现象二：需求拉动。</w:t>
      </w:r>
      <w:r>
        <w:rPr>
          <w:rFonts w:ascii="宋体" w:hAnsi="宋体" w:eastAsia="宋体"/>
          <w:sz w:val="24"/>
        </w:rPr>
        <w:t>制裁后原来从美国进口的零部件供应断裂，国内供应商获得了此前被国际竞争对手占据的市场机会。He和Lyu（2025）在企业集团内部发现了这个效应——被制裁企业的上游关联企业在制裁后创新提升。本文将其扩展至整个国内供应链网络。</w:t>
      </w:r>
    </w:p>
    <w:p>
      <w:pPr>
        <w:ind w:firstLine="420"/>
      </w:pPr>
      <w:r>
        <w:rPr>
          <w:rFonts w:ascii="宋体" w:hAnsi="宋体" w:eastAsia="宋体"/>
          <w:sz w:val="24"/>
        </w:rPr>
        <w:t>市场机会的出现是客观的，但哪些供应商能接住这个机会，差异巨大。制裁前就有技术储备的供应商，需求拉动相当于为其前期积累提供了商业化出口——研发投入快速转化为专利和产品，创新指标出现跳升。而研发能力薄弱的供应商面对突然出现的市场需求，既缺技术基础也缺人才储备，短期内补不上——市场机会本身不足以催生创新，甚至可能因为无法满足链主的新标准而被挤出供应链。可检验的方式是事件研究：被制裁企业公布制裁消息前后，其国内供应商的研发投入与专利申请是否出现跳升；进一步区分事先有技术储备和没有技术储备的供应商，两组跳升的幅度差异本身就是需求拉动效应的条件性证据。</w:t>
      </w:r>
    </w:p>
    <w:p>
      <w:pPr>
        <w:ind w:firstLine="420"/>
      </w:pPr>
      <w:r>
        <w:rPr>
          <w:rFonts w:ascii="宋体" w:hAnsi="宋体" w:eastAsia="宋体"/>
          <w:sz w:val="24"/>
        </w:rPr>
        <w:t>匹配假说在此提供了一层筛选：需求拉动对卡脖子攻关型缺口最有效，因为这个类型的目标明确、技术路线已知，供应商知道该往哪个方向投入研发。对前沿原创型缺口，需求信息本身不够——链主自己也在摸索原理，供应商更无从知道"该补什么"。</w:t>
      </w:r>
    </w:p>
    <w:p>
      <w:pPr>
        <w:ind w:firstLine="420"/>
      </w:pPr>
      <w:r>
        <w:rPr>
          <w:rFonts w:ascii="宋体" w:hAnsi="宋体" w:eastAsia="宋体"/>
          <w:sz w:val="24"/>
        </w:rPr>
        <w:t>本章数据来源包括A股上市公司年报中披露的前五大客户与供应商信息、Connexiti与Bloomberg SPLC等全球供应链数据库，以及上下游企业间的联合专利申请。核心识别以DID为基础，关键创新在于将网络结构特征——关系持续时间、供应商网络中心性——作为交乘项引入模型。</w:t>
      </w:r>
    </w:p>
    <w:p>
      <w:pPr>
        <w:ind w:firstLine="420"/>
      </w:pPr>
      <w:r>
        <w:rPr>
          <w:rFonts w:ascii="宋体" w:hAnsi="宋体" w:eastAsia="宋体"/>
          <w:sz w:val="24"/>
        </w:rPr>
        <w:t>本章有三个独特难点。其一，供应链关系的内生性：链主本就会选择高质量供应商，制裁后供应商创新提升需区分制裁效应和选择效应。本文以供应商更换事件辅助识别：若新选中供应商的创新提升显著小于长期供应商，反向验证"关系积累是替代前提"。其二，替代性创新与突破性创新的区分——产品替代了但技术没升级，和替代过程中实现了技术跃升，政策含义截然不同，需以专利质量与产品性能指标区分。其三，供应商的策略性行为——链主选择供应商和供应商投入研发都可能受到制裁预期的影响——需要在DID框架下引入合适的工具变量。</w:t>
      </w:r>
    </w:p>
    <w:p>
      <w:pPr>
        <w:spacing w:before="60" w:after="60"/>
      </w:pPr>
      <w:r>
        <w:rPr>
          <w:rFonts w:ascii="黑体" w:hAnsi="黑体" w:eastAsia="黑体"/>
          <w:b/>
          <w:sz w:val="24"/>
        </w:rPr>
        <w:t>第五章：产学研协同创新网络——知识补位与中间转化</w:t>
      </w:r>
    </w:p>
    <w:p>
      <w:pPr>
        <w:ind w:firstLine="420"/>
      </w:pPr>
      <w:r>
        <w:rPr>
          <w:rFonts w:ascii="宋体" w:hAnsi="宋体" w:eastAsia="宋体"/>
          <w:sz w:val="24"/>
        </w:rPr>
        <w:t>产学研网络承担的是另两张网均无法替代的功能：从基础科学原理出发建立原创性技术路径。过去，企业可通过国际技术采购绕过国内产学研的薄弱环节。外部限制使这条捷径不再可靠，产学研网络在客观上从可选项变成了必选项——但变成必选项不等于自动运转得好。本章追踪两个核心重构现象。</w:t>
      </w:r>
    </w:p>
    <w:p>
      <w:pPr>
        <w:ind w:firstLine="420"/>
      </w:pPr>
      <w:r>
        <w:rPr>
          <w:rFonts w:ascii="宋体" w:hAnsi="宋体" w:eastAsia="宋体"/>
          <w:sz w:val="24"/>
        </w:rPr>
      </w:r>
      <w:r>
        <w:rPr>
          <w:rFonts w:ascii="宋体" w:hAnsi="宋体" w:eastAsia="宋体"/>
          <w:b/>
          <w:sz w:val="24"/>
        </w:rPr>
        <w:t>现象一：知识补位。</w:t>
      </w:r>
      <w:r>
        <w:rPr>
          <w:rFonts w:ascii="宋体" w:hAnsi="宋体" w:eastAsia="宋体"/>
          <w:sz w:val="24"/>
        </w:rPr>
        <w:t>制裁后企业失去全球技术来源，转向国内大学和科研院所寻求替代性知识。最直接的观测指标是制裁前后企业与高校联合专利申请量的变化。</w:t>
      </w:r>
    </w:p>
    <w:p>
      <w:pPr>
        <w:ind w:firstLine="420"/>
      </w:pPr>
      <w:r>
        <w:rPr>
          <w:rFonts w:ascii="宋体" w:hAnsi="宋体" w:eastAsia="宋体"/>
          <w:sz w:val="24"/>
        </w:rPr>
        <w:t>知识补位可能成功——企业真正从大学那里获得了可以转化为技术方案的知识。Perkmann等（2013）揭示了一个关键区分：学术参与（人员流动、合作研究）的效果远超商业化（专利许可），因为前者承载的是隐性知识。成功的知识补位应该表现为联合专利的领域与被制裁技术缺口直接对应，后续被引和转化情况显著优于制裁前同类合作，企业专利发明人中具有学术背景的比例上升。这构成人才流动作为核心传导渠道的检验——如果制裁后企业新申请专利的发明人学术背景比例没有变化，说明知识补位主要停留在显性知识层面，隐性知识通道未被激活。</w:t>
      </w:r>
    </w:p>
    <w:p>
      <w:pPr>
        <w:ind w:firstLine="420"/>
      </w:pPr>
      <w:r>
        <w:rPr>
          <w:rFonts w:ascii="宋体" w:hAnsi="宋体" w:eastAsia="宋体"/>
          <w:sz w:val="24"/>
        </w:rPr>
        <w:t>知识补位也可能停留在表面。联合专利申请量上升，但IPC分类与被制裁技术缺口不匹配，或者匹配但后续引用率很低——这说明合作是"挂名"性质的，大学提供了申请量但没提供实质性的知识。背后的原因指向替代假说中的条件：缺少有效的组织协同载体（联合实验室、协同创新中心），大学和企业的合作缺乏制度化的知识交换平台，合作停留在项目制的一次性交易。</w:t>
      </w:r>
    </w:p>
    <w:p>
      <w:pPr>
        <w:ind w:firstLine="420"/>
      </w:pPr>
      <w:r>
        <w:rPr>
          <w:rFonts w:ascii="宋体" w:hAnsi="宋体" w:eastAsia="宋体"/>
          <w:sz w:val="24"/>
        </w:rPr>
      </w:r>
      <w:r>
        <w:rPr>
          <w:rFonts w:ascii="宋体" w:hAnsi="宋体" w:eastAsia="宋体"/>
          <w:b/>
          <w:sz w:val="24"/>
        </w:rPr>
        <w:t>现象二：中间转化。</w:t>
      </w:r>
      <w:r>
        <w:rPr>
          <w:rFonts w:ascii="宋体" w:hAnsi="宋体" w:eastAsia="宋体"/>
          <w:sz w:val="24"/>
        </w:rPr>
        <w:t>何郁冰（2012）在三协同框架中把"组织协同"列为独立维度，联合实验室等实体是组织协同的载体。本文据此提出：中间转化设施的建立与否，是产学研合作能否从"挂名"升级为"实质"的关键条件。</w:t>
      </w:r>
    </w:p>
    <w:p>
      <w:pPr>
        <w:ind w:firstLine="420"/>
      </w:pPr>
      <w:r>
        <w:rPr>
          <w:rFonts w:ascii="宋体" w:hAnsi="宋体" w:eastAsia="宋体"/>
          <w:sz w:val="24"/>
        </w:rPr>
        <w:t>中间转化运转起来——有联合实验室、有中试平台、有概念验证中心——产学研合作就能实现从实验室原型到可投产技术方案的跨越。何郁冰（2012）的三协同框架暗示，知识协同（隐性知识与显性知识的双向流动）需要组织协同（实体平台）做支撑。有中试平台的配对，合作产出（联合专利的后续转化率、合作项目的产业化成功率）应显著优于没有中试平台的配对。这是一个可检验的假设：制裁后新建立联合实验室的大学—企业配对，其合作产出显著低于制裁前已有联合实验室的配对——因为后者已经积累了制度化的协作经验，前者从零起步需要时间。</w:t>
      </w:r>
    </w:p>
    <w:p>
      <w:pPr>
        <w:ind w:firstLine="420"/>
      </w:pPr>
      <w:r>
        <w:rPr>
          <w:rFonts w:ascii="宋体" w:hAnsi="宋体" w:eastAsia="宋体"/>
          <w:sz w:val="24"/>
        </w:rPr>
        <w:t>中间转化卡住——联合实验室挂牌了但没有实质运转，中试平台建了但没有持续的项目流，概念验证中心缺乏足够的资金和专业人员。这种情况下，产学研合作在纸面上扩大了，但科学知识无法有效"翻译"为企业可用技术方案。合作数量上去了，质量原地踏步。背后的原因可能指向匹配假说：中间转化的瓶颈对前沿原创型突破最为致命，因为这个类型最依赖从基础原理到技术方案的完整翻译链条。卡脖子攻关型和追赶迭代型对中间转化的依赖相对较小——前者可以通过供应链合作绕开一部分，后者可以从已有路线中学习。</w:t>
      </w:r>
    </w:p>
    <w:p>
      <w:pPr>
        <w:ind w:firstLine="420"/>
      </w:pPr>
      <w:r>
        <w:rPr>
          <w:rFonts w:ascii="宋体" w:hAnsi="宋体" w:eastAsia="宋体"/>
          <w:sz w:val="24"/>
        </w:rPr>
        <w:t>值得注意的是，Perkmann等（2013）揭示的数据偏差——效果最好的学术参与在公开数据中反而最难观测——对本章来说意味着：如果只看联合专利申请数量变化，大概率会系统性高估知识补位的实际效果。本章的实证策略因此需要在数量指标之外，引入质量指标（专利引用、技术领域匹配度、发明人履历）和案例证据（联合实验室的实际运作状态、人才流动的事实信息）。</w:t>
      </w:r>
    </w:p>
    <w:p>
      <w:pPr>
        <w:ind w:firstLine="420"/>
      </w:pPr>
      <w:r>
        <w:rPr>
          <w:rFonts w:ascii="宋体" w:hAnsi="宋体" w:eastAsia="宋体"/>
          <w:sz w:val="24"/>
        </w:rPr>
        <w:t>本章数据来源包括国家知识产权局的联合专利申请、NSFC联合资助项目、上市公司年报与官网披露的联合实验室设立信息，以及企业专利发明人履历数据。识别策略基于实体清单分批列入的外生冲击。一个值得尝试的设计是比较同一所大学与受制裁企业和未受制裁企业的合作差异——若制裁确实改变了需求端，同一大学面对不同类型企业时的合作行为应呈现系统性差别。</w:t>
      </w:r>
    </w:p>
    <w:p>
      <w:pPr>
        <w:ind w:firstLine="420"/>
      </w:pPr>
      <w:r>
        <w:rPr>
          <w:rFonts w:ascii="宋体" w:hAnsi="宋体" w:eastAsia="宋体"/>
          <w:sz w:val="24"/>
        </w:rPr>
        <w:t>本章有两个独特难点。一是产学研合作质量的度量——联合专利数量上升可能仅反映"挂名合作"，需以发明人实际身份、合作成果的后续技术影响等细粒度指标区分。二是滞后期——从开始合作到产生技术成果需要三至五年甚至更长，课题观测窗口未必能覆盖完整周期，需在研究设计中明确说明，并以案例追踪弥补。</w:t>
      </w:r>
    </w:p>
    <w:p>
      <w:pPr>
        <w:spacing w:before="120" w:after="60"/>
      </w:pPr>
      <w:r>
        <w:rPr>
          <w:rFonts w:ascii="黑体" w:hAnsi="黑体" w:eastAsia="黑体"/>
          <w:b/>
          <w:sz w:val="26"/>
        </w:rPr>
        <w:t>（六）研究目标</w:t>
      </w:r>
    </w:p>
    <w:p>
      <w:pPr>
        <w:ind w:firstLine="420"/>
      </w:pPr>
      <w:r>
        <w:rPr>
          <w:rFonts w:ascii="宋体" w:hAnsi="宋体" w:eastAsia="宋体"/>
          <w:sz w:val="24"/>
        </w:rPr>
        <w:t>总体目标为构建外部技术限制背景下创新网络促进关键核心技术突破的理论框架，系统分析三类网络的结构特征与作用机制，检验动态匹配、网络替代与网络叠加三个核心假说，并据此提出差异化政策路径。具体目标有四。其一，界定三类创新网络的概念边界与功能分工，建立统一分析框架。其二，揭示外部技术限制冲击后网络重构的机制——全球开放网络如何实现方向性转移、供应链网络如何实现功能升级、产学研网络如何完成补位替代，并在此过程中检验三个核心假说。其三，评估网络重构对核心技术突破的实际效果，比较不同网络组合对不同类型技术问题的差异化贡献。其四，在理论与实证基础上提出具有可操作性的政策工具。</w:t>
      </w:r>
    </w:p>
    <w:p>
      <w:pPr>
        <w:spacing w:before="120" w:after="60"/>
      </w:pPr>
      <w:r>
        <w:rPr>
          <w:rFonts w:ascii="黑体" w:hAnsi="黑体" w:eastAsia="黑体"/>
          <w:b/>
          <w:sz w:val="26"/>
        </w:rPr>
        <w:t>（七）重点难点</w:t>
      </w:r>
    </w:p>
    <w:p>
      <w:pPr>
        <w:ind w:firstLine="420"/>
      </w:pPr>
      <w:r>
        <w:rPr>
          <w:rFonts w:ascii="宋体" w:hAnsi="宋体" w:eastAsia="宋体"/>
          <w:sz w:val="24"/>
        </w:rPr>
        <w:t>重点有三。其一，构建三类创新网络的统一分析框架，厘清概念边界与功能差异。其二，分析网络重构的机制，检验动态匹配、网络替代与网络叠加三个核心假说。其三，考察网络间互动关系与核心技术突破之间的关联。</w:t>
      </w:r>
    </w:p>
    <w:p>
      <w:pPr>
        <w:ind w:firstLine="420"/>
      </w:pPr>
      <w:r>
        <w:rPr>
          <w:rFonts w:ascii="宋体" w:hAnsi="宋体" w:eastAsia="宋体"/>
          <w:sz w:val="24"/>
        </w:rPr>
        <w:t>难点亦有三。其一，三类网络的准确测量——专利合作、供应链关系与产学研联合申请等数据分散在不同数据库中，格式不一、时点各异，整合为企业层面的统一面板数据结构需要大量的数据工程工作。其二，因果识别——技术限制冲击并非随机发生，被制裁企业本身可能即为技术能力较强的企业。本文利用实体清单分批列入的时间差以及供应链网络中的间接关联构造处理组与对照组，尽可能逼近准实验的识别条件。其三，网络动态演化过程的追踪——网络重构是一个过程，从冲击发生到企业反应、到新合作关系稳定，中间的动态变化难以仅依靠年度面板数据完整捕捉，需结合案例研究方法予以补充。</w:t>
      </w:r>
    </w:p>
    <w:p>
      <w:pPr>
        <w:spacing w:before="120" w:after="60"/>
      </w:pPr>
      <w:r>
        <w:rPr>
          <w:rFonts w:ascii="黑体" w:hAnsi="黑体" w:eastAsia="黑体"/>
          <w:b/>
          <w:sz w:val="26"/>
        </w:rPr>
        <w:t>（八）研究方法与数据</w:t>
      </w:r>
    </w:p>
    <w:p>
      <w:pPr>
        <w:ind w:firstLine="420"/>
      </w:pPr>
      <w:r>
        <w:rPr>
          <w:rFonts w:ascii="宋体" w:hAnsi="宋体" w:eastAsia="宋体"/>
          <w:sz w:val="24"/>
        </w:rPr>
        <w:t>社会网络分析法：利用企业的专利合作、联合研发项目、供应链关系与产学研合作等多源数据，构建三类创新网络的邻接矩阵，计算网络密度、中心性（度中心性、接近中心性、中介中心性、信息中心性）、结构洞与聚集系数等拓扑指标，刻画网络结构特征及其冲击前后的变化。</w:t>
      </w:r>
    </w:p>
    <w:p>
      <w:pPr>
        <w:ind w:firstLine="420"/>
      </w:pPr>
      <w:r>
        <w:rPr>
          <w:rFonts w:ascii="宋体" w:hAnsi="宋体" w:eastAsia="宋体"/>
          <w:sz w:val="24"/>
        </w:rPr>
        <w:t>多时点双重差分法：利用美国实体清单事件的分批发生特征，构建多时点DID模型识别外部技术限制对企业创新网络结构与创新产出的因果效应。处理组为受制裁企业及其通过三类网络关联的企业，对照组为PSM匹配的从未受制裁企业。</w:t>
      </w:r>
    </w:p>
    <w:p>
      <w:pPr>
        <w:ind w:firstLine="420"/>
      </w:pPr>
      <w:r>
        <w:rPr>
          <w:rFonts w:ascii="宋体" w:hAnsi="宋体" w:eastAsia="宋体"/>
          <w:sz w:val="24"/>
        </w:rPr>
        <w:t>网络—计量结合的机制检验：将社会网络分析的结构指标纳入DID框架，检验网络结构变化是否构成冲击影响创新的传导渠道。通过交乘项分析检验不同网络之间的互动效应。</w:t>
      </w:r>
    </w:p>
    <w:p>
      <w:pPr>
        <w:ind w:firstLine="420"/>
      </w:pPr>
      <w:r>
        <w:rPr>
          <w:rFonts w:ascii="宋体" w:hAnsi="宋体" w:eastAsia="宋体"/>
          <w:sz w:val="24"/>
        </w:rPr>
        <w:t>多案例比较分析：选取集成电路（卡脖子攻关型）、通信设备（前沿原创型）与新能源汽车（追赶迭代型）三个典型产业中的代表性企业进行深度案例分析。通过半结构化访谈与档案资料，追踪企业面临外部技术限制后创新网络重构的完整过程。</w:t>
      </w:r>
    </w:p>
    <w:p>
      <w:pPr>
        <w:ind w:firstLine="420"/>
      </w:pPr>
      <w:r>
        <w:rPr>
          <w:rFonts w:ascii="宋体" w:hAnsi="宋体" w:eastAsia="宋体"/>
          <w:sz w:val="24"/>
        </w:rPr>
        <w:t>模糊集定性比较分析：在计量方法识别平均因果效应的基础上，利用fsQCA识别能够引致关键核心技术突破的多种等效网络配置组合，从组态视角为动态匹配逻辑提供分析支持。</w:t>
      </w:r>
    </w:p>
    <w:p>
      <w:pPr>
        <w:ind w:firstLine="420"/>
      </w:pPr>
      <w:r>
        <w:rPr>
          <w:rFonts w:ascii="宋体" w:hAnsi="宋体" w:eastAsia="宋体"/>
          <w:sz w:val="24"/>
        </w:rPr>
        <w:t>数据来源：企业财务与专利数据来自CSMAR、CNRDS与RESSET数据库（2010至2025年）。供应链关系数据来自上市公司年报和Connexiti等数据库。外部技术限制数据从美国商务部实体清单公告手工整理。产学研合作数据来自国知局和NSFC联合资助项目数据库。案例数据来自企业实地调研。</w:t>
      </w:r>
    </w:p>
    <w:p>
      <w:pPr>
        <w:spacing w:before="120" w:after="60"/>
      </w:pPr>
      <w:r>
        <w:rPr>
          <w:rFonts w:ascii="黑体" w:hAnsi="黑体" w:eastAsia="黑体"/>
          <w:b/>
          <w:sz w:val="26"/>
        </w:rPr>
        <w:t>（九）研究计划与可行性</w:t>
      </w:r>
    </w:p>
    <w:p>
      <w:pPr>
        <w:ind w:firstLine="420"/>
      </w:pPr>
      <w:r>
        <w:rPr>
          <w:rFonts w:ascii="宋体" w:hAnsi="宋体" w:eastAsia="宋体"/>
          <w:sz w:val="24"/>
        </w:rPr>
        <w:t>研究分四个阶段推进，总周期30个月。第一阶段（1至6月）：文献深化研究，理论框架构建，多源数据清洗、匹配与网络构建。第二阶段（7至14月）：利用DID方法识别外部技术限制的创新冲击效应，考察全球开放创新网络的方向性转移与供应链网络的替代性强化，撰写中期成果。第三阶段（15至22月）：考察产学研协同网络的补位性升级与三类网络之间的互动关系，开展典型案例调研，完成主要实证分析。第四阶段（23至30月）：完成fsQCA组态分析，设计差异化政策工具，撰写专著与研究总报告。课题可行性基于以下条件：团队在创新经济学与科技政策领域具有持续的研究积累；所依赖的数据来源均可通过公开渠道或数据库授权获取；所采用的分析方法均为成熟的学术工具，团队成员具有相应的方法训练。</w:t>
      </w:r>
    </w:p>
    <w:p>
      <w:pPr>
        <w:spacing w:before="240" w:after="120"/>
      </w:pPr>
      <w:r>
        <w:rPr>
          <w:rFonts w:ascii="黑体" w:hAnsi="黑体" w:eastAsia="黑体"/>
          <w:b/>
          <w:sz w:val="28"/>
        </w:rPr>
        <w:t>四、创新之处</w:t>
      </w:r>
    </w:p>
    <w:p>
      <w:pPr>
        <w:ind w:firstLine="420"/>
      </w:pPr>
      <w:r>
        <w:rPr>
          <w:rFonts w:ascii="宋体" w:hAnsi="宋体" w:eastAsia="宋体"/>
          <w:sz w:val="24"/>
        </w:rPr>
        <w:t>在学术思想上，将三类创新网络纳入统一分析框架，以网络间互动关系而非单一网络的内部结构为分析焦点。既有研究长期在单一网络框架内讨论问题——分析研发联盟者专论研发联盟，分析供应链者专论供应链，分析产学研者专论产学研——对网络间关系的系统讨论付之阙如。本文将网络间关系本身对象化，追问不同网络之间何时替代、何时互补、何时叠加，力图推进创新网络理论在复杂技术系统中的拓展。</w:t>
      </w:r>
    </w:p>
    <w:p>
      <w:pPr>
        <w:ind w:firstLine="420"/>
      </w:pPr>
      <w:r>
        <w:rPr>
          <w:rFonts w:ascii="宋体" w:hAnsi="宋体" w:eastAsia="宋体"/>
          <w:sz w:val="24"/>
        </w:rPr>
        <w:t>在学术观点上，提出动态匹配、网络替代与网络叠加三个递进假说。动态匹配假说源于两条线索的交叉：微观上，Azadegan和Dooley（2010）发现制造商—供应商学习风格需与外包任务类型匹配；产业层面，吕铁揭示了中国高铁的政府干预方式随技术阶段演进而调整。两条线索合在一起，提示"网络配置—技术类型"之间存在匹配关系，这构成了理解网络重构效果何以分化的分析前提。网络替代假说明确了替代发生的两个边界条件——供应链上的长期合作积累（Isaksson等，2016）和产学研之间的中间转化设施（何郁冰，2012；Perkmann等，2013），并将He和Lyu（2025）关于企业集团内部创新转移的发现从"集团内"推至"网络间"。网络叠加假说继承了Powell等（1996）和Etzkowitz与Leydesdorff（2000）的核心洞见，但将分析从单一网络内部拉到了不同网络的关系层面，追问交叉地带的非线性放大效应及其失效条件。三个假说形成"匹配前提→替代机制→叠加效应"的递进逻辑链。</w:t>
      </w:r>
    </w:p>
    <w:p>
      <w:pPr>
        <w:ind w:firstLine="420"/>
      </w:pPr>
      <w:r>
        <w:rPr>
          <w:rFonts w:ascii="宋体" w:hAnsi="宋体" w:eastAsia="宋体"/>
          <w:sz w:val="24"/>
        </w:rPr>
        <w:t>在研究方法上，做了三个层面的推进。一是将社会网络分析的结构度量嵌入DID因果推断框架，在网络特征与因果效应之间建立可检验的联系。二是将计量回归与fsQCA相结合，兼顾因果识别的内部有效性与实践多样性的外部覆盖。三是整合专利合作、供应链关系与产学研联合申请三类结构各异的关系数据为企业统一面板数据。</w:t>
      </w:r>
    </w:p>
    <w:p>
      <w:pPr>
        <w:ind w:firstLine="420"/>
      </w:pPr>
      <w:r>
        <w:rPr>
          <w:rFonts w:ascii="宋体" w:hAnsi="宋体" w:eastAsia="宋体"/>
          <w:sz w:val="24"/>
        </w:rPr>
        <w:t>在政策设计上，基于动态匹配逻辑，为前沿原创、卡脖子攻关与追赶迭代三类技术问题分别提供差异化的网络构建策略，试图使"新型举国体制""高水平科技自立自强"等宏观战略目标能够转化为可操作的具体政策选项。</w:t>
      </w:r>
    </w:p>
    <w:p>
      <w:pPr>
        <w:spacing w:before="240" w:after="120"/>
      </w:pPr>
      <w:r>
        <w:rPr>
          <w:rFonts w:ascii="黑体" w:hAnsi="黑体" w:eastAsia="黑体"/>
          <w:b/>
          <w:sz w:val="28"/>
        </w:rPr>
        <w:t>五、预期成果</w:t>
      </w:r>
    </w:p>
    <w:p>
      <w:pPr>
        <w:ind w:firstLine="420"/>
      </w:pPr>
      <w:r>
        <w:rPr>
          <w:rFonts w:ascii="宋体" w:hAnsi="宋体" w:eastAsia="宋体"/>
          <w:sz w:val="24"/>
        </w:rPr>
        <w:t>学术专著1部（约25万字），系统呈现课题的理论框架、实证发现与政策含义。在《经济研究》《管理世界》《中国社会科学》《Research Policy》等国内外核心期刊发表系列学术论文8至10篇。面向国家发展改革委、科技部、工业和信息化部呈报政策咨询报告3至5份。构建"中国制造业企业创新网络追踪数据库"1套。</w:t>
      </w:r>
    </w:p>
    <w:p>
      <w:pPr>
        <w:spacing w:before="240" w:after="120"/>
      </w:pPr>
      <w:r>
        <w:rPr>
          <w:rFonts w:ascii="黑体" w:hAnsi="黑体" w:eastAsia="黑体"/>
          <w:b/>
          <w:sz w:val="28"/>
        </w:rPr>
        <w:t>六、参考文献</w:t>
      </w:r>
    </w:p>
    <w:p>
      <w:pPr>
        <w:spacing w:before="0" w:after="0"/>
        <w:ind w:firstLine="0"/>
      </w:pPr>
      <w:r>
        <w:rPr>
          <w:rFonts w:ascii="宋体" w:hAnsi="宋体" w:eastAsia="宋体"/>
          <w:sz w:val="21"/>
        </w:rPr>
        <w:t>1. Ahuja, G. (2000). Collaboration Networks, Structural Holes, and Innovation. *Administrative Science Quarterly*, 45(3), 425-455.</w:t>
      </w:r>
    </w:p>
    <w:p>
      <w:pPr>
        <w:spacing w:before="0" w:after="0"/>
        <w:ind w:firstLine="0"/>
      </w:pPr>
      <w:r>
        <w:rPr>
          <w:rFonts w:ascii="宋体" w:hAnsi="宋体" w:eastAsia="宋体"/>
          <w:sz w:val="21"/>
        </w:rPr>
        <w:t>2. Powell, W. W., Koput, K. W., &amp; Smith-Doerr, L. (1996). Interorganizational Collaboration and the Locus of Innovation. *Administrative Science Quarterly*, 41(1), 116-145.</w:t>
      </w:r>
    </w:p>
    <w:p>
      <w:pPr>
        <w:spacing w:before="0" w:after="0"/>
        <w:ind w:firstLine="0"/>
      </w:pPr>
      <w:r>
        <w:rPr>
          <w:rFonts w:ascii="宋体" w:hAnsi="宋体" w:eastAsia="宋体"/>
          <w:sz w:val="21"/>
        </w:rPr>
        <w:t>3. 安同良, 魏婕, 姜舸. (2023). 基于复杂网络的中国企业互联式创新. *中国社会科学*, (10).</w:t>
      </w:r>
    </w:p>
    <w:p>
      <w:pPr>
        <w:spacing w:before="0" w:after="0"/>
        <w:ind w:firstLine="0"/>
      </w:pPr>
      <w:r>
        <w:rPr>
          <w:rFonts w:ascii="宋体" w:hAnsi="宋体" w:eastAsia="宋体"/>
          <w:sz w:val="21"/>
        </w:rPr>
        <w:t>4. 陈劲, 阳银娟. (2012). 协同创新的理论基础与内涵. *科学学研究*, 30(2), 161-164.</w:t>
      </w:r>
    </w:p>
    <w:p>
      <w:pPr>
        <w:spacing w:before="0" w:after="0"/>
        <w:ind w:firstLine="0"/>
      </w:pPr>
      <w:r>
        <w:rPr>
          <w:rFonts w:ascii="宋体" w:hAnsi="宋体" w:eastAsia="宋体"/>
          <w:sz w:val="21"/>
        </w:rPr>
        <w:t>5. Chesbrough, H. W. (2003). *Open Innovation*. Harvard Business School Press.</w:t>
      </w:r>
    </w:p>
    <w:p>
      <w:pPr>
        <w:spacing w:before="0" w:after="0"/>
        <w:ind w:firstLine="0"/>
      </w:pPr>
      <w:r>
        <w:rPr>
          <w:rFonts w:ascii="宋体" w:hAnsi="宋体" w:eastAsia="宋体"/>
          <w:sz w:val="21"/>
        </w:rPr>
        <w:t>6. Laursen, K., &amp; Salter, A. (2006). Open for Innovation. *Strategic Management Journal*, 27(2), 131-150.</w:t>
      </w:r>
    </w:p>
    <w:p>
      <w:pPr>
        <w:spacing w:before="0" w:after="0"/>
        <w:ind w:firstLine="0"/>
      </w:pPr>
      <w:r>
        <w:rPr>
          <w:rFonts w:ascii="宋体" w:hAnsi="宋体" w:eastAsia="宋体"/>
          <w:sz w:val="21"/>
        </w:rPr>
        <w:t>7. Dahlander, L., &amp; Gann, D. M. (2010). How Open is Innovation? *Research Policy*, 39(6), 699-709.</w:t>
      </w:r>
    </w:p>
    <w:p>
      <w:pPr>
        <w:spacing w:before="0" w:after="0"/>
        <w:ind w:firstLine="0"/>
      </w:pPr>
      <w:r>
        <w:rPr>
          <w:rFonts w:ascii="宋体" w:hAnsi="宋体" w:eastAsia="宋体"/>
          <w:sz w:val="21"/>
        </w:rPr>
        <w:t>8. 吴剑峰, 杨震宁, 邱永辉. (2015). 国际研发合作的地域广度、资源禀赋与技术创新绩效. *管理学报*, 12(10).</w:t>
      </w:r>
    </w:p>
    <w:p>
      <w:pPr>
        <w:spacing w:before="0" w:after="0"/>
        <w:ind w:firstLine="0"/>
      </w:pPr>
      <w:r>
        <w:rPr>
          <w:rFonts w:ascii="宋体" w:hAnsi="宋体" w:eastAsia="宋体"/>
          <w:sz w:val="21"/>
        </w:rPr>
        <w:t>9. 李梅, 余天骄. (2016). 研发国际化是否促进了企业创新. *管理世界*, (11).</w:t>
      </w:r>
    </w:p>
    <w:p>
      <w:pPr>
        <w:spacing w:before="0" w:after="0"/>
        <w:ind w:firstLine="0"/>
      </w:pPr>
      <w:r>
        <w:rPr>
          <w:rFonts w:ascii="宋体" w:hAnsi="宋体" w:eastAsia="宋体"/>
          <w:sz w:val="21"/>
        </w:rPr>
        <w:t>10. Dyer, J. H., &amp; Nobeoka, K. (2000). Creating and Managing a High-Performance Knowledge-Sharing Network. *Strategic Management Journal*, 21(3), 345-367.</w:t>
      </w:r>
    </w:p>
    <w:p>
      <w:pPr>
        <w:spacing w:before="0" w:after="0"/>
        <w:ind w:firstLine="0"/>
      </w:pPr>
      <w:r>
        <w:rPr>
          <w:rFonts w:ascii="宋体" w:hAnsi="宋体" w:eastAsia="宋体"/>
          <w:sz w:val="21"/>
        </w:rPr>
        <w:t>11. Isaksson, O. H. D., Simeth, M., &amp; Seifert, R. W. (2016). Knowledge Spillovers in the Supply Chain. *Research Policy*, 45(3), 699-706.</w:t>
      </w:r>
    </w:p>
    <w:p>
      <w:pPr>
        <w:spacing w:before="0" w:after="0"/>
        <w:ind w:firstLine="0"/>
      </w:pPr>
      <w:r>
        <w:rPr>
          <w:rFonts w:ascii="宋体" w:hAnsi="宋体" w:eastAsia="宋体"/>
          <w:sz w:val="21"/>
        </w:rPr>
        <w:t>12. Bellamy, M. A., Ghosh, S., &amp; Hora, M. (2014). The Influence of Supply Network Structure on Firm Innovation. *Journal of Operations Management*, 32(6), 357-373.</w:t>
      </w:r>
    </w:p>
    <w:p>
      <w:pPr>
        <w:spacing w:before="0" w:after="0"/>
        <w:ind w:firstLine="0"/>
      </w:pPr>
      <w:r>
        <w:rPr>
          <w:rFonts w:ascii="宋体" w:hAnsi="宋体" w:eastAsia="宋体"/>
          <w:sz w:val="21"/>
        </w:rPr>
        <w:t>13. Azadegan, A., &amp; Dooley, K. J. (2010). Supplier Innovativeness, Organizational Learning Styles and Manufacturer Performance. *Journal of Operations Management*, 28(6), 488-505.</w:t>
      </w:r>
    </w:p>
    <w:p>
      <w:pPr>
        <w:spacing w:before="0" w:after="0"/>
        <w:ind w:firstLine="0"/>
      </w:pPr>
      <w:r>
        <w:rPr>
          <w:rFonts w:ascii="宋体" w:hAnsi="宋体" w:eastAsia="宋体"/>
          <w:sz w:val="21"/>
        </w:rPr>
        <w:t>14. Etzkowitz, H., &amp; Leydesdorff, L. (2000). The Dynamics of Innovation: From National Systems to a Triple Helix. *Research Policy*, 29(2), 109-123.</w:t>
      </w:r>
    </w:p>
    <w:p>
      <w:pPr>
        <w:spacing w:before="0" w:after="0"/>
        <w:ind w:firstLine="0"/>
      </w:pPr>
      <w:r>
        <w:rPr>
          <w:rFonts w:ascii="宋体" w:hAnsi="宋体" w:eastAsia="宋体"/>
          <w:sz w:val="21"/>
        </w:rPr>
        <w:t>15. Perkmann, M., et al. (2013). Academic Engagement and Commercialisation. *Research Policy*, 42(2), 423-442.</w:t>
      </w:r>
    </w:p>
    <w:p>
      <w:pPr>
        <w:spacing w:before="0" w:after="0"/>
        <w:ind w:firstLine="0"/>
      </w:pPr>
      <w:r>
        <w:rPr>
          <w:rFonts w:ascii="宋体" w:hAnsi="宋体" w:eastAsia="宋体"/>
          <w:sz w:val="21"/>
        </w:rPr>
        <w:t>16. 何郁冰. (2012). 产学研协同创新的理论模式. *科学学研究*, 30(2), 165-174.</w:t>
      </w:r>
    </w:p>
    <w:p>
      <w:pPr>
        <w:spacing w:before="0" w:after="0"/>
        <w:ind w:firstLine="0"/>
      </w:pPr>
      <w:r>
        <w:rPr>
          <w:rFonts w:ascii="宋体" w:hAnsi="宋体" w:eastAsia="宋体"/>
          <w:sz w:val="21"/>
        </w:rPr>
        <w:t>17. 洪银兴. (2014). 产学研协同创新的经济学分析.</w:t>
      </w:r>
    </w:p>
    <w:p>
      <w:pPr>
        <w:spacing w:before="0" w:after="0"/>
        <w:ind w:firstLine="0"/>
      </w:pPr>
      <w:r>
        <w:rPr>
          <w:rFonts w:ascii="宋体" w:hAnsi="宋体" w:eastAsia="宋体"/>
          <w:sz w:val="21"/>
        </w:rPr>
        <w:t>18. 原长弘, 张树满. (2019). 以企业为主体的产学研协同创新：管理框架构建. 科研管理, 40(10), 184-192.</w:t>
      </w:r>
    </w:p>
    <w:p>
      <w:pPr>
        <w:spacing w:before="0" w:after="0"/>
        <w:ind w:firstLine="0"/>
      </w:pPr>
      <w:r>
        <w:rPr>
          <w:rFonts w:ascii="宋体" w:hAnsi="宋体" w:eastAsia="宋体"/>
          <w:sz w:val="21"/>
        </w:rPr>
        <w:t>19. He, Y., &amp; Lyu, J. (2025). Export Controls and Innovation Transfer within Chinese Business Groups. *Research Policy*.</w:t>
      </w:r>
    </w:p>
    <w:p>
      <w:pPr>
        <w:spacing w:before="0" w:after="0"/>
        <w:ind w:firstLine="0"/>
      </w:pPr>
      <w:r>
        <w:rPr>
          <w:rFonts w:ascii="宋体" w:hAnsi="宋体" w:eastAsia="宋体"/>
          <w:sz w:val="21"/>
        </w:rPr>
        <w:t>20. Anwar, S., Hu, B., Luan, Q., &amp; Wang, K. (2024). Export Controls and Innovation Performance. *The World Economy*, 47, 2995-3033.</w:t>
      </w:r>
    </w:p>
    <w:p>
      <w:pPr>
        <w:spacing w:before="0" w:after="0"/>
        <w:ind w:firstLine="0"/>
      </w:pPr>
      <w:r>
        <w:rPr>
          <w:rFonts w:ascii="宋体" w:hAnsi="宋体" w:eastAsia="宋体"/>
          <w:sz w:val="21"/>
        </w:rPr>
        <w:t>21. 寇宗来等. (2023). 技术断供与自主创新激励：纵向结构的视角.</w:t>
      </w:r>
    </w:p>
    <w:p>
      <w:pPr>
        <w:spacing w:before="0" w:after="0"/>
        <w:ind w:firstLine="0"/>
      </w:pPr>
      <w:r>
        <w:rPr>
          <w:rFonts w:ascii="宋体" w:hAnsi="宋体" w:eastAsia="宋体"/>
          <w:sz w:val="21"/>
        </w:rPr>
        <w:t>22. 郑世林等. (2025). 产业链风险与中国企业自主创新突破.</w:t>
      </w:r>
    </w:p>
    <w:p>
      <w:pPr>
        <w:spacing w:before="0" w:after="0"/>
        <w:ind w:firstLine="0"/>
      </w:pPr>
      <w:r>
        <w:rPr>
          <w:rFonts w:ascii="宋体" w:hAnsi="宋体" w:eastAsia="宋体"/>
          <w:sz w:val="21"/>
        </w:rPr>
        <w:t>23. 柳卸林, 胡志坚. (2002). 中国区域创新能力的分布与成因. *科学学研究*, 20(5), 550-557.</w:t>
      </w:r>
    </w:p>
    <w:p>
      <w:pPr>
        <w:spacing w:before="0" w:after="0"/>
        <w:ind w:firstLine="0"/>
      </w:pPr>
      <w:r>
        <w:rPr>
          <w:rFonts w:ascii="宋体" w:hAnsi="宋体" w:eastAsia="宋体"/>
          <w:sz w:val="21"/>
        </w:rPr>
        <w:t>24. 吕铁. 政府干预何以有效：对中国高铁技术赶超的调查研究.</w:t>
      </w:r>
    </w:p>
    <w:p>
      <w:pPr>
        <w:spacing w:before="0" w:after="0"/>
        <w:ind w:firstLine="0"/>
      </w:pPr>
      <w:r>
        <w:rPr>
          <w:rFonts w:ascii="宋体" w:hAnsi="宋体" w:eastAsia="宋体"/>
          <w:sz w:val="21"/>
        </w:rPr>
        <w:t>25. 陈劲. 新型举国体制的理论逻辑、落地模式与应用场景.</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