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AI大模型工程师人才分析报告</w:t>
      </w:r>
    </w:p>
    <w:p>
      <w:r>
        <w:rPr>
          <w:i/>
        </w:rPr>
        <w:t>基于[Notion数据库+本地简历]的双源深度洞察</w:t>
      </w:r>
    </w:p>
    <w:p>
      <w:r>
        <w:rPr>
          <w:sz w:val="18"/>
        </w:rPr>
        <w:t>报告生成日期: 2025-07-16</w:t>
      </w:r>
    </w:p>
    <w:p>
      <w:r>
        <w:br w:type="page"/>
      </w:r>
    </w:p>
    <w:p>
      <w:pPr>
        <w:pStyle w:val="Heading1"/>
      </w:pPr>
      <w:r>
        <w:t>执行摘要</w:t>
      </w:r>
    </w:p>
    <w:p>
      <w:pPr/>
      <w:r>
        <w:t>## 执行摘要：大模型人才战略洞察与招聘优化建议</w:t>
        <w:br/>
        <w:br/>
        <w:t>作为您在AI人才战略领域的顾问，本次分析结合了内部Notion数据库、本地简历文件夹的综合数据，深入剖析了当前大模型人才市场的供需态势，并针对贵司的招聘现状提出了具象化的战略建议。</w:t>
        <w:br/>
        <w:br/>
        <w:t>**一、当前大模型人才市场洞察**</w:t>
        <w:br/>
        <w:br/>
        <w:t>大模型人才市场依旧处于高度竞争的卖方市场。尽管AI技术普及度提升，但真正具备从底层架构、模型研发、到高效部署和工程化落地全栈能力的复合型人才依然稀缺。尤其是在特定技术栈（如国产芯片生态）和应用领域（如金融量化）深度耕耘的专家，更是各方竞相争夺的焦点。企业面临的挑战不仅在于吸引人才，更在于如何在庞大的简历池中精准识别与业务需求高度匹配的“即战力”人才，并确保招聘流程的效率与有效性。</w:t>
        <w:br/>
        <w:br/>
        <w:t>**二、内部数据分析与关键发现**</w:t>
        <w:br/>
        <w:br/>
        <w:t>1.  **人才池规模与转换效率瓶颈：**</w:t>
        <w:br/>
        <w:t xml:space="preserve">    *   我们的Notion数据库共计收录了200位候选人，显示出初步的人才触达能力。</w:t>
        <w:br/>
        <w:t xml:space="preserve">    *   然而，招聘流程的转换率极低，令人担忧：简历通过率仅为8/200（4%），初试和复试通过率均为3/200（1.5%），目前仅有2位候选人处于“流程中”状态。这表明在简历筛选和面试环节存在显著的漏斗效应，极大地限制了最终录用的人数。需要深入分析是简历质量普遍偏低，还是我们的筛选标准过高，抑或是面试评估体系有待优化。</w:t>
        <w:br/>
        <w:br/>
        <w:t>2.  **核心技能需求与人才画像：**</w:t>
        <w:br/>
        <w:t xml:space="preserve">    *   高频技能词明确指向了我们对大模型核心能力的强烈需求：“微调”(455次)、“架构”(390次)、“Python”(358次)是最为基础和关键的研发与设计能力。</w:t>
        <w:br/>
        <w:t xml:space="preserve">    *   值得注意的是，“金融”(385次)和“量化”(166次)的高频出现，强烈暗示了我们业务可能聚焦于金融领域的大模型应用，这对候选人提出了行业背景要求。</w:t>
        <w:br/>
        <w:t xml:space="preserve">    *   在部署和硬件适配层面，“昇腾”(164次)、“DeepSpeed”(102次)和“CUDA”(88次)的出现，凸显了我们对国产算力平台适配和大模型高效训练/推理优化的需求。相对而言，“工程化”(29次)的提及频率偏低，这可能意味着具备完整落地能力的候选人稀缺，或者在简历中未能充分体现。</w:t>
        <w:br/>
        <w:t xml:space="preserve">    *   “RLHF”(10次)的低频率提示了我们可能在模型对齐与人类反馈强化学习方向的人才储备不足，这可能是未来大模型迭代的关键能力。</w:t>
        <w:br/>
        <w:br/>
        <w:t>3.  **曹振杰简历案例分析——理想人才画像的具象化：**</w:t>
        <w:br/>
        <w:t xml:space="preserve">    *   曹振杰的简历完美契合了我们对核心技能的需求：他不仅精通Bert、Transformer、GPT等NLP基础框架，熟练掌握llama、deepseek、qwen等开源大模型，更关键的是，他在“昇腾”国产芯片体系下的模型部署、微调（全参/Lora/QLora）、量化剪枝以及RAG开发方面拥有丰富的实战经验。</w:t>
        <w:br/>
        <w:t xml:space="preserve">    *   他“大模型部署工程师”的职位和在华为技术有限公司的工作背景，直接呼应了我们对“昇腾”和“工程化”人才的渴求。其项目经历中屡次提及在昇腾设备上部署、优化和迁移各类大模型的实战经验，以及性能与精度测试，正是我们目前最缺乏且最急需的“即战力”。</w:t>
        <w:br/>
        <w:t xml:space="preserve">    *   曹振杰的案例表明，市场上存在与我们需求高度匹配的人才，问题在于如何有效识别并吸引他们进入我们的招聘漏斗。</w:t>
        <w:br/>
        <w:br/>
        <w:t>**三、战略建议与行动方向**</w:t>
        <w:br/>
        <w:br/>
        <w:t>基于以上分析，我建议贵司在AI大模型人才战略上，聚焦以下几个核心方向：</w:t>
        <w:br/>
        <w:br/>
        <w:t>1.  **优化招聘漏斗，提升转换效率：**</w:t>
        <w:br/>
        <w:t xml:space="preserve">    *   **精准JD撰写：** 确保职位描述清晰、具象，突出对“昇腾”、“工程化部署”、“量化优化”等核心技能的明确要求，并强调金融领域的应用背景，以吸引更匹配的候选人。</w:t>
        <w:br/>
        <w:t xml:space="preserve">    *   **强化简历初筛机制：** 引入更智能的简历解析工具，结合高频技能关键词进行首轮筛选，减少人工判断的误差和耗时，提高进入面试环节的简历质量。可以参考曹振杰的简历特征，构建更精细化的筛选模型。</w:t>
        <w:br/>
        <w:t xml:space="preserve">    *   **面试流程复盘与优化：** 组织面试官进行培训，统一面试标准，重点考察候选人在实际项目中的问题解决能力和工程化实践经验。考虑增加技术笔试或编程挑战环节，尤其针对“工程化”能力进行深度评估。</w:t>
        <w:br/>
        <w:t xml:space="preserve">    *   **缩短招聘周期：** 在竞争激烈的市场中，快速响应和决策是关键。精简审批流程，确保优秀候选人不会因等待时间过长而流失。</w:t>
        <w:br/>
        <w:br/>
        <w:t>2.  **人才画像细化与渠道拓展：**</w:t>
        <w:br/>
        <w:t xml:space="preserve">    *   **聚焦“昇腾+工程化”复合型人才：** 鉴于“昇腾”在大模型部署中的战略重要性，以及“工程化”在大模型落地中的关键作用，应将具备这两项能力的候选人作为招聘优先级。可考虑与华为生态伙伴、拥有国产算力平台部署经验的团队进行定向挖猎。</w:t>
        <w:br/>
        <w:t xml:space="preserve">    *   **深耕金融行业AI社群：** 利用“金融”和“量化”的高频技能词，主动渗透金融科技、量化投资等领域的AI技术社区和行业会议，进行定向人才拓展。</w:t>
        <w:br/>
        <w:t xml:space="preserve">    *   **拓宽RAG及RLHF人才储备：** 鉴于RAG的即时业务价值和RLHF的未来战略意义，应逐步增加对具备这些新兴技术经验的候选人的关注，可考虑通过内部培训或外部合作补齐短期内难以招聘的专业人才。</w:t>
        <w:br/>
        <w:br/>
        <w:t>3.  **强化雇主品牌与人才吸引力：**</w:t>
        <w:br/>
        <w:t xml:space="preserve">    *   **突出技术挑战与平台优势：** 在对外宣传中，着重强调贵司在大模型前沿技术探索、特别是国产算力平台上的实践机会，以及解决行业痛点的挑战性项目，吸引对技术深度和影响力有追求的工程师。</w:t>
        <w:br/>
        <w:t xml:space="preserve">    *   **提供有竞争力的薪酬福利：** 对标行业顶尖公司，确保我们的薪酬体系和福利待遇在大模型人才市场中具有足够竞争力。</w:t>
        <w:br/>
        <w:t xml:space="preserve">    *   **构建积极的企业文化：** 营造开放、协作、鼓励创新的技术氛围，让工程师感受到成长空间和归属感。</w:t>
        <w:br/>
        <w:br/>
        <w:t>综上所述，当前贵司在大模型人才招聘上面临的主要挑战是转化效率低下，而非人才供给的绝对匮乏。通过对现有流程的优化、人才画像的精准定义以及招聘渠道的拓展，结合对市场竞争力的提升，我们有能力在激烈的大模型人才战中占据优势，吸纳并留住那些能够真正推动业务落地的核心技术人才。</w:t>
      </w:r>
    </w:p>
    <w:p/>
    <w:p>
      <w:pPr>
        <w:pStyle w:val="Heading1"/>
      </w:pPr>
      <w:r>
        <w:t>人才市场宏观分析</w:t>
      </w:r>
    </w:p>
    <w:p>
      <w:pPr/>
      <w:r>
        <w:t>作为一名行业分析师，基于我对当前科技市场和人才格局的深刻理解，通用AI人才，特别是大模型算法工程师的“昂贵”绝非偶然，而是多重复杂因素交织的结果。这其中涵盖了极高的技术壁垒、严重失衡的人才供需关系，以及其为企业带来的颠覆性行业应用价值。我将从这三个核心维度进行深度剖析。</w:t>
        <w:br/>
        <w:br/>
        <w:t>---</w:t>
        <w:br/>
        <w:br/>
        <w:t>### 一、 技术壁垒：非凡的复杂性与专业门槛</w:t>
        <w:br/>
        <w:br/>
        <w:t>大模型算法工程师的“贵”，首先源于其工作内容所涉及的、令人望而却步的技术复杂性和专业深度。这不仅是关于编写代码，更是关于理解、构建、训练和优化那些拥有数千亿甚至万亿参数的智能系统。</w:t>
        <w:br/>
        <w:br/>
        <w:t>1.  **基础科学的融会贯通：** 大模型算法工程师需要扎实的数学功底（线性代数、微积分、概率论、优化理论）、统计学知识以及深厚的计算机科学理论（数据结构、算法、分布式系统）。他们不是简单地调用库函数，而是需要理解这些函数背后的原理，并在特定场景下进行创新性优化。</w:t>
        <w:br/>
        <w:t>2.  **前沿模型的理解与驾驭：** 核心在于对深度学习架构的深刻理解，特别是Transformer架构及其变体。这包括自注意力机制、位置编码、多头注意力等细节，以及如何将这些组件组合起来构建庞大的神经网络。对于LLM工程师，他们还需要掌握各种预训练范式（如自回归、自编码）和微调技术（如LoRA、QLoRA、Prompt Tuning等），这些技术不断演进，要求工程师持续学习和适应。</w:t>
        <w:br/>
        <w:t>3.  **海量数据处理与工程能力：** 训练大模型需要处理TB甚至PB级别的数据。这要求工程师具备强大的数据清洗、预处理、标注、质量控制以及分布式存储和计算的能力。他们必须精通Hadoop、Spark、Kafka等大数据工具链，并能设计高效的数据管道。</w:t>
        <w:br/>
        <w:t>4.  **分布式训练与优化：** 单一服务器无法承载大模型的训练任务。工程师必须掌握分布式训练技术，如数据并行、模型并行、流水线并行，以及如何在数千块GPU集群上高效地协调计算资源。这涉及到复杂的通信优化、内存管理和容错机制，任何一个小错误都可能导致数百万美元的算力浪费。</w:t>
        <w:br/>
        <w:t>5.  **模型推理与部署：** 训练完成只是第一步。如何将庞大的模型高效地部署到实际应用中，并保证低延迟、高吞吐量，是另一个巨大的挑战。这包括模型量化、剪枝、蒸馏等压缩技术，以及使用TensorRT、OpenVINO等推理引擎进行优化。</w:t>
        <w:br/>
        <w:t>6.  **解决“幻觉”与伦理对齐：** 特别是对于大语言模型，解决模型生成内容的事实性错误（幻觉）和确保其符合人类价值观（对齐）是世界级的难题。这需要工程师具备深厚的领域知识、批判性思维以及对伦LM/RLHF等前沿技术的实践经验。这已不仅仅是技术问题，更是对模型行为的深刻洞察和调控能力。</w:t>
        <w:br/>
        <w:t>7.  **实践经验的稀缺性：** 理论知识固然重要，但真正能够在大规模硬件集群上成功训练和部署大模型的实践经验却极为稀缺。这需要长时间的试错、大量的计算资源投入，以及直面并解决那些仅在超大规模下才会出现的独特问题的能力。这种“实战经验”无法通过教科书或短期培训获得。</w:t>
        <w:br/>
        <w:br/>
        <w:t>综上，大模型算法工程师的角色要求他们在理论深度、工程实践和前沿探索之间取得完美的平衡，其知识体系广博而精深，如同AI领域的“全栈工程师+科学家”。</w:t>
        <w:br/>
        <w:br/>
        <w:t>### 二、 人才供需：极度失衡的“淘金热”与“人才荒”</w:t>
        <w:br/>
        <w:br/>
        <w:t>当前市场上大模型算法工程师的“贵”，更直接的原因是供需两端的严重失衡，如同科技界的“淘金热”遭遇了“人才荒”。</w:t>
        <w:br/>
        <w:br/>
        <w:t>1.  **爆炸式增长的需求：** 随着ChatGPT的横空出世，全球各行各业都意识到生成式AI的颠覆性潜力。从科技巨头（谷歌、微软、Meta、百度、阿里）到初创公司（Anthropic、Cohere、Stability AI、智谱AI），再到金融、医疗、教育、制造等传统行业，都在争相布局大模型，或构建自己的模型，或基于现有模型开发垂直应用。这种前所未有的需求爆发，导致对核心算法人才的渴求达到顶点。</w:t>
        <w:br/>
        <w:t>2.  **全球范围的激烈竞争：** AI大模型是“兵家必争之地”，各国政府、顶尖企业都在不惜代价地争夺顶尖人才。这种全球化的竞争进一步推高了薪资和福利待遇，尤其是在美国、中国等AI前沿国家，人才争夺战异常激烈。</w:t>
        <w:br/>
        <w:t>3.  **顶尖人才的极度稀缺：** 尽管AI专业毕业生数量在增长，但真正能够胜任大模型算法研发工作的顶尖人才仍然凤毛麟角。</w:t>
        <w:br/>
        <w:t xml:space="preserve">    *   **培养周期长：** 培养一名能够独立设计、训练和优化大模型的工程师，通常需要博士或硕士学位，加上多年的实战经验，这并非一蹴而就。</w:t>
        <w:br/>
        <w:t xml:space="preserve">    *   **实践门槛高：** 并非所有AI专业毕业生都有机会接触到大规模的计算资源和真实场景的数据，进行大模型训练的实践。很多高校和研究机构的资源有限，导致具备实际操作经验的人才更为稀缺。</w:t>
        <w:br/>
        <w:t xml:space="preserve">    *   **复合型人才短缺：** 大模型工作不仅需要算法能力，还要求对分布式系统、高性能计算、数据工程有深刻理解，这种复合型人才更是稀缺资源。</w:t>
        <w:br/>
        <w:t xml:space="preserve">    *   **头部效应明显：** 少数拥有成功大模型开发经验的团队和个人，其市场价值被无限放大。这些“明星”工程师往往成为各公司争夺的焦点，待遇水涨船高。</w:t>
        <w:br/>
        <w:t>4.  **高薪激励与人才流动：** 为了吸引和留住这些顶尖人才，企业不得不提供极具竞争力的薪资包，包括高额年薪、股票期权、签字费、福利待遇等。这种高薪激励效应反过来又抬高了行业整体的薪酬水平，形成一个正向循环（对人才而言）或成本螺旋（对企业而言）。</w:t>
        <w:br/>
        <w:br/>
        <w:t>这种“少林寺十八铜人阵”般的技术门槛与“百舸争流、千金买骨”般的人才争夺战，共同构成了大模型算法工程师身价暴涨的现实。</w:t>
        <w:br/>
        <w:br/>
        <w:t>### 三、 行业应用价值：驱动万亿级经济增长的战略资产</w:t>
        <w:br/>
        <w:br/>
        <w:t>大模型算法工程师之所以“贵”，最根本的原因在于他们所创造的、能够为企业带来万亿级经济增长和颠覆性竞争优势的巨大价值。他们是驱动未来数字经济发展的核心引擎，而非简单的成本中心。</w:t>
        <w:br/>
        <w:br/>
        <w:t>1.  **重塑生产力与效率：**</w:t>
        <w:br/>
        <w:t xml:space="preserve">    *   **内容生成与创意加速：** 大模型能高效生成文本、代码、图片、视频等内容，极大地提升内容创作、营销、研发等领域的效率，减少人力成本和时间投入。</w:t>
        <w:br/>
        <w:t xml:space="preserve">    *   **自动化与智能化决策：** 在客服、金融风控、医疗诊断、工业质检等领域，大模型能实现高度自动化，减少人工干预，提高决策的准确性和响应速度。</w:t>
        <w:br/>
        <w:t xml:space="preserve">    *   **编程效率革命：** 以Copilot为代表的AI编程助手，极大地提升了程序员的开发效率，缩短了产品上市时间。</w:t>
        <w:br/>
        <w:t>2.  **开辟全新商业模式与收入增长：**</w:t>
        <w:br/>
        <w:t xml:space="preserve">    *   **SaaS化AI服务：** 大模型能力可以打包成API或SaaS产品，赋能中小企业，创造新的收入来源。</w:t>
        <w:br/>
        <w:t xml:space="preserve">    *   **个性化与精准营销：** 基于大模型的用户行为分析和预测，可以实现更精准的个性化推荐，提升用户转化率和LTV。</w:t>
        <w:br/>
        <w:t xml:space="preserve">    *   **创新产品与服务：** AI驱动的全新应用场景层出不穷，如AI教育辅导、AI心理咨询、AI医生助手等，这些都将是巨大的市场蓝海。</w:t>
        <w:br/>
        <w:t>3.  **构建核心竞争壁垒（“护城河”）：**</w:t>
        <w:br/>
        <w:t xml:space="preserve">    *   **数据飞轮效应：** 大模型需要海量数据训练，而优秀的大模型又能吸引更多用户，产生更多数据，形成数据飞轮，构建难以逾越的竞争壁垒。</w:t>
        <w:br/>
        <w:t xml:space="preserve">    *   **技术领先优势：** 掌握核心大模型技术，意味着企业在AI时代拥有了战略主动权和技术制高点，能够快速响应市场变化，引领行业发展。</w:t>
        <w:br/>
        <w:t xml:space="preserve">    *   **人才吸附力：** 拥有顶尖大模型人才和成功的项目经验，有助于企业吸引更多优秀人才加入，形成良性循环。</w:t>
        <w:br/>
        <w:t>4.  **应对未来挑战与战略安全：** 在国际竞争日益激烈的背景下，掌握自主可控的AI大模型技术，已上升到国家战略层面。对于企业而言，投资大模型人才也是在为企业的长期生存和发展，以及应对未来的不确定性风险进行战略布局。</w:t>
        <w:br/>
        <w:br/>
        <w:t>大模型算法工程师的价值，体现在他们能将企业对“智能未来”的构想，转化为可实现、可盈利的现实。他们所带来的潜在经济效益和战略价值，远远超过其高昂的薪酬成本，因此企业愿意为这笔“投资”买单。</w:t>
        <w:br/>
        <w:br/>
        <w:t>---</w:t>
        <w:br/>
        <w:br/>
        <w:t>### 总结</w:t>
        <w:br/>
        <w:br/>
        <w:t>综上所述，大模型算法工程师之所以“贵”，是多维度因素深度耦合的结果：他们是掌握着高精尖前沿技术的“稀缺物种”，在“AI淘金热”中被全球企业疯狂争抢，而他们所能创造的、驱动万亿级经济增长的颠覆性价值，更是让任何投资都显得物有所值。在可预见的未来，这种供需紧张和价值凸显的态势将持续存在，他们的“高价”将是市场对其核心能力和战略价值的长期肯定。对于企业而言，与其将其视为高昂的成本，不如视为对未来增长和核心竞争力的关键投资。</w:t>
      </w:r>
    </w:p>
    <w:p/>
    <w:p>
      <w:pPr>
        <w:pStyle w:val="Heading1"/>
      </w:pPr>
      <w:r>
        <w:t>内部数据深度洞察</w:t>
      </w:r>
    </w:p>
    <w:p>
      <w:pPr/>
      <w:r>
        <w:t>这份内部数据摘要为我们深入分析当前招聘中吸引的人才质量提供了宝贵的视角。我们将从招聘漏斗、高频技能点以及具体简历案例三个维度进行详细解读。</w:t>
        <w:br/>
        <w:br/>
        <w:t>### 一、 招聘漏斗（状态分布）分析：人才数量与效率</w:t>
        <w:br/>
        <w:br/>
        <w:t>*   **总候选人与活跃漏斗对比：** Notion数据库中共有200名候选人，但目前处于活跃招聘状态（简历通过、初试通过、复试通过、流程中）的仅有 8 + 3 + 3 + 2 = **16人**。这意味着绝大多数数据库中的候选人并未进入或已退出活跃流程，占比仅为 8%。</w:t>
        <w:br/>
        <w:t xml:space="preserve">    *   **解读：** 这强烈提示我们在初始筛选或后续跟进方面存在瓶颈。可能是：</w:t>
        <w:br/>
        <w:t xml:space="preserve">        *   **大量无效简历：** 200份简历中，绝大部分不符合基本要求，在进入“简历通过”阶段前就被淘汰。</w:t>
        <w:br/>
        <w:t xml:space="preserve">        *   **简历库陈旧/冗余：** 数据库中可能包含大量已不活跃、不匹配或已找到工作的候选人。</w:t>
        <w:br/>
        <w:t xml:space="preserve">        *   **Sourcing策略问题：** 获取的简历数量足够，但质量与岗位匹配度不高。</w:t>
        <w:br/>
        <w:br/>
        <w:t>*   **漏斗各阶段转化率：**</w:t>
        <w:br/>
        <w:t xml:space="preserve">    *   **简历通过 (8人) -&gt; 初试通过 (3人)：** 转化率仅为 3/8 = **37.5%**。这是一个相对较低的转化率。</w:t>
        <w:br/>
        <w:t xml:space="preserve">        *   **解读：** 简历筛选后进入初试的候选人，在初试环节有较高的淘汰率。这可能表明：</w:t>
        <w:br/>
        <w:t xml:space="preserve">            *   简历审核标准与初试面试标准存在脱节，简历上体现的技能点在初试中未能充分展现或经不起考察。</w:t>
        <w:br/>
        <w:t xml:space="preserve">            *   初试面试官的评估标准严格，或者面试流程本身导致了高淘汰率。</w:t>
        <w:br/>
        <w:t xml:space="preserve">            *   候选人的实际能力与简历描述存在偏差。</w:t>
        <w:br/>
        <w:t xml:space="preserve">    *   **初试通过 (3人) -&gt; 复试通过 (3人)：** 转化率为 3/3 = **100%**。</w:t>
        <w:br/>
        <w:t xml:space="preserve">        *   **解读：** 一旦候选人通过初试，其通过复试的几率非常高。这可能说明：</w:t>
        <w:br/>
        <w:t xml:space="preserve">            *   初试筛选非常严格且有效，能准确识别出高质量的候选人。</w:t>
        <w:br/>
        <w:t xml:space="preserve">            *   复试侧重于更深层的能力或与初试通过者高度匹配的特质，或者复试本身是一个较少淘汰的环节（例如，更多是领导面试以确定文化契合度或整体潜力）。</w:t>
        <w:br/>
        <w:t xml:space="preserve">            *   也可能是样本量过小，不足以得出普遍结论。</w:t>
        <w:br/>
        <w:br/>
        <w:t>*   **“流程中” (2人)：** 这2人所处的具体阶段不明，但他们仍在活跃流程中，是潜在的通过者。</w:t>
        <w:br/>
        <w:br/>
        <w:t>*   **结论：** **当前招聘漏斗显示出效率不高，尤其是从简历筛选到初试通过这一阶段。尽管最终通过复试的候选人质量可能较高（因为淘汰率低），但整体而言，我们能成功推进到高级阶段的合格人才数量非常有限。** 这是一个严重的问题，可能导致招聘周期长、难以快速补齐人才缺口。</w:t>
        <w:br/>
        <w:br/>
        <w:t>### 二、 高频技能词分析：吸引人才的技能画像</w:t>
        <w:br/>
        <w:br/>
        <w:t>综合高频技能词为我们描绘了当前吸引和关注的候选人画像。</w:t>
        <w:br/>
        <w:br/>
        <w:t>*   **核心优势技能（高频出现）：**</w:t>
        <w:br/>
        <w:t xml:space="preserve">    *   **微调 (455):** 压倒性的最高频词汇，表明公司对大模型**应用、优化和定制化**能力的极度重视。这不仅仅是会用模型，更是能根据特定场景进行模型优化。</w:t>
        <w:br/>
        <w:t xml:space="preserve">    *   **架构 (390):** 与微调并列，体现了对**系统设计、模型部署和工程化落地**能力的重视。候选人可能擅长构建稳定、高效的AI系统。</w:t>
        <w:br/>
        <w:t xml:space="preserve">    *   **金融 (385) / 量化 (166):** 极高的金融领域词汇频率，明确指出公司招聘目标高度集中于**金融科技或量化金融**领域。吸引的人才具备深厚的行业背景知识。</w:t>
        <w:br/>
        <w:t xml:space="preserve">    *   **Python (358) / PyTorch (115) / Transformer (106):** 作为AI开发的主流语言和框架，这些是基础且核心的技能，表明吸引的人才具备扎实的**编程和模型构建**能力。</w:t>
        <w:br/>
        <w:t xml:space="preserve">    *   **昇腾 (164) / CUDA (88):** 昇腾的出现尤为突出，表明公司业务对**华为昇腾AI硬件平台**有深度需求，吸引的候选人具备在该特定硬件生态上进行开发和优化的经验。CUDA则是GPU编程的基础。</w:t>
        <w:br/>
        <w:t xml:space="preserve">    *   **DeepSpeed (102):** 大模型训练优化工具，表明候选人具备**大规模模型训练和性能优化**的实践经验。</w:t>
        <w:br/>
        <w:br/>
        <w:t>*   **相对低频但重要的技能：**</w:t>
        <w:br/>
        <w:t xml:space="preserve">    *   **NLP (160):** 作为大模型的基础领域，虽频率不如微调，但仍是重要支撑。</w:t>
        <w:br/>
        <w:t xml:space="preserve">    *   **TensorFlow (53):** 表明部分候选人可能使用TensorFlow，但PyTorch是主流。</w:t>
        <w:br/>
        <w:t xml:space="preserve">    *   **工程化 (29):** 尽管其重要性高，但作为独立技能词的频率相对较低。这可能意味着“架构”、“微调”等词汇已经包含了部分工程化的内容，或者公司在评估候选人时对纯粹的工程化能力考量不如模型本身。然而，在实际落地中，工程化能力至关重要。</w:t>
        <w:br/>
        <w:t xml:space="preserve">    *   **RLHF (10):** 目前相对新兴且复杂的技术，频率非常低。这可能意味着公司当前对大模型的**人机对齐、强化学习**等高级优化技术需求不强，或者掌握此技能的候选人非常稀缺。</w:t>
        <w:br/>
        <w:br/>
        <w:t>*   **结论：** **从技能点来看，公司成功吸引了与业务需求高度匹配的、专注于大模型微调、部署、架构设计，并具备特定行业（金融）和特定硬件（昇腾）背景的专业人才。人才质量在专业方向上非常集中和对口。**</w:t>
        <w:br/>
        <w:br/>
        <w:t>### 三、 本地简历文件夹摘要（曹振杰）分析：具体人才范例</w:t>
        <w:br/>
        <w:br/>
        <w:t>曹振杰的简历是上述高频技能词的绝佳印证和具象化。</w:t>
        <w:br/>
        <w:br/>
        <w:t>*   **与高频技能的匹配度：**</w:t>
        <w:br/>
        <w:t xml:space="preserve">    *   **微调、架构、部署：** 简历标题“AI大模型算法工程师”、“大模型部署工程师”直接对应。工作职责中多次提到“预训练、全参微调/Lora微调/QLora微调”、“推理引擎部署大模型”、“模型迁移”、“部署deepseek-qwen-32B”等，完美契合“微调”、“架构”和“工程化”的描述。</w:t>
        <w:br/>
        <w:t xml:space="preserve">    *   **昇腾：** 明确提到“华为技术有限公司 大模型部署工程师”，工作职责中大量涉及“昇腾技术体系”、“基于客户昇腾设备”、“从 GPU 至昇腾框架的迁移适配工作”，这与高频词“昇腾”高度吻合。</w:t>
        <w:br/>
        <w:t xml:space="preserve">    *   **金融：** 项目经历中的“深圳微众银行”直接体现了金融行业经验。</w:t>
        <w:br/>
        <w:t xml:space="preserve">    *   **Python、PyTorch、Transformer、DeepSpeed：** 个人优势中明确提及“Pytorch 等常见的开发框架”、“Bert、Transformer、GPT、等NLP基础框架算法”，熟练使用“llama，deepseek,qwen，百川等开源大模型”以及“deepseed”相关经验，工作内容包含“使用mindspeed框架”，均与高频词匹配。</w:t>
        <w:br/>
        <w:t xml:space="preserve">    *   **工程化：** 虽然“工程化”词频不高，但其简历中的“ollama，vllm，mindie等推理引擎部署大模型”、“Docker 和自定义 Dockerfile 对大模型进行容器化封装”、“规划训练与推理所需要的卡数资源”、“跟踪评估”、“解决技术难题”等内容，都体现了非常强的工程化和落地能力。</w:t>
        <w:br/>
        <w:br/>
        <w:t>*   **经验与角色定位：**</w:t>
        <w:br/>
        <w:t xml:space="preserve">    *   曹振杰具有“2年工作经验”，并在华为担任“大模型部署工程师”，项目经历中不乏与知名机构合作（哈尔滨移动、审计署、智谱、微众银行、天翼云）。</w:t>
        <w:br/>
        <w:t xml:space="preserve">    *   他的经验非常聚焦于**大模型的实际部署、迁移、性能优化和客户支持**，是典型的应用型、工程型人才，而非纯研究型。这与“微调”、“架构”、“昇腾”、“工程化”等高频词所暗示的岗位需求高度一致。</w:t>
        <w:br/>
        <w:br/>
        <w:t>*   **结论：** **曹振杰的简历反映了我们吸引的顶层人才（至少是简历层面）是高度专业化、具备实战经验、且与公司在特定领域和技术栈需求上高度契合的。这进一步确认了我们吸引的“高质量”人才，其质量体现在其专业方向的匹配度上。**</w:t>
        <w:br/>
        <w:br/>
        <w:t>### 综合分析与人才质量总结</w:t>
        <w:br/>
        <w:br/>
        <w:t>**我们吸引的人才质量如何？**</w:t>
        <w:br/>
        <w:br/>
        <w:t>1.  **在专业方向和技能栈上：** **质量极高且匹配度卓越。** 尤其是在“大模型微调与部署”、“基于昇腾平台的开发与优化”以及“金融行业应用”这三个核心领域，我们吸引了大量具备实战经验和深度专业知识的候选人，曹振杰的简历就是典型代表。这些人才能够直接满足公司在特定技术和行业方向的深度需求。</w:t>
        <w:br/>
        <w:br/>
        <w:t>2.  **在数量和招聘效率上：** **存在显著挑战。** 尽管吸引的个体质量很高，但能够有效通过招聘漏斗，特别是前几轮筛选的候选人数量非常稀少。这意味着：</w:t>
        <w:br/>
        <w:t xml:space="preserve">    *   **高标准：** 公司在招聘过程中可能设定了非常高的标准，导致大量候选人无法通过。</w:t>
        <w:br/>
        <w:t xml:space="preserve">    *   **供需不平衡：** 掌握特定技能（如昇腾+金融大模型部署）的人才本身就非常稀缺，导致符合条件的候选人数量不足。</w:t>
        <w:br/>
        <w:t xml:space="preserve">    *   **招聘策略需要优化：** 可能是初始简历库质量不高，或筛选、面试流程中存在非必要的高淘汰率。我们可能在“发现”和“转化”这些高质量人才方面做得不够好。</w:t>
        <w:br/>
        <w:br/>
        <w:t>3.  **潜在的技能盲区：**</w:t>
        <w:br/>
        <w:t xml:space="preserve">    *   “工程化”作为独立高频词汇的频率不高，可能需要进一步确认在面试反馈中是否足够重视并体现。</w:t>
        <w:br/>
        <w:t xml:space="preserve">    *   “RLHF”的低频可能意味着我们目前对更高级别的人机对齐需求不高，或者该领域人才确实稀缺。如果未来业务发展需要，这可能是一个潜在的人才储备缺口。</w:t>
        <w:br/>
        <w:br/>
        <w:t>**总结来说，公司吸引的**“靶向性”人才质量极高，与当前的核心业务需求高度契合。** 然而，**“广度”和“效率”上存在明显短板**，即合格候选人的总量少，且招聘漏斗的早期阶段淘汰率过高，导致最终能够进入到复试阶段并有望入职的人才池非常狭窄。</w:t>
        <w:br/>
        <w:br/>
        <w:t>**建议：**</w:t>
        <w:br/>
        <w:t>1.  **优化招聘漏斗：** 深入分析简历筛选和初试阶段的淘汰原因，是否存在过于严苛的标准或评估偏差。考虑是否能放宽一些非核心要求，或优化面试设计，以提高转化率。</w:t>
        <w:br/>
        <w:t>2.  **扩大高质量人才来源：** 针对目标人才画像，拓展更多有效的招聘渠道，例如行业峰会、专业社群、定向猎头合作等，增加简历库中高质量的“活水”。</w:t>
        <w:br/>
        <w:t>3.  **精细化人才盘点：** 对现有200人数据库进行更细致的分类和激活，识别其中被低估或可培养的潜在人才。</w:t>
        <w:br/>
        <w:t>4.  **关注工程化能力：** 在面试评估中，更明确地考察和强调候选人的大模型工程化部署和维护能力，确保模型能高效稳定地落地。</w:t>
      </w:r>
    </w:p>
    <w:p>
      <w:pPr>
        <w:pStyle w:val="Heading3"/>
      </w:pPr>
      <w:r>
        <w:t>表1: 候选人招聘状态分布</w:t>
      </w:r>
    </w:p>
    <w:tbl>
      <w:tblPr>
        <w:tblStyle w:val="TableGrid"/>
        <w:tblW w:type="auto" w:w="0"/>
        <w:tblLook w:firstColumn="1" w:firstRow="1" w:lastColumn="0" w:lastRow="0" w:noHBand="0" w:noVBand="1" w:val="04A0"/>
      </w:tblPr>
      <w:tblGrid>
        <w:gridCol w:w="4320"/>
        <w:gridCol w:w="4320"/>
      </w:tblGrid>
      <w:tr>
        <w:tc>
          <w:tcPr>
            <w:tcW w:type="dxa" w:w="4320"/>
          </w:tcPr>
          <w:p>
            <w:r>
              <w:t>招聘状态</w:t>
            </w:r>
          </w:p>
        </w:tc>
        <w:tc>
          <w:tcPr>
            <w:tcW w:type="dxa" w:w="4320"/>
          </w:tcPr>
          <w:p>
            <w:r>
              <w:t>候选人数量</w:t>
            </w:r>
          </w:p>
        </w:tc>
      </w:tr>
      <w:tr>
        <w:tc>
          <w:tcPr>
            <w:tcW w:type="dxa" w:w="4320"/>
          </w:tcPr>
          <w:p>
            <w:r>
              <w:t>简历通过</w:t>
            </w:r>
          </w:p>
        </w:tc>
        <w:tc>
          <w:tcPr>
            <w:tcW w:type="dxa" w:w="4320"/>
          </w:tcPr>
          <w:p>
            <w:r>
              <w:t>8</w:t>
            </w:r>
          </w:p>
        </w:tc>
      </w:tr>
      <w:tr>
        <w:tc>
          <w:tcPr>
            <w:tcW w:type="dxa" w:w="4320"/>
          </w:tcPr>
          <w:p>
            <w:r>
              <w:t>初试通过</w:t>
            </w:r>
          </w:p>
        </w:tc>
        <w:tc>
          <w:tcPr>
            <w:tcW w:type="dxa" w:w="4320"/>
          </w:tcPr>
          <w:p>
            <w:r>
              <w:t>3</w:t>
            </w:r>
          </w:p>
        </w:tc>
      </w:tr>
      <w:tr>
        <w:tc>
          <w:tcPr>
            <w:tcW w:type="dxa" w:w="4320"/>
          </w:tcPr>
          <w:p>
            <w:r>
              <w:t>复试通过</w:t>
            </w:r>
          </w:p>
        </w:tc>
        <w:tc>
          <w:tcPr>
            <w:tcW w:type="dxa" w:w="4320"/>
          </w:tcPr>
          <w:p>
            <w:r>
              <w:t>3</w:t>
            </w:r>
          </w:p>
        </w:tc>
      </w:tr>
      <w:tr>
        <w:tc>
          <w:tcPr>
            <w:tcW w:type="dxa" w:w="4320"/>
          </w:tcPr>
          <w:p>
            <w:r>
              <w:t>流程中</w:t>
            </w:r>
          </w:p>
        </w:tc>
        <w:tc>
          <w:tcPr>
            <w:tcW w:type="dxa" w:w="4320"/>
          </w:tcPr>
          <w:p>
            <w:r>
              <w:t>2</w:t>
            </w:r>
          </w:p>
        </w:tc>
      </w:tr>
    </w:tbl>
    <w:p/>
    <w:p>
      <w:pPr>
        <w:pStyle w:val="Heading3"/>
      </w:pPr>
      <w:r>
        <w:t>表2: 综合高频技能词</w:t>
      </w:r>
    </w:p>
    <w:tbl>
      <w:tblPr>
        <w:tblStyle w:val="TableGrid"/>
        <w:tblW w:type="auto" w:w="0"/>
        <w:tblLook w:firstColumn="1" w:firstRow="1" w:lastColumn="0" w:lastRow="0" w:noHBand="0" w:noVBand="1" w:val="04A0"/>
      </w:tblPr>
      <w:tblGrid>
        <w:gridCol w:w="4320"/>
        <w:gridCol w:w="4320"/>
      </w:tblGrid>
      <w:tr>
        <w:tc>
          <w:tcPr>
            <w:tcW w:type="dxa" w:w="4320"/>
          </w:tcPr>
          <w:p>
            <w:r>
              <w:t>技能</w:t>
            </w:r>
          </w:p>
        </w:tc>
        <w:tc>
          <w:tcPr>
            <w:tcW w:type="dxa" w:w="4320"/>
          </w:tcPr>
          <w:p>
            <w:r>
              <w:t>提及次数</w:t>
            </w:r>
          </w:p>
        </w:tc>
      </w:tr>
      <w:tr>
        <w:tc>
          <w:tcPr>
            <w:tcW w:type="dxa" w:w="4320"/>
          </w:tcPr>
          <w:p>
            <w:r>
              <w:t>微调</w:t>
            </w:r>
          </w:p>
        </w:tc>
        <w:tc>
          <w:tcPr>
            <w:tcW w:type="dxa" w:w="4320"/>
          </w:tcPr>
          <w:p>
            <w:r>
              <w:t>455</w:t>
            </w:r>
          </w:p>
        </w:tc>
      </w:tr>
      <w:tr>
        <w:tc>
          <w:tcPr>
            <w:tcW w:type="dxa" w:w="4320"/>
          </w:tcPr>
          <w:p>
            <w:r>
              <w:t>架构</w:t>
            </w:r>
          </w:p>
        </w:tc>
        <w:tc>
          <w:tcPr>
            <w:tcW w:type="dxa" w:w="4320"/>
          </w:tcPr>
          <w:p>
            <w:r>
              <w:t>390</w:t>
            </w:r>
          </w:p>
        </w:tc>
      </w:tr>
      <w:tr>
        <w:tc>
          <w:tcPr>
            <w:tcW w:type="dxa" w:w="4320"/>
          </w:tcPr>
          <w:p>
            <w:r>
              <w:t>金融</w:t>
            </w:r>
          </w:p>
        </w:tc>
        <w:tc>
          <w:tcPr>
            <w:tcW w:type="dxa" w:w="4320"/>
          </w:tcPr>
          <w:p>
            <w:r>
              <w:t>385</w:t>
            </w:r>
          </w:p>
        </w:tc>
      </w:tr>
      <w:tr>
        <w:tc>
          <w:tcPr>
            <w:tcW w:type="dxa" w:w="4320"/>
          </w:tcPr>
          <w:p>
            <w:r>
              <w:t>Python</w:t>
            </w:r>
          </w:p>
        </w:tc>
        <w:tc>
          <w:tcPr>
            <w:tcW w:type="dxa" w:w="4320"/>
          </w:tcPr>
          <w:p>
            <w:r>
              <w:t>358</w:t>
            </w:r>
          </w:p>
        </w:tc>
      </w:tr>
      <w:tr>
        <w:tc>
          <w:tcPr>
            <w:tcW w:type="dxa" w:w="4320"/>
          </w:tcPr>
          <w:p>
            <w:r>
              <w:t>量化</w:t>
            </w:r>
          </w:p>
        </w:tc>
        <w:tc>
          <w:tcPr>
            <w:tcW w:type="dxa" w:w="4320"/>
          </w:tcPr>
          <w:p>
            <w:r>
              <w:t>166</w:t>
            </w:r>
          </w:p>
        </w:tc>
      </w:tr>
      <w:tr>
        <w:tc>
          <w:tcPr>
            <w:tcW w:type="dxa" w:w="4320"/>
          </w:tcPr>
          <w:p>
            <w:r>
              <w:t>昇腾</w:t>
            </w:r>
          </w:p>
        </w:tc>
        <w:tc>
          <w:tcPr>
            <w:tcW w:type="dxa" w:w="4320"/>
          </w:tcPr>
          <w:p>
            <w:r>
              <w:t>164</w:t>
            </w:r>
          </w:p>
        </w:tc>
      </w:tr>
      <w:tr>
        <w:tc>
          <w:tcPr>
            <w:tcW w:type="dxa" w:w="4320"/>
          </w:tcPr>
          <w:p>
            <w:r>
              <w:t>NLP</w:t>
            </w:r>
          </w:p>
        </w:tc>
        <w:tc>
          <w:tcPr>
            <w:tcW w:type="dxa" w:w="4320"/>
          </w:tcPr>
          <w:p>
            <w:r>
              <w:t>160</w:t>
            </w:r>
          </w:p>
        </w:tc>
      </w:tr>
      <w:tr>
        <w:tc>
          <w:tcPr>
            <w:tcW w:type="dxa" w:w="4320"/>
          </w:tcPr>
          <w:p>
            <w:r>
              <w:t>PyTorch</w:t>
            </w:r>
          </w:p>
        </w:tc>
        <w:tc>
          <w:tcPr>
            <w:tcW w:type="dxa" w:w="4320"/>
          </w:tcPr>
          <w:p>
            <w:r>
              <w:t>115</w:t>
            </w:r>
          </w:p>
        </w:tc>
      </w:tr>
      <w:tr>
        <w:tc>
          <w:tcPr>
            <w:tcW w:type="dxa" w:w="4320"/>
          </w:tcPr>
          <w:p>
            <w:r>
              <w:t>Transformer</w:t>
            </w:r>
          </w:p>
        </w:tc>
        <w:tc>
          <w:tcPr>
            <w:tcW w:type="dxa" w:w="4320"/>
          </w:tcPr>
          <w:p>
            <w:r>
              <w:t>106</w:t>
            </w:r>
          </w:p>
        </w:tc>
      </w:tr>
      <w:tr>
        <w:tc>
          <w:tcPr>
            <w:tcW w:type="dxa" w:w="4320"/>
          </w:tcPr>
          <w:p>
            <w:r>
              <w:t>DeepSpeed</w:t>
            </w:r>
          </w:p>
        </w:tc>
        <w:tc>
          <w:tcPr>
            <w:tcW w:type="dxa" w:w="4320"/>
          </w:tcPr>
          <w:p>
            <w:r>
              <w:t>102</w:t>
            </w:r>
          </w:p>
        </w:tc>
      </w:tr>
      <w:tr>
        <w:tc>
          <w:tcPr>
            <w:tcW w:type="dxa" w:w="4320"/>
          </w:tcPr>
          <w:p>
            <w:r>
              <w:t>CUDA</w:t>
            </w:r>
          </w:p>
        </w:tc>
        <w:tc>
          <w:tcPr>
            <w:tcW w:type="dxa" w:w="4320"/>
          </w:tcPr>
          <w:p>
            <w:r>
              <w:t>88</w:t>
            </w:r>
          </w:p>
        </w:tc>
      </w:tr>
      <w:tr>
        <w:tc>
          <w:tcPr>
            <w:tcW w:type="dxa" w:w="4320"/>
          </w:tcPr>
          <w:p>
            <w:r>
              <w:t>TensorFlow</w:t>
            </w:r>
          </w:p>
        </w:tc>
        <w:tc>
          <w:tcPr>
            <w:tcW w:type="dxa" w:w="4320"/>
          </w:tcPr>
          <w:p>
            <w:r>
              <w:t>53</w:t>
            </w:r>
          </w:p>
        </w:tc>
      </w:tr>
      <w:tr>
        <w:tc>
          <w:tcPr>
            <w:tcW w:type="dxa" w:w="4320"/>
          </w:tcPr>
          <w:p>
            <w:r>
              <w:t>工程化</w:t>
            </w:r>
          </w:p>
        </w:tc>
        <w:tc>
          <w:tcPr>
            <w:tcW w:type="dxa" w:w="4320"/>
          </w:tcPr>
          <w:p>
            <w:r>
              <w:t>29</w:t>
            </w:r>
          </w:p>
        </w:tc>
      </w:tr>
      <w:tr>
        <w:tc>
          <w:tcPr>
            <w:tcW w:type="dxa" w:w="4320"/>
          </w:tcPr>
          <w:p>
            <w:r>
              <w:t>RLHF</w:t>
            </w:r>
          </w:p>
        </w:tc>
        <w:tc>
          <w:tcPr>
            <w:tcW w:type="dxa" w:w="4320"/>
          </w:tcPr>
          <w:p>
            <w:r>
              <w:t>10</w:t>
            </w:r>
          </w:p>
        </w:tc>
      </w:tr>
    </w:tbl>
    <w:p/>
    <w:p/>
    <w:p>
      <w:pPr>
        <w:pStyle w:val="Heading1"/>
      </w:pPr>
      <w:r>
        <w:t>战略行动建议</w:t>
      </w:r>
    </w:p>
    <w:p>
      <w:pPr/>
      <w:r>
        <w:t>根据您提供的内部数据和对曹振杰简历的分析，以下是我们为招聘团队提出的5条具体的、可立即执行的、详尽的战略建议：</w:t>
        <w:br/>
        <w:br/>
        <w:t>---</w:t>
        <w:br/>
        <w:br/>
        <w:t>### **战略建议1：立即优化招聘JD与发布渠道，精准聚焦核心技能与行业**</w:t>
        <w:br/>
        <w:br/>
        <w:t>*   **背后的逻辑：** 目前200份简历中仅有8份通过简历筛选，这表明简历通过率极低（4%）。这可能源于JD描述不够精准、未能有效吸引目标人才，或筛选标准与市场人才画像存在偏差。高频技能词如“微调”、“架构”、“金融”、“昇腾”、“量化”以及“工程化”清晰地指示了我们所需人才的关键能力。曹振杰的简历也高度匹配了这些需求，特别是“昇腾”和“大模型部署工程师”的角色。我们必须让JD成为一块“磁铁”，而非“过滤器”。</w:t>
        <w:br/>
        <w:t>*   **具体执行：**</w:t>
        <w:br/>
        <w:t xml:space="preserve">    1.  **JD内容优化：** 立即修订“AI大模型算法工程师”的职位描述，将“昇腾”、“大模型部署/工程化”、“微调（Lora/QLora）”、“量化”、“PyTorch”以及“金融领域应用经验（如量化策略、金融模型部署）”等作为**硬性要求或核心加分项**，并将其提升到JD的显眼位置。明确我们更偏向于**大模型在特定硬件（昇腾）上的部署、优化和工程化能力**，而非纯粹的算法研究。可以参考曹振杰简历中描述的“大模型部署工程师”职责来润色。</w:t>
        <w:br/>
        <w:t xml:space="preserve">    2.  **关键词策略：** 在ATS（申请人跟踪系统）和招聘网站上设置更精准的简历筛选关键词，确保这些高频技能词的命中率。</w:t>
        <w:br/>
        <w:t xml:space="preserve">    3.  **渠道拓展：** 将职位发布拓展到更专业的论坛、社群（如华为昇腾开发者社区、AI大模型技术交流群、金融科技人才社群）和垂直招聘平台，而非仅仅依赖通用平台。考虑与这些社区的KOL或技术大牛进行合作推荐。</w:t>
        <w:br/>
        <w:t>*   **预期效果：**</w:t>
        <w:br/>
        <w:t xml:space="preserve">    *   显著提高简历通过率，将更多符合我们核心需求（尤其是“昇腾”背景）的候选人纳入面试流程。</w:t>
        <w:br/>
        <w:t xml:space="preserve">    *   减少招聘团队在筛选不匹配简历上浪费的时间，提高效率。</w:t>
        <w:br/>
        <w:t xml:space="preserve">    *   吸引到更多具备即战力，能快速融入现有项目并做出贡献的优质人才。</w:t>
        <w:br/>
        <w:br/>
        <w:t>---</w:t>
        <w:br/>
        <w:br/>
        <w:t>### **战略建议2：启动“昇腾精锐”专项主动寻访计划**</w:t>
        <w:br/>
        <w:br/>
        <w:t>*   **背后的逻辑：** “昇腾”是高频技能词中一个非常独特的且极具指向性的技能，且曹振杰的简历显示这正是我们所需的核心经验。具备“昇腾”经验的人才在市场上相对稀缺，等待他们主动投递简历的效率会非常低。我们不能坐等，必须主动出击。</w:t>
        <w:br/>
        <w:t>*   **具体执行：**</w:t>
        <w:br/>
        <w:t xml:space="preserve">    1.  **人才画像细化：** 基于曹振杰的简历，提炼出“昇腾大模型部署工程师”的详细人才画像：至少1-2年昇腾体系大模型部署/迁移/优化经验，熟悉MindSpore/MindIE/Ascend相关工具链，同时具备微调、量化和Python能力。</w:t>
        <w:br/>
        <w:t xml:space="preserve">    2.  **猎头/顾问合作：** 如果内部招聘资源有限，考虑与专注于AI/云计算/国产化硬件生态的猎头公司合作，明确传达“昇腾”经验是首要筛选条件。</w:t>
        <w:br/>
        <w:t xml:space="preserve">    3.  **LinkedIn Recruiter深挖：** 招聘团队应立即利用LinkedIn Recruiter等工具，重点搜索在“华为”、“智谱AI”、“昇腾生态合作伙伴”等公司有“昇腾”、“大模型部署”、“AI迁移工程师”等关键词工作经历的候选人，进行定向邀约。</w:t>
        <w:br/>
        <w:t xml:space="preserve">    4.  **行业活动参与：** 积极参与与昇腾、国产AI芯片相关的技术峰会、研讨会，进行现场人才挖掘和品牌宣传。</w:t>
        <w:br/>
        <w:t>*   **预期效果：**</w:t>
        <w:br/>
        <w:t xml:space="preserve">    *   快速扩充具备“昇腾”这一关键稀缺技能的候选人管道，直接突破当前简历数量不足和质量不高的瓶颈。</w:t>
        <w:br/>
        <w:t xml:space="preserve">    *   在竞争激烈的AI人才市场中，抢占先机，优先接触和锁定我们急需的核心人才。</w:t>
        <w:br/>
        <w:t xml:space="preserve">    *   展现公司在特定技术栈（昇腾）上的投入和吸引力，提升雇主品牌。</w:t>
        <w:br/>
        <w:br/>
        <w:t>---</w:t>
        <w:br/>
        <w:br/>
        <w:t>### **战略建议3：建立并严格执行“金字塔式”简历与初试筛选标准**</w:t>
        <w:br/>
        <w:br/>
        <w:t>*   **背后的逻辑：** 尽管我们已经有了高频技能词，但如何高效、标准化地将其应用于筛选，确保入围初试的都是“对的人”，是提高转化率的关键。目前的“初试通过”和“复试通过”数量相同，可能意味着一旦进入面试阶段，质量相对稳定，但问题在于如何高效地让高质量人才进入这个阶段。我们需要一个系统性的漏斗筛选策略。</w:t>
        <w:br/>
        <w:t>*   **具体执行：**</w:t>
        <w:br/>
        <w:t xml:space="preserve">    1.  **分级评分体系：** 基于高频技能词（如“昇腾”、“微调”、“架构”、“金融”）建立一个**权重式简历评分表**。例如，昇腾经验可设置最高权重，其次是微调/量化、Python、大模型部署经验，金融行业背景作为重要加分项。招聘团队和用人部门（Hiring Manager）共同制定并校准。</w:t>
        <w:br/>
        <w:t xml:space="preserve">    2.  **简历“快筛”与“精筛”：**</w:t>
        <w:br/>
        <w:t xml:space="preserve">        *   **第一轮快筛（招聘团队）：** 根据关键词和基础信息进行快速过滤，剔除明显不符的简历。</w:t>
        <w:br/>
        <w:t xml:space="preserve">        *   **第二轮精筛（用人部门/技术负责人）：** 对通过快筛的简历，由技术人员使用评分表进行精细化评估，确保技术匹配度。</w:t>
        <w:br/>
        <w:t xml:space="preserve">    3.  **初试问卷/小测：** 在初试前，可以考虑增加一份简短的在线技术问卷（例如：关于大模型部署常见问题、昇腾环境配置等）或要求提供简短的项目描述（围绕部署或微调经验），作为筛选的额外依据，提高初试效率。</w:t>
        <w:br/>
        <w:t>*   **预期效果：**</w:t>
        <w:br/>
        <w:t xml:space="preserve">    *   大幅提升进入面试环节的候选人质量，降低“无效面试”的比例。</w:t>
        <w:br/>
        <w:t xml:space="preserve">    *   确保招聘团队与业务团队在人才标准上高度一致，避免反复沟通和筛选偏差。</w:t>
        <w:br/>
        <w:t xml:space="preserve">    *   将更多精力投入到高质量候选人的面试和跟进上，提升招聘整体效率。</w:t>
        <w:br/>
        <w:br/>
        <w:t>---</w:t>
        <w:br/>
        <w:br/>
        <w:t>### **战略建议4：打造“AI大模型部署与金融应用”为主题的雇主品牌亮点**</w:t>
        <w:br/>
        <w:br/>
        <w:t>*   **背后的逻辑：** 在AI领域，公司文化和项目吸引力对人才有巨大影响。数据显示“金融”是高频词，结合“昇腾”、“大模型部署”和“架构”，说明我们可能在大模型于金融领域的落地应用上有独特优势。我们需要将这一优势具象化，吸引对特定领域有兴趣的顶尖人才。</w:t>
        <w:br/>
        <w:t>*   **具体执行：**</w:t>
        <w:br/>
        <w:t xml:space="preserve">    1.  **项目故事化：** 提炼出公司在大模型部署、微调、昇腾应用、以及金融行业应用方面的典型成功案例或创新项目。将其转化为有吸引力的故事，展示团队在解决实际问题中的技术深度和业务价值。</w:t>
        <w:br/>
        <w:t xml:space="preserve">    2.  **技术博客/分享会：** 鼓励内部技术专家（特别是用人部门负责人）撰写技术博客，分享他们在昇腾、大模型微调、金融AI架构等方面的经验和见解。定期举办线上或线下的技术分享会，邀请潜在候选人参与。</w:t>
        <w:br/>
        <w:t xml:space="preserve">    3.  **招聘页面/物料更新：** 在公司官网的招聘页面、宣传册、LinkedIn公司主页等所有对外招聘物料中，重点突出我们在“昇腾硬件上的大模型部署与优化”、“金融AI应用”、“领先的AI架构实践”等方面的优势和技术挑战。</w:t>
        <w:br/>
        <w:t xml:space="preserve">    4.  **面试官培训：** 培训面试官在面试过程中，除了考察技能，更要积极主动地向候选人介绍公司在这些核心领域的技术挑战、团队氛围和发展前景。</w:t>
        <w:br/>
        <w:t>*   **预期效果：**</w:t>
        <w:br/>
        <w:t xml:space="preserve">    *   提升公司在AI大模型部署与金融AI领域的专业形象和行业影响力，吸引更多对这些特定方向感兴趣的候选人。</w:t>
        <w:br/>
        <w:t xml:space="preserve">    *   增加候选人对公司业务和技术深度的认知和兴趣，提高他们加入公司的意愿。</w:t>
        <w:br/>
        <w:t xml:space="preserve">    *   在激烈的AI人才竞争中形成差异化优势，成为特定领域人才的首选。</w:t>
        <w:br/>
        <w:br/>
        <w:t>---</w:t>
        <w:br/>
        <w:br/>
        <w:t>### **战略建议5：建立“快速通道”与“候选人体验优化”机制**</w:t>
        <w:br/>
        <w:br/>
        <w:t>*   **背后的逻辑：** 核心人才，尤其是具备稀缺技能的，往往拥有多个offer。我们的招聘流程需要具备速度和人性化，才能在竞争中脱颖而出。目前“流程中”的候选人只有2个，表明我们能推进的有效候选人太少，对于这些来之不易的优质候选人，必须确保最佳体验和最高的转化率。</w:t>
        <w:br/>
        <w:t>*   **具体执行：**</w:t>
        <w:br/>
        <w:t xml:space="preserve">    1.  **“快速通道”：** 对于简历和初试评估极高的“A级”候选人（例如，完美匹配“昇腾”+“大模型部署”+“金融”经验），启动“快速通道”，争取在3-5个工作日内完成所有面试轮次，并尽快出具反馈和意向。避免漫长的等待期。</w:t>
        <w:br/>
        <w:t xml:space="preserve">    2.  **明确沟通与反馈：** 在每个招聘阶段，设定明确的沟通节点和反馈时间（例如：简历筛选后3天内反馈，面试后24小时内发送后续步骤说明），即使是拒绝也要提供有礼貌和清晰的反馈。</w:t>
        <w:br/>
        <w:t xml:space="preserve">    3.  **专属招聘顾问：** 对于进入面试阶段的优质候选人，指定一名专属的招聘顾问作为其全程联络人，及时解答疑问，提供帮助，并传递公司对他们的重视。</w:t>
        <w:br/>
        <w:t xml:space="preserve">    4.  **提供项目细节：** 在复试或终面阶段，由用人部门负责人或CTO亲自介绍具体的项目挑战、技术栈和团队协作方式，让候选人对未来的工作内容有更清晰的认知，增强其兴趣。</w:t>
        <w:br/>
        <w:t>*   **预期效果：**</w:t>
        <w:br/>
        <w:t xml:space="preserve">    *   大幅缩短优质候选人的招聘周期，提高Offer接受率，降低人才流失风险。</w:t>
        <w:br/>
        <w:t xml:space="preserve">    *   提升候选人的满意度和雇主品牌形象，即使未成功入职，也能成为公司的“品牌大使”。</w:t>
        <w:br/>
        <w:t xml:space="preserve">    *   吸引更多优秀人才通过口碑效应主动投递简历。</w:t>
        <w:br/>
        <w:b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