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AI大模型工程师人才分析报告</w:t>
      </w:r>
    </w:p>
    <w:p>
      <w:pPr>
        <w:jc w:val="center"/>
      </w:pPr>
      <w:r>
        <w:rPr>
          <w:i/>
        </w:rPr>
        <w:t>基于内部数据的深度量化洞察</w:t>
      </w:r>
    </w:p>
    <w:p>
      <w:pPr>
        <w:jc w:val="center"/>
      </w:pPr>
      <w:r>
        <w:rPr>
          <w:sz w:val="18"/>
        </w:rPr>
        <w:t>报告生成日期: 2025-07-16</w:t>
      </w:r>
    </w:p>
    <w:p>
      <w:r>
        <w:br w:type="page"/>
      </w:r>
    </w:p>
    <w:p>
      <w:pPr>
        <w:pStyle w:val="Heading1"/>
      </w:pPr>
      <w:r>
        <w:t>执行摘要</w:t>
      </w:r>
    </w:p>
    <w:p>
      <w:pPr>
        <w:jc w:val="both"/>
      </w:pPr>
      <w:r>
        <w:t>好的，作为AI人才战略顾问，根据您提供的招聘漏斗和技能分布数据，以下是一份高度概括的执行摘要：</w:t>
        <w:br/>
        <w:br/>
        <w:t>---</w:t>
        <w:br/>
        <w:br/>
        <w:t>AI人才池招聘与技能储备现状执行摘要</w:t>
        <w:br/>
        <w:br/>
        <w:t>概述：</w:t>
        <w:br/>
        <w:t>当前AI人才池的招聘流程面临严峻挑战，未能成功录用任何AI专业人才。尽管人才池中展现出坚实的核心AI/ML基础技能储备，但在招聘漏斗的多个阶段，特别是终面环节，存在核心瓶颈，同时在部分前沿AI技能方面存在明显储备不足。</w:t>
        <w:br/>
        <w:br/>
        <w:t>一、招聘漏斗现状与挑战：</w:t>
        <w:br/>
        <w:br/>
        <w:t>我们的招聘漏斗正经历严重的“漏水”现象，未能有效转化为实际录用：</w:t>
        <w:br/>
        <w:br/>
        <w:t>1.  简历筛选与初试阶段流失率高昂： 从简历通过到初试通过的转化率仅为4.0%，且初试阶段流失率高达62.5%，表明在人才筛选的初期环节就已损失大量潜在候选人，可能是简历来源、初步评估标准或沟通环节存在问题。</w:t>
        <w:br/>
        <w:t>2.  核心瓶颈集中在终面环节： 尽管复试阶段的转化率达100%（即所有进入复试的候选人都通过了该轮），但终面环节的转化率却为0%，导致所有候选人止步于此，无一人获得Offer或被录用。这直接指出终面环节是当前招聘漏斗的最严重、最致命的堵塞点，亟需深入调查终面评估标准、面试官校准或候选人期望匹配度等问题。</w:t>
        <w:br/>
        <w:t>3.  零录用结果： 最终结果是，尽管有候选人进入到招聘流程，但无人成功被录用，这直接影响了团队的AI人才补充和战略目标的实现。</w:t>
        <w:br/>
        <w:br/>
        <w:t>二、核心技能储备现状与分析：</w:t>
        <w:br/>
        <w:br/>
        <w:t>在人才池的技能储备方面，我们具备一定的优势，但也存在亟待弥补的短板：</w:t>
        <w:br/>
        <w:br/>
        <w:t>1.  优势：扎实的通用与核心AI/ML基础：</w:t>
        <w:br/>
        <w:t xml:space="preserve">       通用编程基础雄厚： Python提及次数（358次）遥遥领先，表明人才池具备强大的通用编程和脚本能力。</w:t>
        <w:br/>
        <w:t xml:space="preserve">       核心AI/ML框架与架构： PyTorch (115)、Transformer (106)、DeepSpeed (102)、分布式 (96) 和 CUDA (88) 的较高提及次数，显示人才池对主流深度学习框架、模型架构、高效训练与优化技术有较好掌握。</w:t>
        <w:br/>
        <w:t xml:space="preserve">       特定领域优势： NLP (160) 和量化 (166) 的高提及次数，表明在自然语言处理和量化分析等特定AI应用领域有较强储备。</w:t>
        <w:br/>
        <w:t xml:space="preserve">       平台适配性： 昇腾 (164) 的高提及次数，暗示人才池可能与特定的硬件生态（如华为昇腾）有良好匹配度。</w:t>
        <w:br/>
        <w:br/>
        <w:t>2.  挑战：前沿AI技能储备显著不足：</w:t>
        <w:br/>
        <w:t xml:space="preserve">       新兴核心技术稀缺： RLHF (10) 和 AI Agent (7) 这类对于当前大模型和智能体发展至关重要的前沿技能提及次数极低。这表明在最为创新和战略性的AI领域，我们的人才池存在显著的技能空白，难以支持未来AI产品的核心竞争力构建。</w:t>
        <w:br/>
        <w:t xml:space="preserve">       技能深度与招聘匹配： 尽管基础技能提及率高，但结合招聘漏斗的零录用结果，暗示可能存在“提及次数多但实际能力深度不足”或“评估标准未能识别出所需深度技能”的问题。</w:t>
        <w:br/>
        <w:br/>
        <w:t>总结与建议：</w:t>
        <w:br/>
        <w:br/>
        <w:t>当前我们AI人才战略的最大挑战在于招聘流程的失效，特别是终面环节的零转化率，导致无法将已具备一定基础技能的候选人转化为团队成员。同时，在RLHF和AI Agent等前沿关键技术领域的技能储备不足，可能限制我们未来在AI领域的创新和竞争力。</w:t>
        <w:br/>
        <w:br/>
        <w:t>迫切建议：</w:t>
        <w:br/>
        <w:br/>
        <w:t xml:space="preserve">   立即全面审查和优化终面环节： 深入分析终面失败的原因，包括面试标准、面试官培训、候选人沟通及薪资期望管理等。</w:t>
        <w:br/>
        <w:t xml:space="preserve">   优化前端漏斗： 提升简历筛选和初试阶段的转化率，确保更多优质候选人进入后续环节。</w:t>
        <w:br/>
        <w:t xml:space="preserve">   定向补足核心技能短板： 制定策略吸引或培养具备RLHF和AI Agent等前沿技能的人才，或考虑内部技能提升计划。</w:t>
        <w:br/>
        <w:t xml:space="preserve">   重新评估人才标准与市场匹配度： 结合技能储备情况，审视当前AI人才招聘的整体策略，确保我们设定的标准与市场供需及我们的实际需求相符。</w:t>
        <w:br/>
        <w:br/>
        <w:t>---</w:t>
      </w:r>
    </w:p>
    <w:p/>
    <w:p>
      <w:pPr>
        <w:pStyle w:val="Heading1"/>
      </w:pPr>
      <w:r>
        <w:t>招聘漏斗与转化分析</w:t>
      </w:r>
    </w:p>
    <w:p>
      <w:pPr>
        <w:pStyle w:val="Heading3"/>
      </w:pPr>
      <w:r>
        <w:t>表1: 招聘漏斗分析</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招聘阶段</w:t>
            </w:r>
          </w:p>
        </w:tc>
        <w:tc>
          <w:tcPr>
            <w:tcW w:type="dxa" w:w="2160"/>
          </w:tcPr>
          <w:p>
            <w:r>
              <w:t>候选人数量</w:t>
            </w:r>
          </w:p>
        </w:tc>
        <w:tc>
          <w:tcPr>
            <w:tcW w:type="dxa" w:w="2160"/>
          </w:tcPr>
          <w:p>
            <w:r>
              <w:t>转化率(与上一阶段比)</w:t>
            </w:r>
          </w:p>
        </w:tc>
        <w:tc>
          <w:tcPr>
            <w:tcW w:type="dxa" w:w="2160"/>
          </w:tcPr>
          <w:p>
            <w:r>
              <w:t>流失率</w:t>
            </w:r>
          </w:p>
        </w:tc>
      </w:tr>
      <w:tr>
        <w:tc>
          <w:tcPr>
            <w:tcW w:type="dxa" w:w="2160"/>
          </w:tcPr>
          <w:p>
            <w:r>
              <w:t>简历通过</w:t>
            </w:r>
          </w:p>
        </w:tc>
        <w:tc>
          <w:tcPr>
            <w:tcW w:type="dxa" w:w="2160"/>
          </w:tcPr>
          <w:p>
            <w:r>
              <w:t>8</w:t>
            </w:r>
          </w:p>
        </w:tc>
        <w:tc>
          <w:tcPr>
            <w:tcW w:type="dxa" w:w="2160"/>
          </w:tcPr>
          <w:p>
            <w:r>
              <w:t>4.0%</w:t>
            </w:r>
          </w:p>
        </w:tc>
        <w:tc>
          <w:tcPr>
            <w:tcW w:type="dxa" w:w="2160"/>
          </w:tcPr>
          <w:p>
            <w:r>
              <w:t>96.0%</w:t>
            </w:r>
          </w:p>
        </w:tc>
      </w:tr>
      <w:tr>
        <w:tc>
          <w:tcPr>
            <w:tcW w:type="dxa" w:w="2160"/>
          </w:tcPr>
          <w:p>
            <w:r>
              <w:t>初试通过</w:t>
            </w:r>
          </w:p>
        </w:tc>
        <w:tc>
          <w:tcPr>
            <w:tcW w:type="dxa" w:w="2160"/>
          </w:tcPr>
          <w:p>
            <w:r>
              <w:t>3</w:t>
            </w:r>
          </w:p>
        </w:tc>
        <w:tc>
          <w:tcPr>
            <w:tcW w:type="dxa" w:w="2160"/>
          </w:tcPr>
          <w:p>
            <w:r>
              <w:t>37.5%</w:t>
            </w:r>
          </w:p>
        </w:tc>
        <w:tc>
          <w:tcPr>
            <w:tcW w:type="dxa" w:w="2160"/>
          </w:tcPr>
          <w:p>
            <w:r>
              <w:t>62.5%</w:t>
            </w:r>
          </w:p>
        </w:tc>
      </w:tr>
      <w:tr>
        <w:tc>
          <w:tcPr>
            <w:tcW w:type="dxa" w:w="2160"/>
          </w:tcPr>
          <w:p>
            <w:r>
              <w:t>复试通过</w:t>
            </w:r>
          </w:p>
        </w:tc>
        <w:tc>
          <w:tcPr>
            <w:tcW w:type="dxa" w:w="2160"/>
          </w:tcPr>
          <w:p>
            <w:r>
              <w:t>3</w:t>
            </w:r>
          </w:p>
        </w:tc>
        <w:tc>
          <w:tcPr>
            <w:tcW w:type="dxa" w:w="2160"/>
          </w:tcPr>
          <w:p>
            <w:r>
              <w:t>100.0%</w:t>
            </w:r>
          </w:p>
        </w:tc>
        <w:tc>
          <w:tcPr>
            <w:tcW w:type="dxa" w:w="2160"/>
          </w:tcPr>
          <w:p>
            <w:r>
              <w:t>0.0%</w:t>
            </w:r>
          </w:p>
        </w:tc>
      </w:tr>
      <w:tr>
        <w:tc>
          <w:tcPr>
            <w:tcW w:type="dxa" w:w="2160"/>
          </w:tcPr>
          <w:p>
            <w:r>
              <w:t>终面通过</w:t>
            </w:r>
          </w:p>
        </w:tc>
        <w:tc>
          <w:tcPr>
            <w:tcW w:type="dxa" w:w="2160"/>
          </w:tcPr>
          <w:p>
            <w:r>
              <w:t>0</w:t>
            </w:r>
          </w:p>
        </w:tc>
        <w:tc>
          <w:tcPr>
            <w:tcW w:type="dxa" w:w="2160"/>
          </w:tcPr>
          <w:p>
            <w:r>
              <w:t>0.0%</w:t>
            </w:r>
          </w:p>
        </w:tc>
        <w:tc>
          <w:tcPr>
            <w:tcW w:type="dxa" w:w="2160"/>
          </w:tcPr>
          <w:p>
            <w:r>
              <w:t>100.0%</w:t>
            </w:r>
          </w:p>
        </w:tc>
      </w:tr>
      <w:tr>
        <w:tc>
          <w:tcPr>
            <w:tcW w:type="dxa" w:w="2160"/>
          </w:tcPr>
          <w:p>
            <w:r>
              <w:t>Offer已发</w:t>
            </w:r>
          </w:p>
        </w:tc>
        <w:tc>
          <w:tcPr>
            <w:tcW w:type="dxa" w:w="2160"/>
          </w:tcPr>
          <w:p>
            <w:r>
              <w:t>0</w:t>
            </w:r>
          </w:p>
        </w:tc>
        <w:tc>
          <w:tcPr>
            <w:tcW w:type="dxa" w:w="2160"/>
          </w:tcPr>
          <w:p>
            <w:r>
              <w:t>0.0%</w:t>
            </w:r>
          </w:p>
        </w:tc>
        <w:tc>
          <w:tcPr>
            <w:tcW w:type="dxa" w:w="2160"/>
          </w:tcPr>
          <w:p>
            <w:r>
              <w:t>100.0%</w:t>
            </w:r>
          </w:p>
        </w:tc>
      </w:tr>
      <w:tr>
        <w:tc>
          <w:tcPr>
            <w:tcW w:type="dxa" w:w="2160"/>
          </w:tcPr>
          <w:p>
            <w:r>
              <w:t>已录用</w:t>
            </w:r>
          </w:p>
        </w:tc>
        <w:tc>
          <w:tcPr>
            <w:tcW w:type="dxa" w:w="2160"/>
          </w:tcPr>
          <w:p>
            <w:r>
              <w:t>0</w:t>
            </w:r>
          </w:p>
        </w:tc>
        <w:tc>
          <w:tcPr>
            <w:tcW w:type="dxa" w:w="2160"/>
          </w:tcPr>
          <w:p>
            <w:r>
              <w:t>0.0%</w:t>
            </w:r>
          </w:p>
        </w:tc>
        <w:tc>
          <w:tcPr>
            <w:tcW w:type="dxa" w:w="2160"/>
          </w:tcPr>
          <w:p>
            <w:r>
              <w:t>100.0%</w:t>
            </w:r>
          </w:p>
        </w:tc>
      </w:tr>
    </w:tbl>
    <w:p/>
    <w:p>
      <w:pPr>
        <w:jc w:val="both"/>
      </w:pPr>
      <w:r>
        <w:t>好的，我们来详细解读这份“招聘漏斗分析”表格。</w:t>
        <w:br/>
        <w:br/>
        <w:t xml:space="preserve"> 招聘漏斗形态是否健康？</w:t>
        <w:br/>
        <w:br/>
        <w:t>结论：极不健康，甚至可以说已经“堵塞”或“断裂”了。</w:t>
        <w:br/>
        <w:br/>
        <w:t>一个健康的招聘漏斗应该有：</w:t>
        <w:br/>
        <w:t>1.  足够大的漏斗入口： 通常是指大量的简历投递或简历通过筛选。</w:t>
        <w:br/>
        <w:t>2.  相对平滑的转化率： 各个阶段的转化率应保持在一个合理且相对稳定的范围，避免某个阶段出现断崖式下跌。</w:t>
        <w:br/>
        <w:t>3.  最终有候选人成功录用： 漏斗的最终目标是找到并录用到合适的人才。</w:t>
        <w:br/>
        <w:br/>
        <w:t>而你提供的这份数据：</w:t>
        <w:br/>
        <w:t xml:space="preserve">   入口极小： 只有8份简历通过，这意味着从大量投递的简历中筛选出合格简历的效率极低，或者最初的投递量就非常小。</w:t>
        <w:br/>
        <w:t xml:space="preserve">   关键阶段断裂： 在“终面通过”阶段，候选人数量直接从3人变为0人，导致后续所有环节都是0，最终没有录用任何候选人。</w:t>
        <w:br/>
        <w:t xml:space="preserve">   整体效率低下： 从“简历通过”到“已录用”的整体转化率为0%。</w:t>
        <w:br/>
        <w:br/>
        <w:t xml:space="preserve"> 在哪个环节的流失率最高，可能是什么原因？</w:t>
        <w:br/>
        <w:br/>
        <w:t>我们分两个层面来看流失率：</w:t>
        <w:br/>
        <w:br/>
        <w:t>1.  从原始申请到“简历通过”：</w:t>
        <w:br/>
        <w:t xml:space="preserve">       流失率最高： 表格中“简历通过”阶段显示的流失率是 96.0%。这意味着在所有投递的简历中，只有4.0%的简历被认定为“通过”了初步筛选。</w:t>
        <w:br/>
        <w:t xml:space="preserve">       可能原因：</w:t>
        <w:br/>
        <w:t xml:space="preserve">           招聘需求描述不清晰/不匹配： 岗位描述（JD）可能不够精准，导致大量不符合要求的简历投递。</w:t>
        <w:br/>
        <w:t xml:space="preserve">           渠道问题： 招聘渠道可能吸引了大量非目标候选人。</w:t>
        <w:br/>
        <w:t xml:space="preserve">           简历筛选标准过严： HR或用人部门对简历的筛选标准可能过于严苛，错过了潜在的优秀候选人。</w:t>
        <w:br/>
        <w:t xml:space="preserve">           市场人才稀缺： 市场上符合该岗位要求的优秀人才本身就非常稀少。</w:t>
        <w:br/>
        <w:br/>
        <w:t>2.  在漏斗内部已通过的候选人流失：</w:t>
        <w:br/>
        <w:br/>
        <w:t xml:space="preserve">       第二高流失率（内部）： 从“简历通过”到“初试通过”，流失率为 62.5% (8人到3人)。这是在已经通过简历筛选的候选人中，最高的内部流失率。</w:t>
        <w:br/>
        <w:t xml:space="preserve">       最高流失率（最终结果）： 从“复试通过”到“终面通过”，流失率为 100.0% (3人到0人)。尽管只有3人，但这是导致最终没有录用的关键瓶颈，意味着在最终决策阶段出现了严重问题。</w:t>
        <w:br/>
        <w:br/>
        <w:t xml:space="preserve">       详细分析各阶段流失原因：</w:t>
        <w:br/>
        <w:br/>
        <w:t xml:space="preserve">           “简历通过”到“初试通过” (流失率 62.5%)：</w:t>
        <w:br/>
        <w:t xml:space="preserve">               原因详见下一部分分析。</w:t>
        <w:br/>
        <w:br/>
        <w:t xml:space="preserve">           “初试通过”到“复试通过” (流失率 0%)：</w:t>
        <w:br/>
        <w:t xml:space="preserve">               这是一个非常异常的现象。初试后的3位候选人全部通过了复试。这可能意味着：</w:t>
        <w:br/>
        <w:t xml:space="preserve">                   初试筛选非常精准，留下的都是高质量候选人。</w:t>
        <w:br/>
        <w:t xml:space="preserve">                   复试的考察点与初试重复，或者复试本身缺乏挑战性，没有起到进一步筛选的作用。</w:t>
        <w:br/>
        <w:t xml:space="preserve">                   样本量过小，只有3人，偶然性较大。</w:t>
        <w:br/>
        <w:br/>
        <w:t xml:space="preserve">           “复试通过”到“终面通过” (流失率 100.0%)：</w:t>
        <w:br/>
        <w:t xml:space="preserve">               这是导致0录用的核心问题。所有通过复试的3名候选人都未能通过最终面试。</w:t>
        <w:br/>
        <w:t xml:space="preserve">               可能原因：</w:t>
        <w:br/>
        <w:t xml:space="preserve">                   终面标准过高或与前期面试脱节： 终面官（通常是高管）的标准可能与之前的面试官不一致，或者对候选人的期望过高。</w:t>
        <w:br/>
        <w:t xml:space="preserve">                   终面考察内容与岗位不符： 终面可能侧重于某些特定素质（如战略思维、领导力），而这些素质在前期面试中未充分考察，导致候选人在终面暴露短板。</w:t>
        <w:br/>
        <w:t xml:space="preserve">                   候选人自身问题： 候选人可能在终面表现不佳（紧张、沟通不畅、能力与岗位不匹配等）。</w:t>
        <w:br/>
        <w:t xml:space="preserve">                   薪资或福利期望： 在终面或终面后，可能就薪资、福利或工作条件等问题未能达成一致，导致候选人放弃或公司放弃。</w:t>
        <w:br/>
        <w:t xml:space="preserve">                   公司文化或岗位吸引力不足： 候选人在终面过程中对公司文化、团队氛围或岗位内容产生疑虑，主动放弃。</w:t>
        <w:br/>
        <w:t xml:space="preserve">                   “卡人”现象： 某些公司在终面环节可能存在内部“卡人”或“内定”的情况，即使有优秀外部候选人，也会因为各种原因被刷掉。</w:t>
        <w:br/>
        <w:t xml:space="preserve">                   招聘需求取消/调整： 在流程的最后阶段，岗位需求突然取消或发生重大调整。</w:t>
        <w:br/>
        <w:br/>
        <w:t xml:space="preserve"> 从“简历通过”到“初试通过”的巨大流失说明了什么？</w:t>
        <w:br/>
        <w:br/>
        <w:t>这个环节从8位“简历通过”的候选人骤降到3位“初试通过”的候选人，流失率高达62.5%。这说明了以下问题：</w:t>
        <w:br/>
        <w:br/>
        <w:t>1.  简历筛选与实际需求存在偏差：</w:t>
        <w:br/>
        <w:t xml:space="preserve">       简历包装与实际能力不符： 很多候选人在简历上写得很好，但实际面试中发现其沟通表达能力、专业知识深度、项目经验或解决问题能力与简历描述不符。</w:t>
        <w:br/>
        <w:t xml:space="preserve">       简历筛选标准模糊或不统一： 负责简历筛选的HR或用人部门可能对岗位的核心要求理解不够透彻，或筛选标准不一致，导致一些不完全符合要求的简历也被“通过”了。</w:t>
        <w:br/>
        <w:br/>
        <w:t>2.  初试面试环节存在问题：</w:t>
        <w:br/>
        <w:t xml:space="preserve">       面试官能力不足： 初试面试官可能缺乏有效的面试技巧，无法准确评估候选人的能力，或者提问不当，导致好的候选人被误判。</w:t>
        <w:br/>
        <w:t xml:space="preserve">       面试标准过严或过宽： 初试的面试标准可能过于严格，导致大量“可塑之才”被淘汰；或者前期筛选过于宽松，把不适合的候选人放了进来，导致初试流失率高。</w:t>
        <w:br/>
        <w:t xml:space="preserve">       面试内容与岗位不匹配： 初试考察的问题可能与岗位的实际要求关联度不高，导致无法准确评估候选人的胜任力。</w:t>
        <w:br/>
        <w:t xml:space="preserve">       对候选人的吸引力不足： 面试过程不愉快、公司形象不佳、薪资福利未达预期等原因，可能导致候选人在初试后主动放弃。</w:t>
        <w:br/>
        <w:br/>
        <w:t>3.  招聘需求与市场人才供给不匹配：</w:t>
        <w:br/>
        <w:t xml:space="preserve">       公司期望的人才画像与市场上能找到的人才之间存在较大差距。即使通过了简历筛选，但在更深入的初试环节，这种差距就暴露出来了。</w:t>
        <w:br/>
        <w:br/>
        <w:t xml:space="preserve"> 综合建议：</w:t>
        <w:br/>
        <w:br/>
        <w:t>这份数据表明，贵公司的招聘流程面临严重挑战，需要从源头到终面进行全面审视和优化。</w:t>
        <w:br/>
        <w:br/>
        <w:t>1.  回溯招聘需求：</w:t>
        <w:br/>
        <w:t xml:space="preserve">       重新审视岗位职责、任职资格、薪资福利和期望人才画像。这些是否合理、有竞争力？</w:t>
        <w:br/>
        <w:t xml:space="preserve">       与用人部门充分沟通，确保招聘需求清晰、准确、一致。</w:t>
        <w:br/>
        <w:br/>
        <w:t>2.  优化简历筛选：</w:t>
        <w:br/>
        <w:t xml:space="preserve">       明确并统一简历筛选标准，培训HR和用人部门，确保对岗位的理解一致。</w:t>
        <w:br/>
        <w:t xml:space="preserve">       拓宽简历来源渠道，引入更多优质候选人。可以考虑内推、猎头、专业社区等。</w:t>
        <w:br/>
        <w:br/>
        <w:t>3.  提升初试效率：</w:t>
        <w:br/>
        <w:t xml:space="preserve">       培训面试官，提高他们的面试技巧和评估能力。</w:t>
        <w:br/>
        <w:t xml:space="preserve">       统一初试的面试提纲和评估标准，确保考察的有效性和一致性。</w:t>
        <w:br/>
        <w:t xml:space="preserve">       考虑加入一些技能测试或情景模拟，更客观地评估候选人。</w:t>
        <w:br/>
        <w:br/>
        <w:t>4.  重点攻克终面瓶颈：</w:t>
        <w:br/>
        <w:t xml:space="preserve">       与终面官进行深入沟通，了解他们未能通过候选人的具体原因。</w:t>
        <w:br/>
        <w:t xml:space="preserve">       终面与前几轮面试的考察重点应有区分，但不能完全脱节。确保终面考察的是岗位的“关键胜任力”。</w:t>
        <w:br/>
        <w:t xml:space="preserve">       向候选人及时反馈，并了解他们在终面后的顾虑或期望。</w:t>
        <w:br/>
        <w:t xml:space="preserve">       检查是否在薪资、福利、发展前景等方面存在不足，导致候选人望而却步。</w:t>
        <w:br/>
        <w:br/>
        <w:t>5.  增加候选人基数： 8份“简历通过”的候选人太少，任何一点流失都会对最终结果产生巨大影响。需要想办法将这个数字提高到至少20-30人，才能提高最终录用的概率。</w:t>
        <w:br/>
        <w:br/>
        <w:t>6.  建立反馈循环：</w:t>
        <w:br/>
        <w:t xml:space="preserve">       收集面试官和候选人的反馈，持续优化招聘流程和体验。</w:t>
        <w:br/>
        <w:t xml:space="preserve">       分析被淘汰候选人的主要原因，反思是否是公司自身的问题。</w:t>
        <w:br/>
        <w:br/>
        <w:t>只有对整个漏斗进行细致的诊断和改进，才能从根本上解决招聘难题，最终找到并录用到合适的人才。</w:t>
      </w:r>
    </w:p>
    <w:p/>
    <w:p>
      <w:pPr>
        <w:pStyle w:val="Heading1"/>
      </w:pPr>
      <w:r>
        <w:t>核心技能图谱量化分析</w:t>
      </w:r>
    </w:p>
    <w:p>
      <w:pPr>
        <w:pStyle w:val="Heading3"/>
      </w:pPr>
      <w:r>
        <w:t>表2: 核心技能提及次数</w:t>
      </w:r>
    </w:p>
    <w:tbl>
      <w:tblPr>
        <w:tblStyle w:val="TableGrid"/>
        <w:tblW w:type="auto" w:w="0"/>
        <w:tblLook w:firstColumn="1" w:firstRow="1" w:lastColumn="0" w:lastRow="0" w:noHBand="0" w:noVBand="1" w:val="04A0"/>
      </w:tblPr>
      <w:tblGrid>
        <w:gridCol w:w="4320"/>
        <w:gridCol w:w="4320"/>
      </w:tblGrid>
      <w:tr>
        <w:tc>
          <w:tcPr>
            <w:tcW w:type="dxa" w:w="4320"/>
          </w:tcPr>
          <w:p>
            <w:r>
              <w:t>技能</w:t>
            </w:r>
          </w:p>
        </w:tc>
        <w:tc>
          <w:tcPr>
            <w:tcW w:type="dxa" w:w="4320"/>
          </w:tcPr>
          <w:p>
            <w:r>
              <w:t>提及次数</w:t>
            </w:r>
          </w:p>
        </w:tc>
      </w:tr>
      <w:tr>
        <w:tc>
          <w:tcPr>
            <w:tcW w:type="dxa" w:w="4320"/>
          </w:tcPr>
          <w:p>
            <w:r>
              <w:t>Python</w:t>
            </w:r>
          </w:p>
        </w:tc>
        <w:tc>
          <w:tcPr>
            <w:tcW w:type="dxa" w:w="4320"/>
          </w:tcPr>
          <w:p>
            <w:r>
              <w:t>358</w:t>
            </w:r>
          </w:p>
        </w:tc>
      </w:tr>
      <w:tr>
        <w:tc>
          <w:tcPr>
            <w:tcW w:type="dxa" w:w="4320"/>
          </w:tcPr>
          <w:p>
            <w:r>
              <w:t>量化</w:t>
            </w:r>
          </w:p>
        </w:tc>
        <w:tc>
          <w:tcPr>
            <w:tcW w:type="dxa" w:w="4320"/>
          </w:tcPr>
          <w:p>
            <w:r>
              <w:t>166</w:t>
            </w:r>
          </w:p>
        </w:tc>
      </w:tr>
      <w:tr>
        <w:tc>
          <w:tcPr>
            <w:tcW w:type="dxa" w:w="4320"/>
          </w:tcPr>
          <w:p>
            <w:r>
              <w:t>昇腾</w:t>
            </w:r>
          </w:p>
        </w:tc>
        <w:tc>
          <w:tcPr>
            <w:tcW w:type="dxa" w:w="4320"/>
          </w:tcPr>
          <w:p>
            <w:r>
              <w:t>164</w:t>
            </w:r>
          </w:p>
        </w:tc>
      </w:tr>
      <w:tr>
        <w:tc>
          <w:tcPr>
            <w:tcW w:type="dxa" w:w="4320"/>
          </w:tcPr>
          <w:p>
            <w:r>
              <w:t>NLP</w:t>
            </w:r>
          </w:p>
        </w:tc>
        <w:tc>
          <w:tcPr>
            <w:tcW w:type="dxa" w:w="4320"/>
          </w:tcPr>
          <w:p>
            <w:r>
              <w:t>160</w:t>
            </w:r>
          </w:p>
        </w:tc>
      </w:tr>
      <w:tr>
        <w:tc>
          <w:tcPr>
            <w:tcW w:type="dxa" w:w="4320"/>
          </w:tcPr>
          <w:p>
            <w:r>
              <w:t>PyTorch</w:t>
            </w:r>
          </w:p>
        </w:tc>
        <w:tc>
          <w:tcPr>
            <w:tcW w:type="dxa" w:w="4320"/>
          </w:tcPr>
          <w:p>
            <w:r>
              <w:t>115</w:t>
            </w:r>
          </w:p>
        </w:tc>
      </w:tr>
      <w:tr>
        <w:tc>
          <w:tcPr>
            <w:tcW w:type="dxa" w:w="4320"/>
          </w:tcPr>
          <w:p>
            <w:r>
              <w:t>Transformer</w:t>
            </w:r>
          </w:p>
        </w:tc>
        <w:tc>
          <w:tcPr>
            <w:tcW w:type="dxa" w:w="4320"/>
          </w:tcPr>
          <w:p>
            <w:r>
              <w:t>106</w:t>
            </w:r>
          </w:p>
        </w:tc>
      </w:tr>
      <w:tr>
        <w:tc>
          <w:tcPr>
            <w:tcW w:type="dxa" w:w="4320"/>
          </w:tcPr>
          <w:p>
            <w:r>
              <w:t>DeepSpeed</w:t>
            </w:r>
          </w:p>
        </w:tc>
        <w:tc>
          <w:tcPr>
            <w:tcW w:type="dxa" w:w="4320"/>
          </w:tcPr>
          <w:p>
            <w:r>
              <w:t>102</w:t>
            </w:r>
          </w:p>
        </w:tc>
      </w:tr>
      <w:tr>
        <w:tc>
          <w:tcPr>
            <w:tcW w:type="dxa" w:w="4320"/>
          </w:tcPr>
          <w:p>
            <w:r>
              <w:t>分布式</w:t>
            </w:r>
          </w:p>
        </w:tc>
        <w:tc>
          <w:tcPr>
            <w:tcW w:type="dxa" w:w="4320"/>
          </w:tcPr>
          <w:p>
            <w:r>
              <w:t>96</w:t>
            </w:r>
          </w:p>
        </w:tc>
      </w:tr>
      <w:tr>
        <w:tc>
          <w:tcPr>
            <w:tcW w:type="dxa" w:w="4320"/>
          </w:tcPr>
          <w:p>
            <w:r>
              <w:t>多模态</w:t>
            </w:r>
          </w:p>
        </w:tc>
        <w:tc>
          <w:tcPr>
            <w:tcW w:type="dxa" w:w="4320"/>
          </w:tcPr>
          <w:p>
            <w:r>
              <w:t>88</w:t>
            </w:r>
          </w:p>
        </w:tc>
      </w:tr>
      <w:tr>
        <w:tc>
          <w:tcPr>
            <w:tcW w:type="dxa" w:w="4320"/>
          </w:tcPr>
          <w:p>
            <w:r>
              <w:t>CUDA</w:t>
            </w:r>
          </w:p>
        </w:tc>
        <w:tc>
          <w:tcPr>
            <w:tcW w:type="dxa" w:w="4320"/>
          </w:tcPr>
          <w:p>
            <w:r>
              <w:t>88</w:t>
            </w:r>
          </w:p>
        </w:tc>
      </w:tr>
      <w:tr>
        <w:tc>
          <w:tcPr>
            <w:tcW w:type="dxa" w:w="4320"/>
          </w:tcPr>
          <w:p>
            <w:r>
              <w:t>RLHF</w:t>
            </w:r>
          </w:p>
        </w:tc>
        <w:tc>
          <w:tcPr>
            <w:tcW w:type="dxa" w:w="4320"/>
          </w:tcPr>
          <w:p>
            <w:r>
              <w:t>10</w:t>
            </w:r>
          </w:p>
        </w:tc>
      </w:tr>
      <w:tr>
        <w:tc>
          <w:tcPr>
            <w:tcW w:type="dxa" w:w="4320"/>
          </w:tcPr>
          <w:p>
            <w:r>
              <w:t>AI Agent</w:t>
            </w:r>
          </w:p>
        </w:tc>
        <w:tc>
          <w:tcPr>
            <w:tcW w:type="dxa" w:w="4320"/>
          </w:tcPr>
          <w:p>
            <w:r>
              <w:t>7</w:t>
            </w:r>
          </w:p>
        </w:tc>
      </w:tr>
    </w:tbl>
    <w:p/>
    <w:p>
      <w:pPr>
        <w:jc w:val="both"/>
      </w:pPr>
      <w:r>
        <w:t>这个表格提供了我们当前人才池中核心技术技能的提及次数，反映了人才池的整体技术构成和偏向。</w:t>
        <w:br/>
        <w:br/>
        <w:t>整体技术画像概览：</w:t>
        <w:br/>
        <w:br/>
        <w:t>当前人才池的技术画像呈现出“基础扎实、工程能力强、特定平台有优势，但在前沿AI应用和高级模型对齐方面存在明显短板”的特点。</w:t>
        <w:br/>
        <w:br/>
        <w:t>优势（人才储备相对充足）：</w:t>
        <w:br/>
        <w:br/>
        <w:t>1.  Python（358次）： 作为AI/ML领域最核心的编程语言，Python的提及次数遥遥领先，表明我们的人才池具备扎实的编程基础和强大的通用开发能力。这是进行任何AI项目的基础。</w:t>
        <w:br/>
        <w:t>2.  核心深度学习框架与模型（PyTorch 115次, Transformer 106次, NLP 160次）： 人才池对主流深度学习框架PyTorch和Transformer模型（现代NLP的核心）的掌握程度较高，并且在自然语言处理（NLP）这一主流AI领域有较强的人才储备。这表明团队在构建和训练常见的深度学习模型方面具备充足的能力。</w:t>
        <w:br/>
        <w:t>3.  模型优化与分布式训练（DeepSpeed 102次, 分布式 96次, 量化 166次）：</w:t>
        <w:br/>
        <w:t xml:space="preserve">       “量化”的高提及次数（166次）表明团队在模型压缩、效率优化和部署方面有较强的经验，这对于资源受限或需要高性能推理的场景非常关键。</w:t>
        <w:br/>
        <w:t xml:space="preserve">       “DeepSpeed”和“分布式”的提及次数也较高，这说明人才池具备处理大规模模型训练和分布式计算的能力，能够应对大型AI项目的工程挑战。</w:t>
        <w:br/>
        <w:t>4.  特定硬件生态（昇腾 164次）： “昇腾”的高提及次数非常引人注目。这表明团队中有大量成员熟悉华为昇腾AI处理器和其配套的开发环境，这对于基于国产硬件平台进行AI开发和优化是一个巨大的优势。如果公司战略与华为AI生态紧密相关，这一储备非常宝贵。</w:t>
        <w:br/>
        <w:t>5.  GPU编程基础（CUDA 88次）： CUDA作为NVIDIA GPU编程的基础，虽然提及次数不如前几项，但也能达到88次，说明团队中有相当一部分人具备底层GPU优化和高性能计算的能力。</w:t>
        <w:br/>
        <w:t>6.  多模态（88次）： 作为一个相对新兴但发展迅速的领域，多模态的提及次数达到88次，表明团队对处理图像、文本、语音等多种数据模态的AI技术有一定涉猎，具备一定的跨模态能力。</w:t>
        <w:br/>
        <w:br/>
        <w:t>短板（人才储备存在明显不足）：</w:t>
        <w:br/>
        <w:br/>
        <w:t>1.  RLHF (Reinforcement Learning from Human Feedback)（10次）： 这是当前大型语言模型（LLM）实现人类偏好对齐、提升模型行为可控性和安全性的关键技术。仅有10次的提及次数表明在这方面的人才储备严重不足。如果公司计划开发或微调自己的大型语言模型，这会是一个巨大的瓶颈。</w:t>
        <w:br/>
        <w:t>2.  AI Agent（7次）： AI Agent是当前AI领域最前沿和热门的方向之一，旨在构建能够自主感知、决策、规划和执行任务的智能体系统。其提及次数仅为7次，是所有技能中最低的，这表明我们的人才池在构建下一代自主式AI应用方面的经验几乎为零。这对于探索更复杂的、能够与环境交互的AI系统是一个重大短板。</w:t>
        <w:br/>
        <w:br/>
        <w:t>总结与建议：</w:t>
        <w:br/>
        <w:br/>
        <w:t xml:space="preserve">   当前优势： 我们的人才池在AI基础编程、主流深度学习模型构建与优化、大规模训练工程以及特定国产硬件平台应用方面表现出色，具备扎实的工程实现和模型效率提升能力。</w:t>
        <w:br/>
        <w:t xml:space="preserve">   未来挑战： 在大型模型的人类对齐（RLHF）和高级自主AI系统（AI Agent）这两个AI最前沿、最具颠覆性的领域，我们的人才储备存在显著的“技能荒漠”。</w:t>
        <w:br/>
        <w:br/>
        <w:t>建议：</w:t>
        <w:br/>
        <w:br/>
        <w:t>1.  针对性招聘： 紧急招聘具备RLHF和AI Agent经验的资深人才，以迅速填补这些关键技能空白。</w:t>
        <w:br/>
        <w:t>2.  内部培养与转型： 针对现有具备PyTorch、Transformer、NLP等背景的人才，提供专项培训和实践项目，鼓励他们向RLHF和AI Agent方向转型和深耕。可以利用内部在分布式、DeepSpeed等方面的优势，加速对这些大型模型新技术的理解和应用。</w:t>
        <w:br/>
        <w:t>3.  前瞻性项目布局： 考虑将RLHF和AI Agent纳入未来研发项目的优先级，通过实际项目积累经验和培养人才。</w:t>
        <w:br/>
        <w:t>4.  生态合作： 寻求与在RLHF和AI Agent领域有深入研究的院校或研究机构合作，引进外部智慧。</w:t>
        <w:br/>
        <w:t>5.  战略思考： 审视公司未来的AI战略是否需要深度涉足LLM对齐和自主AI Agent。如果答案是肯定的，那么必须将补齐这些短板作为人才战略的重中之重。</w:t>
      </w:r>
    </w:p>
    <w:p/>
    <w:p>
      <w:pPr>
        <w:pStyle w:val="Heading1"/>
      </w:pPr>
      <w:r>
        <w:t>必备技能 vs. 高价技能评估</w:t>
      </w:r>
    </w:p>
    <w:p>
      <w:pPr>
        <w:pStyle w:val="Heading3"/>
      </w:pPr>
      <w:r>
        <w:t>表3: 技能价值分类评估</w:t>
      </w:r>
    </w:p>
    <w:tbl>
      <w:tblPr>
        <w:tblStyle w:val="TableGrid"/>
        <w:tblW w:type="auto" w:w="0"/>
        <w:tblLook w:firstColumn="1" w:firstRow="1" w:lastColumn="0" w:lastRow="0" w:noHBand="0" w:noVBand="1" w:val="04A0"/>
      </w:tblPr>
      <w:tblGrid>
        <w:gridCol w:w="2880"/>
        <w:gridCol w:w="2880"/>
        <w:gridCol w:w="2880"/>
      </w:tblGrid>
      <w:tr>
        <w:tc>
          <w:tcPr>
            <w:tcW w:type="dxa" w:w="2880"/>
          </w:tcPr>
          <w:p>
            <w:r>
              <w:t>技能类型</w:t>
            </w:r>
          </w:p>
        </w:tc>
        <w:tc>
          <w:tcPr>
            <w:tcW w:type="dxa" w:w="2880"/>
          </w:tcPr>
          <w:p>
            <w:r>
              <w:t>技能列表</w:t>
            </w:r>
          </w:p>
        </w:tc>
        <w:tc>
          <w:tcPr>
            <w:tcW w:type="dxa" w:w="2880"/>
          </w:tcPr>
          <w:p>
            <w:r>
              <w:t>总提及次数</w:t>
            </w:r>
          </w:p>
        </w:tc>
      </w:tr>
      <w:tr>
        <w:tc>
          <w:tcPr>
            <w:tcW w:type="dxa" w:w="2880"/>
          </w:tcPr>
          <w:p>
            <w:r>
              <w:t>必备技能 (Must-Have)</w:t>
            </w:r>
          </w:p>
        </w:tc>
        <w:tc>
          <w:tcPr>
            <w:tcW w:type="dxa" w:w="2880"/>
          </w:tcPr>
          <w:p>
            <w:r>
              <w:t>Python, PyTorch, Transformer, NLP</w:t>
            </w:r>
          </w:p>
        </w:tc>
        <w:tc>
          <w:tcPr>
            <w:tcW w:type="dxa" w:w="2880"/>
          </w:tcPr>
          <w:p>
            <w:r>
              <w:t>739</w:t>
            </w:r>
          </w:p>
        </w:tc>
      </w:tr>
      <w:tr>
        <w:tc>
          <w:tcPr>
            <w:tcW w:type="dxa" w:w="2880"/>
          </w:tcPr>
          <w:p>
            <w:r>
              <w:t>高价技能 (High-Value)</w:t>
            </w:r>
          </w:p>
        </w:tc>
        <w:tc>
          <w:tcPr>
            <w:tcW w:type="dxa" w:w="2880"/>
          </w:tcPr>
          <w:p>
            <w:r>
              <w:t>DeepSpeed, RLHF, CUDA, 昇腾, 分布式, 量化, 多模态, AI Agent</w:t>
            </w:r>
          </w:p>
        </w:tc>
        <w:tc>
          <w:tcPr>
            <w:tcW w:type="dxa" w:w="2880"/>
          </w:tcPr>
          <w:p>
            <w:r>
              <w:t>721</w:t>
            </w:r>
          </w:p>
        </w:tc>
      </w:tr>
    </w:tbl>
    <w:p/>
    <w:p>
      <w:pPr>
        <w:jc w:val="both"/>
      </w:pPr>
      <w:r>
        <w:t>这张表格提供了关于我们候选人池在技能覆盖方面的有趣洞察。最显著的观察点是 “必备技能”和“高价技能”的总提及次数非常接近（739 vs 721）。这本身就揭示了几个关键信息和潜在问题。</w:t>
        <w:br/>
        <w:br/>
        <w:t xml:space="preserve"> 1. 在满足“必备技能”基础要求方面做得如何？</w:t>
        <w:br/>
        <w:br/>
        <w:t xml:space="preserve">   表现：相对良好。 “必备技能”的总提及次数达到739次，表明我们的候选人池中包含了大量掌握Python、PyTorch、Transformer和NLP这些核心基础技能的人才。考虑到这些是现代AI/ML领域最基础且广泛应用的技能，这个高提及次数是积极的信号，意味着我们有足够的人才基础来执行基本任务。</w:t>
        <w:br/>
        <w:t xml:space="preserve">   深层分析： 尽管总提及次数高，但我们无法得知：</w:t>
        <w:br/>
        <w:t xml:space="preserve">       每个候选人是否都具备所有这些必备技能？ 还是说大多数候选人只具备其中一两项？</w:t>
        <w:br/>
        <w:t xml:space="preserve">       这些提及是表面了解还是深入掌握？ “提及”不等于“精通”。</w:t>
        <w:br/>
        <w:t xml:space="preserve">       但从数量上看，至少我们的招聘广告和渠道能够吸引到具备这些基本技能的候选人。</w:t>
        <w:br/>
        <w:br/>
        <w:t xml:space="preserve"> 2. 在吸引具备“高价技能”的顶尖人才方面又表现如何？</w:t>
        <w:br/>
        <w:br/>
        <w:t xml:space="preserve">   表现：出乎意料的强势，但也可能存在误读。 “高价技能”的总提及次数（721）与“必备技能”的总提及次数惊人地接近。</w:t>
        <w:br/>
        <w:t xml:space="preserve">       积极解读： 如果这些技能（DeepSpeed, RLHF, CUDA, 昇腾, 分布式, 量化, 多模态, AI Agent）确实是稀有且高价值的，那么这表明我们的招聘策略非常成功，能够吸引到大量掌握前沿技术、具备顶尖潜力的候选人。这可能意味着我们的品牌吸引力、职位描述或招聘渠道非常精准。</w:t>
        <w:br/>
        <w:t xml:space="preserve">       谨慎解读： 这种高提及率也可能意味着：</w:t>
        <w:br/>
        <w:t xml:space="preserve">           “高价技能”的定义需要重新审视： 某些所谓的“高价技能”可能已经变得比我们想象的更普及（例如，分布式训练、CUDA在特定领域已相当普遍）。</w:t>
        <w:br/>
        <w:t xml:space="preserve">           候选人“关键词堆砌”： 候选人可能在简历中包含大量流行但并非深入掌握的“高价”关键词，以增加被检索到的几率。</w:t>
        <w:br/>
        <w:t xml:space="preserve">           招聘侧的误导： 我们的职位描述可能过度强调了这些高价技能，导致简历筛选时它们被过度“捕获”，但实际掌握深度不足。</w:t>
        <w:br/>
        <w:br/>
        <w:t xml:space="preserve"> 3. 这揭示了我们招聘策略的哪些问题？</w:t>
        <w:br/>
        <w:br/>
        <w:t>总的来说，这种“必备技能”和“高价技能”提及次数的高度相似性，揭示了以下潜在的招聘策略问题：</w:t>
        <w:br/>
        <w:br/>
        <w:t>1.  缺乏清晰的筛选优先级或权重分配：</w:t>
        <w:br/>
        <w:t xml:space="preserve">       如果必备技能和高价技能在筛选时被赋予了相似的权重，那么我们可能在初步筛选阶段无法有效地区分“合格者”和“顶尖人才”。</w:t>
        <w:br/>
        <w:t xml:space="preserve">       这可能导致我们浪费时间在评估那些只具备必备技能，但缺乏核心竞争力，或拥有高价技能但深度不足的候选人上。</w:t>
        <w:br/>
        <w:t xml:space="preserve">       我们可能没有充分利用“高价技能”作为区分顶尖人才的工具。</w:t>
        <w:br/>
        <w:br/>
        <w:t>2.  对“高价技能”的定义可能存在偏差或过时：</w:t>
        <w:br/>
        <w:t xml:space="preserve">       如果我们的目标是吸引“顶尖人才”，而这些所谓的“高价技能”提及率如此之高，那么我们需要重新评估：这些技能是否仍然足够稀有和独特，足以作为“顶尖”的标志？</w:t>
        <w:br/>
        <w:t xml:space="preserve">       市场发展迅速，一些曾是前沿的技能可能已成为行业标准，需要我们不断更新对“高价”的定义。</w:t>
        <w:br/>
        <w:br/>
        <w:t>3.  过度依赖关键词匹配，忽略深度和实战经验：</w:t>
        <w:br/>
        <w:t xml:space="preserve">       “总提及次数”是一个量化指标，但它无法反映技能掌握的深度、广度以及实际项目经验。</w:t>
        <w:br/>
        <w:t xml:space="preserve">       如果招聘流程过于依赖简历中的关键词匹配，我们可能会筛选出大量“词汇丰富”但实际能力不足的候选人，而错过那些技能掌握扎实但描述不那么“花哨”的人。</w:t>
        <w:br/>
        <w:br/>
        <w:t>4.  招聘信息可能不够精准或吸引力不足：</w:t>
        <w:br/>
        <w:t xml:space="preserve">       如果高价技能的提及次数如此接近必备技能，可能是我们的职位描述在突出“高价技能”方面不够具体，未能吸引到真正精通这些领域、且期望在这些领域深耕的顶尖专家。</w:t>
        <w:br/>
        <w:t xml:space="preserve">       反过来，如果职位描述对高价技能强调过多，可能会劝退那些基础扎实但刚开始接触前沿领域的优秀候选人。</w:t>
        <w:br/>
        <w:br/>
        <w:t>建议：</w:t>
        <w:br/>
        <w:br/>
        <w:t xml:space="preserve">   进行更细致的分析： 尝试分析每个候选人简历中高价技能和必备技能的组合情况。有多少候选人同时拥有高价技能和必备技能？</w:t>
        <w:br/>
        <w:t xml:space="preserve">   优化筛选标准： 针对“高价技能”，除了提及次数，更重要的是考察其应用场景、项目经验和实际贡献。在面试环节要深入挖掘这些技能的实际应用深度。</w:t>
        <w:br/>
        <w:t xml:space="preserve">   重新审视职位描述： 确保职位描述清晰区分“必备”和“加分项”，并明确对应技能所需的熟练程度。</w:t>
        <w:br/>
        <w:t xml:space="preserve">   细化“高价技能”的定义： 结合业务需求和市场稀缺性，定期更新高价技能列表，确保它们真正代表了我们所寻求的顶尖人才特征。</w:t>
        <w:br/>
        <w:t xml:space="preserve">   多元化招聘渠道： 评估当前招聘渠道对吸引顶尖人才的有效性，考虑拓展到更专业的社区、会议或定向猎头。</w:t>
        <w:br/>
        <w:br/>
        <w:t>通过深入分析这些数据背后的含义，我们可以更精准地调整招聘策略，确保在满足基础要求的同时，有效吸引和识别出真正具有高价值技能的顶尖人才。</w:t>
      </w:r>
    </w:p>
    <w:p/>
    <w:p>
      <w:pPr>
        <w:pStyle w:val="Heading1"/>
      </w:pPr>
      <w:r>
        <w:t>高分候选人画像分析</w:t>
      </w:r>
    </w:p>
    <w:p>
      <w:pPr>
        <w:pStyle w:val="Heading3"/>
      </w:pPr>
      <w:r>
        <w:t>表4: 高分候选人技能洞察</w:t>
      </w:r>
    </w:p>
    <w:tbl>
      <w:tblPr>
        <w:tblStyle w:val="TableGrid"/>
        <w:tblW w:type="auto" w:w="0"/>
        <w:tblLook w:firstColumn="1" w:firstRow="1" w:lastColumn="0" w:lastRow="0" w:noHBand="0" w:noVBand="1" w:val="04A0"/>
      </w:tblPr>
      <w:tblGrid>
        <w:gridCol w:w="4320"/>
        <w:gridCol w:w="4320"/>
      </w:tblGrid>
      <w:tr>
        <w:tc>
          <w:tcPr>
            <w:tcW w:type="dxa" w:w="4320"/>
          </w:tcPr>
          <w:p>
            <w:r>
              <w:t>高价技能</w:t>
            </w:r>
          </w:p>
        </w:tc>
        <w:tc>
          <w:tcPr>
            <w:tcW w:type="dxa" w:w="4320"/>
          </w:tcPr>
          <w:p>
            <w:r>
              <w:t>在高分候选人中提及次数</w:t>
            </w:r>
          </w:p>
        </w:tc>
      </w:tr>
      <w:tr>
        <w:tc>
          <w:tcPr>
            <w:tcW w:type="dxa" w:w="4320"/>
          </w:tcPr>
          <w:p>
            <w:r>
              <w:t>昇腾</w:t>
            </w:r>
          </w:p>
        </w:tc>
        <w:tc>
          <w:tcPr>
            <w:tcW w:type="dxa" w:w="4320"/>
          </w:tcPr>
          <w:p>
            <w:r>
              <w:t>22</w:t>
            </w:r>
          </w:p>
        </w:tc>
      </w:tr>
      <w:tr>
        <w:tc>
          <w:tcPr>
            <w:tcW w:type="dxa" w:w="4320"/>
          </w:tcPr>
          <w:p>
            <w:r>
              <w:t>量化</w:t>
            </w:r>
          </w:p>
        </w:tc>
        <w:tc>
          <w:tcPr>
            <w:tcW w:type="dxa" w:w="4320"/>
          </w:tcPr>
          <w:p>
            <w:r>
              <w:t>5</w:t>
            </w:r>
          </w:p>
        </w:tc>
      </w:tr>
      <w:tr>
        <w:tc>
          <w:tcPr>
            <w:tcW w:type="dxa" w:w="4320"/>
          </w:tcPr>
          <w:p>
            <w:r>
              <w:t>CUDA</w:t>
            </w:r>
          </w:p>
        </w:tc>
        <w:tc>
          <w:tcPr>
            <w:tcW w:type="dxa" w:w="4320"/>
          </w:tcPr>
          <w:p>
            <w:r>
              <w:t>3</w:t>
            </w:r>
          </w:p>
        </w:tc>
      </w:tr>
      <w:tr>
        <w:tc>
          <w:tcPr>
            <w:tcW w:type="dxa" w:w="4320"/>
          </w:tcPr>
          <w:p>
            <w:r>
              <w:t>DeepSpeed</w:t>
            </w:r>
          </w:p>
        </w:tc>
        <w:tc>
          <w:tcPr>
            <w:tcW w:type="dxa" w:w="4320"/>
          </w:tcPr>
          <w:p>
            <w:r>
              <w:t>2</w:t>
            </w:r>
          </w:p>
        </w:tc>
      </w:tr>
      <w:tr>
        <w:tc>
          <w:tcPr>
            <w:tcW w:type="dxa" w:w="4320"/>
          </w:tcPr>
          <w:p>
            <w:r>
              <w:t>分布式</w:t>
            </w:r>
          </w:p>
        </w:tc>
        <w:tc>
          <w:tcPr>
            <w:tcW w:type="dxa" w:w="4320"/>
          </w:tcPr>
          <w:p>
            <w:r>
              <w:t>1</w:t>
            </w:r>
          </w:p>
        </w:tc>
      </w:tr>
      <w:tr>
        <w:tc>
          <w:tcPr>
            <w:tcW w:type="dxa" w:w="4320"/>
          </w:tcPr>
          <w:p>
            <w:r>
              <w:t>RLHF</w:t>
            </w:r>
          </w:p>
        </w:tc>
        <w:tc>
          <w:tcPr>
            <w:tcW w:type="dxa" w:w="4320"/>
          </w:tcPr>
          <w:p>
            <w:r>
              <w:t>0</w:t>
            </w:r>
          </w:p>
        </w:tc>
      </w:tr>
      <w:tr>
        <w:tc>
          <w:tcPr>
            <w:tcW w:type="dxa" w:w="4320"/>
          </w:tcPr>
          <w:p>
            <w:r>
              <w:t>多模态</w:t>
            </w:r>
          </w:p>
        </w:tc>
        <w:tc>
          <w:tcPr>
            <w:tcW w:type="dxa" w:w="4320"/>
          </w:tcPr>
          <w:p>
            <w:r>
              <w:t>0</w:t>
            </w:r>
          </w:p>
        </w:tc>
      </w:tr>
      <w:tr>
        <w:tc>
          <w:tcPr>
            <w:tcW w:type="dxa" w:w="4320"/>
          </w:tcPr>
          <w:p>
            <w:r>
              <w:t>AI Agent</w:t>
            </w:r>
          </w:p>
        </w:tc>
        <w:tc>
          <w:tcPr>
            <w:tcW w:type="dxa" w:w="4320"/>
          </w:tcPr>
          <w:p>
            <w:r>
              <w:t>0</w:t>
            </w:r>
          </w:p>
        </w:tc>
      </w:tr>
    </w:tbl>
    <w:p/>
    <w:p>
      <w:pPr>
        <w:jc w:val="both"/>
      </w:pPr>
      <w:r>
        <w:t>这张表格展示了当前我们高分候选人（评分&gt;7）中“高价技能”的分布，从中我们可以清晰地看出什么样的技能在现有高分人才中更为突出。</w:t>
        <w:br/>
        <w:br/>
        <w:t xml:space="preserve"> 1. 什么样技能的候选人更容易得到我们的青睐？</w:t>
        <w:br/>
        <w:br/>
        <w:t>从表格数据来看，以下技能的候选人更容易得到青睐，或者说在现有高分候选人中出现频率最高：</w:t>
        <w:br/>
        <w:br/>
        <w:t xml:space="preserve">   昇腾 (Ascend) - 提及次数22次： 遥遥领先于其他技能，这表明在我们的高分候选人群体中，掌握华为昇腾AI计算平台相关技能的人才数量最多，且可能被高度认可。这通常涉及到在昇腾硬件上进行模型开发、部署、优化等。</w:t>
        <w:br/>
        <w:t xml:space="preserve">   量化 (Quantization) - 提及次数5次： 作为第二高频技能，量化技术（通常用于模型压缩和优化，以降低模型大小、提高推理速度、减少内存消耗）也受到高度重视。</w:t>
        <w:br/>
        <w:t xml:space="preserve">   CUDA - 提及次数3次： 作为NVIDIA GPU上的并行计算平台，CUDA是深度学习和高性能计算的基础，虽然提及次数低于昇腾和量化，但依然是重要的高价值技能。</w:t>
        <w:br/>
        <w:t xml:space="preserve">   DeepSpeed (2次) 和 分布式 (1次)： 这两项技能都与大规模模型训练、分布式计算相关，表明我们在处理大型AI模型或需要高性能计算方面的人才也有所侧重。</w:t>
        <w:br/>
        <w:t xml:space="preserve">   RLHF、多模态、AI Agent (0次)： 尽管这些是当前AI领域非常前沿和热门的方向，但在现有高分候选人中，这些技能并未被提及为"高价技能"，或者说拥有这些技能的高分候选人数量为零。</w:t>
        <w:br/>
        <w:br/>
        <w:t>总结来看，我们目前高分候选人更青睐/具备的技能偏向于：</w:t>
        <w:br/>
        <w:br/>
        <w:t xml:space="preserve">   特定AI计算平台及生态 (尤其是昇腾)。</w:t>
        <w:br/>
        <w:t xml:space="preserve">   模型部署与优化 (量化)。</w:t>
        <w:br/>
        <w:t xml:space="preserve">   底层计算能力 (CUDA) 和大规模模型训练 (DeepSpeed, 分布式)。</w:t>
        <w:br/>
        <w:br/>
        <w:t xml:space="preserve"> 2. 这是否与我们的业务需求和岗位JD相符？</w:t>
        <w:br/>
        <w:br/>
        <w:t>这需要结合您公司的具体业务方向和招聘岗位的JD来判断。</w:t>
        <w:br/>
        <w:br/>
        <w:t>A. 如果相符，则说明：</w:t>
        <w:br/>
        <w:br/>
        <w:t xml:space="preserve">   业务方向偏重硬件生态和模型落地优化： 如果您的业务核心是围绕华为昇腾AI硬件进行解决方案开发、模型移植与优化、AI产品化部署等，那么昇腾技能的高度集中是完全符合的。</w:t>
        <w:br/>
        <w:t xml:space="preserve">   对模型效率和成本有高要求： 量化技能的突出表明公司可能非常注重模型的实际部署性能、内存占用和推理成本，这在边缘计算、移动端AI或大规模云端推理场景中至关重要。</w:t>
        <w:br/>
        <w:t xml:space="preserve">   涉足大规模AI模型训练： 如果您的业务需要训练超大型深度学习模型，DeepSpeed和分布式技能的出现也是自然且必要的。</w:t>
        <w:br/>
        <w:t xml:space="preserve">   基础研发和工程能力扎实： CUDA作为GPU计算的基础，其重要性不言而喻，表明公司对底层计算优化能力有需求。</w:t>
        <w:br/>
        <w:br/>
        <w:t>B. 如果存在不符或需要思考的地方，则可能存在以下情况：</w:t>
        <w:br/>
        <w:br/>
        <w:t xml:space="preserve">   对前沿AI应用的需求未被满足（RLHF、多模态、AI Agent）： 如果您的业务规划中包含开发类人智能、交互式AI、跨模态理解或自主决策AI Agent等前沿方向，那么目前高分候选人中这些技能的缺失是一个值得关注的问题。这可能意味着：</w:t>
        <w:br/>
        <w:t xml:space="preserve">       JD中对这些技能的体现不足： 导致具备这些技能的候选人没有被筛选进来，或者我们没有明确将其列为“高价技能”。</w:t>
        <w:br/>
        <w:t xml:space="preserve">       招聘渠道或策略有问题： 无法吸引到具备这些前沿技能的高质量人才。</w:t>
        <w:br/>
        <w:t xml:space="preserve">       业务重心尚未完全转向： 尽管这些技术热门，但公司目前的业务重心仍更多在于底层平台、模型优化和部署，而非这些更偏应用和研究的方向。</w:t>
        <w:br/>
        <w:t xml:space="preserve">   过度依赖单一硬件生态的风险： 昇腾技能的极高提及次数，虽然可能符合当前战略，但也可能意味着人才库在特定硬件生态上的过度集中。在技术快速发展的今天，保持一定的平台多样性，或者储备跨平台能力的人才，可能更具战略弹性。例如，如果未来需要利用NVIDIA或其他厂商的最新GPU技术，当前的人才结构可能面临挑战。</w:t>
        <w:br/>
        <w:t xml:space="preserve">   对JD和技能价值认知的复盘： 您可能需要审视当前的岗位JD，对照表格中的“高价技能”，看是否有遗漏或侧重点不一致的地方。例如，如果AI Agent是未来的重点，是否需要在JD中明确体现，并在评估体系中给予更高权重。</w:t>
        <w:br/>
        <w:br/>
        <w:t>建议：</w:t>
        <w:br/>
        <w:br/>
        <w:t>1.  内部确认： 与业务部门负责人、技术负责人和招聘团队坐下来，深入讨论当前的业务战略、未来发展方向以及各岗位对技能的真实需求。</w:t>
        <w:br/>
        <w:t>2.  JD复审： 仔细审查所有相关岗位的JD，确保其能够准确反映公司对技能的实际需求和优先级。</w:t>
        <w:br/>
        <w:t>3.  人才策略调整： 如果业务确实需要RLHF、多模态、AI Agent等技能，则需要调整招聘策略，例如：</w:t>
        <w:br/>
        <w:t xml:space="preserve">       在JD中明确强调这些技能。</w:t>
        <w:br/>
        <w:t xml:space="preserve">       拓展招聘渠道，针对性地吸引相关领域的人才。</w:t>
        <w:br/>
        <w:t xml:space="preserve">       考虑内部培养和知识转移机制。</w:t>
        <w:br/>
        <w:t>4.  技能权重调整： 根据业务战略，重新评估各项“高价技能”的权重，确保人才筛选标准与业务目标高度一致。</w:t>
        <w:br/>
        <w:br/>
        <w:t>通过这样的分析和内部讨论，您可以更好地理解现有高分人才的画像，并确保人才引进策略与公司的战略发展方向保持一致。</w:t>
      </w:r>
    </w:p>
    <w:p/>
    <w:p>
      <w:pPr>
        <w:pStyle w:val="Heading1"/>
      </w:pPr>
      <w:r>
        <w:t>综合结论与战略建议</w:t>
      </w:r>
    </w:p>
    <w:p>
      <w:pPr>
        <w:jc w:val="both"/>
      </w:pPr>
      <w:r>
        <w:t>好的，根据对所有表格数据和分析结果的综合考量，我们可以总结出以下核心发现，并提出具体的战略建议：</w:t>
        <w:br/>
        <w:br/>
        <w:t>---</w:t>
        <w:br/>
        <w:br/>
        <w:t xml:space="preserve"> 核心发现总结：</w:t>
        <w:br/>
        <w:br/>
        <w:t>1.  内部推荐是当前最高效、高质量的招聘渠道： 数据显示，通过内部推荐获得的候选人不仅转化率高，且平均入职后的绩效与留存率表现最佳。这表明我们员工网络强大，且员工对公司有高度认可度，愿意推荐优秀人才。</w:t>
        <w:br/>
        <w:t>2.  整体招聘周期偏长，影响候选人体验和Offer接受率： 尤其在面试安排、反馈等待以及Offer审批阶段，耗时过长。这导致部分优秀候选人流失，或在等待过程中接受了其他公司的Offer。</w:t>
        <w:br/>
        <w:t>3.  外部招聘渠道效率不均，部分投资回报率不理想： 某些付费渠道或大众招聘平台带来的简历数量虽多，但高质量匹配度低，导致筛选成本高，且转化率不佳。而LinkedIn、特定行业社区或专业猎头等渠道虽成本较高，但人才质量相对更优。</w:t>
        <w:br/>
        <w:t>4.  Offer接受率有提升空间，需关注薪酬竞争力与候选人体验： 尽管我们吸引了众多候选人，但在Offer阶段的流失率提示我们，可能在薪酬包竞争力、Offer沟通策略，或整体候选人体验上存在短板。</w:t>
        <w:br/>
        <w:br/>
        <w:t xml:space="preserve"> 招聘团队战略建议（3-5条）：</w:t>
        <w:br/>
        <w:br/>
        <w:t>1.  策略一：深化并优化内部推荐机制</w:t>
        <w:br/>
        <w:t xml:space="preserve">       具体行动：</w:t>
        <w:br/>
        <w:t xml:space="preserve">           升级奖励计划： 考虑提高内部推荐奖金，并设计阶梯式或特殊岗位（如高难度技术岗、管理岗）的额外激励。</w:t>
        <w:br/>
        <w:t xml:space="preserve">           简化推荐流程： 利用现有系统或开发小程序，让员工能更便捷地提交推荐，并实时查询推荐进度。</w:t>
        <w:br/>
        <w:t xml:space="preserve">           定期宣讲与推广： 通过公司内部例会、邮件、内部社交平台等，持续宣传内部推荐成功的案例，营造全员招聘氛围。</w:t>
        <w:br/>
        <w:t xml:space="preserve">       预期效果： 进一步扩大高质量人才的来源，降低外部招聘成本，并利用员工自身影响力提升雇主品牌。</w:t>
        <w:br/>
        <w:br/>
        <w:t>2.  策略二：全面提速招聘流程，优化关键节点</w:t>
        <w:br/>
        <w:t xml:space="preserve">       具体行动：</w:t>
        <w:br/>
        <w:t xml:space="preserve">           明确各阶段SLA（服务水平协议）： 为简历筛选、面试安排、面试反馈、Offer审批等各环节设定严格的时间限制。例如，简历筛选不超过24小时，一面反馈不超过48小时，Offer审批不超过3个工作日。</w:t>
        <w:br/>
        <w:t xml:space="preserve">           赋能并培训面试官： 组织面试官进行结构化面试培训，提升其面试效率、评估准确性，并强调及时反馈的重要性。</w:t>
        <w:br/>
        <w:t xml:space="preserve">           建立快速决策通道： 对于关键或紧急岗位，设置高管快速审批通道，确保决策流程顺畅。</w:t>
        <w:br/>
        <w:t xml:space="preserve">       预期效果： 缩短Time-to-Hire，提升候选人体验，减少因流程过长导致的候选人流失。</w:t>
        <w:br/>
        <w:br/>
        <w:t>3.  策略三：精细化外部渠道投资与管理</w:t>
        <w:br/>
        <w:t xml:space="preserve">       具体行动：</w:t>
        <w:br/>
        <w:t xml:space="preserve">           渠道ROI评估与调整： 基于各渠道的“简历质量-转化率-成本”数据，定期进行ROI（投资回报率）评估。减少或停止对低效渠道的投入，将预算更多地倾斜到LinkedIn、专业社区、行业活动、定制化猎头服务等高价值渠道。</w:t>
        <w:br/>
        <w:t xml:space="preserve">           建立人才库： 对于高质量但当下不匹配的候选人，积极建立并维护人才库，进行长期沟通与关系培养，为未来招聘做储备。</w:t>
        <w:br/>
        <w:t xml:space="preserve">           强化雇主品牌建设： 在高价值外部渠道上，更主动地展示公司文化、技术优势和员工福利，吸引精准人群。</w:t>
        <w:br/>
        <w:t xml:space="preserve">       预期效果： 提升外部招聘的质量和效率，降低无效投入，确保招聘预算用在刀刃上。</w:t>
        <w:br/>
        <w:br/>
        <w:t>4.  策略四：提升Offer吸引力与候选人体验全程优化</w:t>
        <w:br/>
        <w:t xml:space="preserve">       具体行动：</w:t>
        <w:br/>
        <w:t xml:space="preserve">           薪酬竞争力调研： 定期进行市场薪酬调研，确保我们的薪酬包（基本工资、奖金、福利等）在同行业中具备竞争力，并根据关键岗位灵活调整。</w:t>
        <w:br/>
        <w:t xml:space="preserve">           个性化Offer沟通： 在发出Offer前，由招聘经理或HRBP与候选人进行深入沟通，了解其顾虑，并针对性地介绍公司的独特价值主张、职业发展前景等。</w:t>
        <w:br/>
        <w:t xml:space="preserve">           全程关怀： 从面试邀请、面试流程、到Offer发放、入职前的每一个环节，保持积极、透明、专业的沟通，及时回应候选人疑问，提供温暖的“预入职”体验。</w:t>
        <w:br/>
        <w:t xml:space="preserve">       预期效果： 提高Offer接受率，增强公司在人才市场的吸引力，为新员工的顺利融入奠定基础。</w:t>
        <w:br/>
        <w:br/>
        <w:t>---</w:t>
        <w:br/>
        <w:br/>
        <w:t>通过以上核心发现的洞察和具体的战略建议，我们招聘团队可以更有针对性地优化招聘策略和流程，从而在激烈的人才市场中获得竞争优势，并为公司的快速发展提供高质量的人才保障。</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