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71"/>
        <w:gridCol w:w="7522"/>
      </w:tblGrid>
      <w:tr w:rsidR="00386E79" w14:paraId="259EB6DE" w14:textId="77777777">
        <w:trPr>
          <w:trHeight w:val="1588"/>
        </w:trPr>
        <w:tc>
          <w:tcPr>
            <w:tcW w:w="1120" w:type="pct"/>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徐盛</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在职，看看新机会</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男 | 37岁 | 上海 | 硕士 | 工作15年 | 当前薪资：保密</w:t>
            </w:r>
          </w:p>
          <w:p w14:paraId="3DD3EA21" w14:textId="13023AEA" w:rsidR="00386E79" w:rsidRDefault="00D76EFE">
            <w:pPr>
              <w:pStyle w:val="p1"/>
              <w:spacing w:line="360" w:lineRule="exact"/>
              <w:jc w:val="both"/>
              <w:rPr>
                <w:rFonts w:ascii="黑体" w:eastAsia="黑体" w:hAnsi="黑体" w:cs="Arial"/>
                <w:color w:val="262626"/>
                <w:sz w:val="21"/>
                <w:szCs w:val="21"/>
              </w:rPr>
            </w:pPr>
            <w:r>
              <w:rPr>
                <w:rFonts w:ascii="黑体" w:eastAsia="黑体" w:hAnsi="黑体" w:cs="Arial"/>
                <w:color w:val="262626"/>
                <w:sz w:val="21"/>
                <w:szCs w:val="21"/>
              </w:rPr>
              <w:t>大模型算法研究负责人 | 上海远澜私募基金管理有限公司 | 基金/证券/期货</w:t>
            </w:r>
          </w:p>
          <w:p w14:paraId="0FAFF142" w14:textId="5C26C41D" w:rsidR="00206BAA" w:rsidRPr="0085298C" w:rsidRDefault="006A619F" w:rsidP="0085298C">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firefox2911@aliyun.com</w:t>
            </w:r>
            <w:r w:rsidR="0085298C">
              <w:rPr>
                <w:rFonts w:ascii="黑体" w:eastAsia="黑体" w:hAnsi="黑体" w:cs="Arial"/>
                <w:color w:val="252525"/>
                <w:sz w:val="20"/>
                <w:szCs w:val="20"/>
              </w:rPr>
              <w:t xml:space="preserve"> </w:t>
            </w:r>
            <w:r w:rsidR="00206BAA" w:rsidRPr="00206BAA">
              <w:rPr>
                <w:rFonts w:ascii="黑体" w:eastAsia="黑体" w:hAnsi="黑体" w:cs="Arial"/>
                <w:color w:val="252525"/>
                <w:sz w:val="20"/>
                <w:szCs w:val="20"/>
              </w:rPr>
              <w:t/>
            </w:r>
          </w:p>
          <w:p w14:paraId="26FBD172" w14:textId="32D34395" w:rsidR="00386E79" w:rsidRPr="00310A0E" w:rsidRDefault="006A619F" w:rsidP="0085298C">
            <w:pPr>
              <w:spacing w:line="360" w:lineRule="exact"/>
              <w:rPr>
                <w:rFonts w:ascii="黑体" w:eastAsia="黑体" w:hAnsi="黑体" w:cs="Arial"/>
                <w:color w:val="262626"/>
                <w:sz w:val="21"/>
                <w:szCs w:val="21"/>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13918029241</w:t>
            </w:r>
            <w:r w:rsidR="0085298C">
              <w:rPr>
                <w:rFonts w:ascii="黑体" w:eastAsia="黑体" w:hAnsi="黑体" w:cs="Arial"/>
                <w:color w:val="252525"/>
                <w:sz w:val="20"/>
                <w:szCs w:val="20"/>
              </w:rPr>
              <w:t xml:space="preserve"> </w:t>
            </w:r>
            <w:r w:rsidR="00206BAA" w:rsidRPr="00206BAA">
              <w:rPr>
                <w:rFonts w:ascii="黑体" w:eastAsia="黑体" w:hAnsi="黑体" w:cs="Arial"/>
                <w:color w:val="252525"/>
                <w:sz w:val="20"/>
                <w:szCs w:val="20"/>
              </w:rPr>
              <w:t/>
            </w:r>
          </w:p>
        </w:tc>
      </w:tr>
      <w:tr w:rsidR="00386E79" w14:paraId="562CFBB0" w14:textId="77777777">
        <w:trPr>
          <w:trHeight w:hRule="exact" w:val="340"/>
        </w:trPr>
        <w:tc>
          <w:tcPr>
            <w:tcW w:w="1120" w:type="pct"/>
            <w:vAlign w:val="center"/>
          </w:tcPr>
          <w:p w14:paraId="54DA1BD1" w14:textId="04BD54D9" w:rsidR="00386E79" w:rsidRPr="00C36A33" w:rsidRDefault="00C36A33">
            <w:pPr>
              <w:spacing w:line="360" w:lineRule="exact"/>
              <w:jc w:val="center"/>
              <w:rPr>
                <w:rFonts w:ascii="黑体" w:eastAsia="黑体" w:hAnsi="黑体" w:cs="Arial"/>
                <w:color w:val="252525"/>
                <w:sz w:val="20"/>
                <w:szCs w:val="20"/>
              </w:rPr>
            </w:pPr>
            <w:hyperlink r:id="rId13">
              <w:r>
                <w:rPr>
                  <w:color w:val="0000FF"/>
                  <w:rFonts w:ascii="黑体" w:eastAsia="黑体" w:hAnsi="黑体" w:cs="黑体"/>
                  <w:sz w:val="20"/>
                  <w:u w:color="auto" w:val="single"/>
                </w:rPr>
                <w:t>联系TA</w:t>
              </w:r>
            </w:hyperlink>
            <w:r w:rsidRPr="00C36A33">
              <w:rPr>
                <w:rFonts w:ascii="黑体" w:eastAsia="黑体" w:hAnsi="黑体" w:cs="Arial"/>
                <w:color w:val="252525"/>
                <w:sz w:val="20"/>
                <w:szCs w:val="20"/>
                <w:u/>
              </w:rPr>
              <w:t/>
            </w:r>
          </w:p>
        </w:tc>
        <w:tc>
          <w:tcPr>
            <w:tcW w:w="3880" w:type="pct"/>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vTaNVAIAAOUEAAAOAAAAZHJzL2Uyb0RvYy54bWysVNtu2zAMfR+wfxD0vviSS9MgTlGkyDAg WIN1+wBFlmKjsqhJSuzs60fJuW3dy4a9GBJ5SB4ekZ4/dI0iB2FdDbqg2SClRGgOZa13Bf32dfVh SonzTJdMgRYFPQpHHxbv381bMxM5VKBKYQkm0W7WmoJW3ptZkjheiYa5ARih0SnBNszj1e6S0rIW szcqydN0krRgS2OBC+fQ+tQ76SLml1Jw/yylE56ogiI3H782frfhmyzmbLazzFQ1P9Fg/8CiYbXG opdUT8wzsrf1m1RNzS04kH7AoUlAypqL2AN2k6W/dfNSMSNiLyiOMxeZ3P9Lyz8fXszGBurOrIG/ OqJhWTG9E4/OoHz4qEGkpDVudgGHizuFddI2xAIC8zQfj9L7LAqBrZEu6ny86Cw6Tzgas+FdPr3D 5+DoG06zyXAca7BZSBa4GOv8RwENCYeCWiQSs7LD2vlA5woJcA2rWqn4lkr/YkBgsET6PePI3R+V CDilvwhJ6jIyDQbH7W67VJb0M4JDjDTPkxKTYUAASiz4l7GnkBAt4mi+icehF6H4geG4Ms6F9r36 NxGxOGh/CW5qDTaqE7fmmqB8PQfLHn/Woe8+COG7bYeyheMWyuMG+44vmWd5Pp2E3TV8VeMbrJnz G2ZxN1AP3Hf/jB+poC0onE6UVGB//Mke8Diy6KWkxV0rqPu+Z1ZQoj5pHOb7bDQKyxkvo/Fdjhd7 69neevS+WQLqkyHIq3hEPNMcCxS0nxMNj3sPso6zcu3uJADuUhyh096HZb29R9T177T4CQAA//8D AFBLAwQUAAYACAAAACEAPxWOWeIAAAAQAQAADwAAAGRycy9kb3ducmV2LnhtbExPS0+EMBC+m/gf mjHx5hZYIshSNj5iYtaTLB68dWkFIp2Strvgv9/Zk14m+TLfs9wuZmQn7fxgUUC8ioBpbK0asBPQ 7F/vcmA+SFRytKgF/GoP2+r6qpSFsjN+6FMdOkYm6AspoA9hKjj3ba+N9Cs7aaTft3VGBoKu48rJ mczNyJMouudGDkgJvZz0c6/bn/poBOzc3Dx8pe9x/Tmldj+/8SffcCFub5aXDZ3HDbCgl/CngMsG 6g8VFTvYIyrPRsLxOkmIKyDJMmAXxjrNU2AHAXmWA69K/n9IdQYAAP//AwBQSwECLQAUAAYACAAA ACEAtoM4kv4AAADhAQAAEwAAAAAAAAAAAAAAAAAAAAAAW0NvbnRlbnRfVHlwZXNdLnhtbFBLAQIt ABQABgAIAAAAIQA4/SH/1gAAAJQBAAALAAAAAAAAAAAAAAAAAC8BAABfcmVscy8ucmVsc1BLAQIt ABQABgAIAAAAIQCPvTaNVAIAAOUEAAAOAAAAAAAAAAAAAAAAAC4CAABkcnMvZTJvRG9jLnhtbFBL AQItABQABgAIAAAAIQA/FY5Z4gAAABABAAAPAAAAAAAAAAAAAAAAAK4EAABkcnMvZG93bnJldi54 bWxQSwUGAAAAAAQABADzAAAAvQUAAAAA "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1554F3EE" w14:textId="77777777">
        <w:trPr>
          <w:trHeight w:val="567"/>
        </w:trPr>
        <w:tc>
          <w:tcPr>
            <w:tcW w:w="5000" w:type="pct"/>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70F776D6" w14:textId="77777777">
        <w:trPr>
          <w:trHeight w:val="23"/>
        </w:trPr>
        <w:tc>
          <w:tcPr>
            <w:tcW w:w="5000" w:type="pct"/>
            <w:vAlign w:val="center"/>
          </w:tcPr>
          <w:p w14:paraId="771EBAF6" w14:textId="6679197D" w:rsidR="00386E79" w:rsidRPr="00BB2C82" w:rsidRDefault="006F321A" w:rsidP="00692324">
            <w:pPr>
              <w:pStyle w:val="p1"/>
              <w:spacing w:line="360" w:lineRule="exact"/>
              <w:jc w:val="both"/>
              <w:rPr>
                <w:rFonts w:ascii="黑体" w:eastAsia="黑体" w:hAnsi="黑体" w:cs="Arial"/>
              </w:rPr>
            </w:pPr>
            <w:r w:rsidRPr="006F321A">
              <w:rPr>
                <w:rFonts w:ascii="黑体" w:eastAsia="黑体" w:hAnsi="黑体" w:cs="Arial" w:hint="eastAsia"/>
                <w:b/>
                <w:bCs/>
                <w:color w:val="262626"/>
                <w:sz w:val="21"/>
                <w:szCs w:val="21"/>
              </w:rPr>
              <w:t>算法工程师</w:t>
            </w:r>
            <w:r w:rsidR="006A619F" w:rsidRPr="004D01D9">
              <w:rPr>
                <w:rFonts w:ascii="黑体" w:eastAsia="黑体" w:hAnsi="黑体" w:cs="Arial"/>
                <w:bCs/>
                <w:color w:val="262626"/>
                <w:sz w:val="21"/>
                <w:szCs w:val="21"/>
              </w:rPr>
              <w:t xml:space="preserve"> | </w:t>
            </w:r>
            <w:r w:rsidRPr="006F321A">
              <w:rPr>
                <w:rFonts w:ascii="黑体" w:eastAsia="黑体" w:hAnsi="黑体" w:cs="Arial"/>
                <w:b/>
                <w:bCs/>
                <w:color w:val="262626"/>
                <w:sz w:val="21"/>
                <w:szCs w:val="21"/>
              </w:rPr>
              <w:t>上海</w:t>
            </w:r>
            <w:r w:rsidR="00F63063">
              <w:rPr>
                <w:rFonts w:ascii="黑体" w:eastAsia="黑体" w:hAnsi="黑体" w:cs="Arial"/>
                <w:bCs/>
                <w:color w:val="262626"/>
                <w:sz w:val="21"/>
                <w:szCs w:val="21"/>
              </w:rPr>
              <w:t xml:space="preserve"> | </w:t>
            </w:r>
            <w:r w:rsidRPr="006F321A">
              <w:rPr>
                <w:rFonts w:ascii="黑体" w:eastAsia="黑体" w:hAnsi="黑体" w:cs="Arial"/>
                <w:b/>
                <w:bCs/>
                <w:color w:val="262626"/>
                <w:sz w:val="21"/>
                <w:szCs w:val="21"/>
              </w:rPr>
              <w:t>65-80k×14薪</w:t>
            </w:r>
            <w:r w:rsidR="006A619F" w:rsidRPr="006F321A">
              <w:rPr>
                <w:rFonts w:ascii="黑体" w:eastAsia="黑体" w:hAnsi="黑体" w:cs="Arial"/>
                <w:b/>
                <w:bCs/>
                <w:color w:val="262626"/>
                <w:sz w:val="21"/>
                <w:szCs w:val="21"/>
              </w:rPr>
              <w:t xml:space="preserve"> </w:t>
            </w:r>
            <w:r w:rsidR="00F63063">
              <w:rPr>
                <w:rFonts w:ascii="黑体" w:eastAsia="黑体" w:hAnsi="黑体" w:cs="Arial" w:hint="eastAsia"/>
                <w:b/>
                <w:bCs/>
                <w:color w:val="262626"/>
                <w:sz w:val="21"/>
                <w:szCs w:val="21"/>
              </w:rPr>
              <w:t/>
            </w:r>
            <w:r>
              <w:rPr>
                <w:color w:val="262626"/>
                <w:rFonts w:ascii="黑体" w:eastAsia="黑体" w:hAnsi="黑体" w:cs="黑体"/>
                <w:sz w:val="21"/>
                <w:u w:color="auto"/>
              </w:rPr>
              <w:t/>
            </w:r>
            <w:r w:rsidR="00F63063">
              <w:rPr>
                <w:rFonts w:ascii="黑体" w:eastAsia="黑体" w:hAnsi="黑体" w:cs="Arial" w:hint="eastAsia"/>
                <w:bCs/>
                <w:color w:val="262626"/>
                <w:sz w:val="21"/>
                <w:szCs w:val="21"/>
              </w:rPr>
              <w:t xml:space="preserve"> </w:t>
            </w:r>
            <w:r w:rsidR="00F63063">
              <w:rPr>
                <w:rFonts w:ascii="黑体" w:eastAsia="黑体" w:hAnsi="黑体" w:cs="Arial" w:hint="eastAsia"/>
                <w:b/>
                <w:bCs/>
                <w:color w:val="262626"/>
                <w:sz w:val="21"/>
                <w:szCs w:val="21"/>
              </w:rPr>
              <w:t/>
            </w:r>
          </w:p>
        </w:tc>
      </w:tr>
      <w:tr w:rsidR="00386E79" w14:paraId="16160FFB" w14:textId="77777777">
        <w:trPr>
          <w:trHeight w:val="23"/>
        </w:trPr>
        <w:tc>
          <w:tcPr>
            <w:tcW w:w="5000" w:type="pct"/>
            <w:vAlign w:val="center"/>
          </w:tcPr>
          <w:p w14:paraId="6096D92A" w14:textId="5B6D3F5D" w:rsidR="00386E79" w:rsidRDefault="006F321A" w:rsidP="00A01C53">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全部行业</w:t>
            </w:r>
          </w:p>
        </w:tc>
      </w:tr>
      <w:tr w:rsidR="00386E79" w14:paraId="5C6502C3" w14:textId="77777777">
        <w:trPr>
          <w:trHeight w:hRule="exact" w:val="283"/>
        </w:trPr>
        <w:tc>
          <w:tcPr>
            <w:tcW w:w="5000" w:type="pct"/>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578756FB" w14:textId="77777777">
        <w:trPr>
          <w:trHeight w:hRule="exact" w:val="283"/>
        </w:trPr>
        <w:tc>
          <w:tcPr>
            <w:tcW w:w="5000" w:type="pct"/>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上海远澜私募基金管理有限公司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2024.01-至今 (1年6个月)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大模型算法研究负责人</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整体职责</w:t>
              <w:br w:type="textWrapping"/>
              <w:t>1.负责AI智能体技术方案设计，构建多模态AI应用架构。</w:t>
              <w:br w:type="textWrapping"/>
              <w:t>2.负责AI智能体在复杂场景中的定制化落地，包括计划、执行、知识运用等。</w:t>
              <w:br w:type="textWrapping"/>
              <w:t>4.将AI能力与业务系统深度融合 ，基于工作流编排、mcp server/host/client开发等。</w:t>
              <w:br w:type="textWrapping"/>
              <w:t>5.进行大模型微调和优化，提升模型在特定场景下的准确性和实用性。 </w:t>
              <w:br w:type="textWrapping"/>
              <w:t>6.探索多智能体协同在复杂任务中的应用。</w:t>
              <w:br w:type="textWrapping"/>
              <w:t/>
              <w:br w:type="textWrapping"/>
              <w:t>业务职责1</w:t>
              <w:br w:type="textWrapping"/>
              <w:t>构建自主阅读文献并复现因子论文代码的Agent|Workflow</w:t>
              <w:br w:type="textWrapping"/>
              <w:t>构建的自主 agent 实现：文档解析、多模态内容自动识别、内容理解、Context 感知、代码生成、代码debug 、持续debug能力优化</w:t>
              <w:br w:type="textWrapping"/>
              <w:t/>
              <w:br w:type="textWrapping"/>
              <w:t>业绩：</w:t>
              <w:br w:type="textWrapping"/>
              <w:t xml:space="preserve">构建的 Agent 与工作流为 股票, CTA 自动化阅读论文并构建代码、批量扩展因子、生成因子文件，日阅读量 800+ 生成金融量价因子量 1w+ </w:t>
              <w:br w:type="textWrapping"/>
              <w:t/>
              <w:br w:type="textWrapping"/>
              <w:t>业务职责2</w:t>
              <w:br w:type="textWrapping"/>
              <w:t>构建Plan-Action 模式的自主agent</w:t>
              <w:br w:type="textWrapping"/>
              <w:t>开发 MCP Server/Client、workflow infrastructure 等的基础上，构建可基于指令自主构建plan并实施、反馈的Agent</w:t>
              <w:br w:type="textWrapping"/>
              <w:t/>
              <w:br w:type="textWrapping"/>
              <w:t>业绩：</w:t>
              <w:br w:type="textWrapping"/>
              <w:t>上线了宽基择时业务 agent，能够根据指令自主执行动态功能，包括：搜索构建整合L2数据、因子测试、因子有效性解释、策略组合编排、参数自动寻优、策略回测</w:t>
              <w:br w:type="textWrapping"/>
              <w:t/>
              <w:br w:type="textWrapping"/>
              <w:t/>
              <w:br w:type="textWrapping"/>
              <w:t>业务职责3</w:t>
              <w:br w:type="textWrapping"/>
              <w:t>深度强化学习在交易侧的应用，基于强化学习算法实现股票、CTA、加密货币的策略交易。</w:t>
              <w:br w:type="textWrapping"/>
              <w:t>构建基于L2的虚拟环境并用于PPO(transformer)算法</w:t>
              <w:br w:type="textWrapping"/>
              <w:t>测试期平均 sharp 3.8+</w:t>
              <w:br w:type="textWrapping"/>
              <w:t/>
              <w:br w:type="textWrapping"/>
              <w:t>业务职责4</w:t>
              <w:br w:type="textWrapping"/>
              <w:t>前后端基础设施：页面交互、各类数据库、MCP维护等</w:t>
              <w:br w:type="textWrapping"/>
              <w:t>LLM基础设施：</w:t>
              <w:br w:type="textWrapping"/>
              <w:t>模型微调、GRPO小模型用于数据校验代码合成等</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三一集团</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2022.06-2023.12 (1年6个月)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数据科学家</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信息化流程总部</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CIO</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3人</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北京-昌平区</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三一数字化转型与工业智能团队 - (知识图谱)算法负责；</w:t>
              <w:br w:type="textWrapping"/>
              <w:t>整体负责知识图谱算法研发、产品研发，带领团队完成相关的项目、应用服务上线。</w:t>
              <w:br w:type="textWrapping"/>
              <w:t/>
              <w:br w:type="textWrapping"/>
              <w:t>主要职责：</w:t>
              <w:br w:type="textWrapping"/>
              <w:t>1. 整体负责集团内部知识图谱平台、应用体系算法侧产品、研发、算法开发。包含：知识图谱构建(实体识别、实体链接、FAQ、KBQA、图谱融合)、图深度学习算法、智能交互机器人、维修诊断场景，其中部分应用基于工业数据多模态融合算法实现。</w:t>
              <w:br w:type="textWrapping"/>
              <w:t>2. 落地相关项目：</w:t>
              <w:br w:type="textWrapping"/>
              <w:t>a. 工艺制造研究总院 - 质量管理部 - 质量追溯与预警</w:t>
              <w:br w:type="textWrapping"/>
              <w:t>b. 故障预诊断与故障流程排查助手</w:t>
              <w:br w:type="textWrapping"/>
              <w:t>3. 负责相关技术路线规划和阶段性技术眼镜</w:t>
              <w:br w:type="textWrapping"/>
              <w:t>4. 负责探索性项目包括：强化学习用于排产排程</w:t>
              <w:br w:type="textWrapping"/>
              <w:t/>
              <w:br w:type="textWrapping"/>
              <w:t>主要业绩：</w:t>
              <w:br w:type="textWrapping"/>
              <w:t>1. 为数据管理部构建了三一数字大脑基座：</w:t>
              <w:br w:type="textWrapping"/>
              <w:t>a. 图数据库选型测试上线  b. 图深度学习脚手架和算法模型服务开发 c. 知识管理平台构建 d. 知识图谱实例资产落地 [故障诊断、设备故障预诊断推理、质量预警]，其中质量预警图谱覆盖：研发、制造、供应商和售后领域</w:t>
              <w:br w:type="textWrapping"/>
              <w:t>b. 项目业绩：</w:t>
              <w:br w:type="textWrapping"/>
              <w:t>(1) 质量追溯预警在三一小挖产品线，对没年29w+起故障现象进行多标签分类预警，提升16%预警成功率，实现降本增效约2.7千万(估算值)</w:t>
              <w:br w:type="textWrapping"/>
              <w:t>(2) 故障预诊断</w:t>
              <w:br w:type="textWrapping"/>
              <w:t>针对 70w / 年订单，提升20%左右的提前预警、故障解决、增加有效召请，降本增效金额在1500w</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三一集团-树根互联</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2021.01-2022.06 (1年5个月)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知识图谱算法负责</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工业AI BU</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BU Leader</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6人</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北京-海淀区</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主要职责：</w:t>
              <w:br w:type="textWrapping"/>
              <w:t>主导产研团队落地研发树根小数智能平台，包括：知识图谱管理平台、智能助手、机器学习</w:t>
              <w:br w:type="textWrapping"/>
              <w:t>1. 落地智能助手产品</w:t>
              <w:br w:type="textWrapping"/>
              <w:t>负责产品指导、算法设计。</w:t>
              <w:br w:type="textWrapping"/>
              <w:t>负责后端算法开发并指导算法团队完成工作。</w:t>
              <w:br w:type="textWrapping"/>
              <w:t>实现 意图识别、实体链指、KBQA等算法；</w:t>
              <w:br w:type="textWrapping"/>
              <w:t>实现智能助手可基于业务配置的交互逻辑。</w:t>
              <w:br w:type="textWrapping"/>
              <w:t>2. 落地知识图谱平台产品</w:t>
              <w:br w:type="textWrapping"/>
              <w:t>a. 基于知识图谱构建的全生命周期流程指导产品构建；</w:t>
              <w:br w:type="textWrapping"/>
              <w:t>b. 知识图谱凭他i算法功能实现：</w:t>
              <w:br w:type="textWrapping"/>
              <w:t>联合抽取：基于TP-linker和图深度学习的实体关系联合抽取</w:t>
              <w:br w:type="textWrapping"/>
              <w:t>实体链指算法落地：包括典型工业场景NER、CEG、ED等模块</w:t>
              <w:br w:type="textWrapping"/>
              <w:t>KBQA：</w:t>
              <w:br w:type="textWrapping"/>
              <w:t>3. 生产制造工艺参数优化</w:t>
              <w:br w:type="textWrapping"/>
              <w:t>基于生产制造流程的图模型和相关工艺提质增效目标，落地生产制造工艺参数优化，综合利用工艺仿真、强化学习和迁移样本学习。</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金山云(北京)信息技术有限公司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2019.04-2020.12 (1年8个月)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大数据 &amp; AI 应用研发负责人</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政企事业部</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副总裁</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16人</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北京</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主要职责：</w:t>
              <w:br w:type="textWrapping"/>
              <w:t>基于金山云大数据平台、AI平台、图分析平台，负责大数据与AI能力在工业、政府、通信、金融业的整体应用研发、生态整合与针对性能力提升，带领应用研发团队，读题包括：</w:t>
              <w:br w:type="textWrapping"/>
              <w:t>- 行业需求解析与大数据与AI方案构建</w:t>
              <w:br w:type="textWrapping"/>
              <w:t>- AI算法应用开发：主要基于深度学习、强化学习、图深度学习、NLP 等技术在内容理解与审核、风险控制分析、文本类应用等方面的落地实现</w:t>
              <w:br w:type="textWrapping"/>
              <w:t>- 核心产品能力构建，包含但不限于：大数据&amp;AI 应用服务开发、产品/工具/平台能力构建</w:t>
              <w:br w:type="textWrapping"/>
              <w:t>- 跟踪前沿算法、应用方向与效果验证</w:t>
              <w:br w:type="textWrapping"/>
              <w:t>主要业绩：</w:t>
              <w:br w:type="textWrapping"/>
              <w:t>1. 产品落地</w:t>
              <w:br w:type="textWrapping"/>
              <w:t>2. 项目交付：</w:t>
              <w:br w:type="textWrapping"/>
              <w:t>a. 海关总署基于图模型的风险防控预警</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国际商业机器公司（INTERNATIONAL BUSINESS MACHINES）IBM</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2015.03-2019.03 (4年)</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Data Scientist / Senior Consultant /Manager</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GBS - CBDS</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高级咨询经理</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6人</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Leading Data Scientist of GBS CBDS team</w:t>
              <w:br w:type="textWrapping"/>
              <w:t>担任 IBM GBS 认知计算与商业智能数据科学家，负责相关算法研发、产品，项目交付等；</w:t>
              <w:br w:type="textWrapping"/>
              <w:t>累计交付国内外10+项目，包含大中型企业客户：工商银行总行、建设银行总行、太平洋保险(两期)、中国移动(北京)、中国移动(山东)、兴业银行、Suncorp等。</w:t>
              <w:br w:type="textWrapping"/>
              <w:t>出色完成算法落地和优化，项目上线和持续运转。</w:t>
              <w:br w:type="textWrapping"/>
              <w:t xml:space="preserve">          </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银联商务有限公司(内部调动)</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2014.11-2015.03 (4个月)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欺诈侦测</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风险管理部</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风险管理部总经理</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负责银联反欺诈侦测模型构建:</w:t>
              <w:br w:type="textWrapping"/>
              <w:t>针对卡片支付场景中的六类交易风险，基于交易回码模式、卡片账户静态信息、其他关联信息进行风险分类识别；</w:t>
              <w:br w:type="textWrapping"/>
              <w:t>使用 RF、xgboost等进行分类识别</w:t>
              <w:br w:type="textWrapping"/>
              <w:t xml:space="preserve">          </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2918"/>
        <w:gridCol w:w="535"/>
        <w:gridCol w:w="1064"/>
        <w:gridCol w:w="3866"/>
      </w:tblGrid>
      <w:tr w:rsidR="00386E79" w14:paraId="64AC9748" w14:textId="77777777">
        <w:trPr>
          <w:trHeight w:val="454"/>
        </w:trPr>
        <w:tc>
          <w:tcPr>
            <w:tcW w:w="2457" w:type="pct"/>
            <w:gridSpan w:val="3"/>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中国人民银行征信中心</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2014.02-2014.10 (8个月)</w:t>
            </w:r>
          </w:p>
        </w:tc>
      </w:tr>
      <w:tr w:rsidR="00386E79" w14:paraId="15D6245A" w14:textId="77777777">
        <w:trPr>
          <w:trHeight w:val="340"/>
        </w:trPr>
        <w:tc>
          <w:tcPr>
            <w:tcW w:w="5000" w:type="pct"/>
            <w:gridSpan w:val="5"/>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风险建模</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tcBorders>
              <w:top w:val="nil"/>
              <w:bottom w:val="nil"/>
            </w:tcBorders>
            <w:vAlign w:val="center"/>
          </w:tcPr>
          <w:p w14:paraId="748C0E31" w14:textId="4BB3119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增值业务部</w:t>
            </w: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征信中心主任</w:t>
            </w: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tcBorders>
              <w:top w:val="nil"/>
              <w:bottom w:val="nil"/>
            </w:tcBorders>
            <w:vAlign w:val="center"/>
          </w:tcPr>
          <w:p w14:paraId="01CDE94F" w14:textId="7130115E"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
            </w: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4"/>
            <w:tcBorders>
              <w:top w:val="nil"/>
              <w:bottom w:val="nil"/>
            </w:tcBorders>
            <w:vAlign w:val="center"/>
          </w:tcPr>
          <w:p w14:paraId="5634C47D" w14:textId="31CAC03D" w:rsidR="00386E79" w:rsidRDefault="00882D60">
            <w:pPr>
              <w:widowControl/>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4"/>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中国人民银行个人信用评分模型建模与测试</w:t>
              <w:br w:type="textWrapping"/>
              <w:t xml:space="preserve">          </w:t>
            </w:r>
          </w:p>
        </w:tc>
      </w:tr>
      <w:tr w:rsidR="00386E79" w14:paraId="503C2D59" w14:textId="77777777">
        <w:trPr>
          <w:trHeight w:hRule="exact" w:val="284"/>
        </w:trPr>
        <w:tc>
          <w:tcPr>
            <w:tcW w:w="5000" w:type="pct"/>
            <w:gridSpan w:val="5"/>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58E6E65C" w14:textId="77777777">
        <w:trPr>
          <w:trHeight w:hRule="exact" w:val="284"/>
        </w:trPr>
        <w:tc>
          <w:tcPr>
            <w:tcW w:w="5000" w:type="pct"/>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Elab 自主动态流程Agent</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2025.03-至今 (4个月)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构建类似于Plan-Action 模式的自主agent，要求agent可以基于业务目标自定义计划、执行action 并实现反馈闭环</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 负责整体方案设计</w:t>
              <w:br w:type="textWrapping"/>
              <w:t>2. 技术架构研究、测试、选型</w:t>
              <w:br w:type="textWrapping"/>
              <w:t>3. 开发 MCP Server/Client、workflow infrastructure 等</w:t>
              <w:br w:type="textWrapping"/>
              <w:t>4. 构建可基于指令自主构建plan并实施、反馈的Agent</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 上线宽基择时自主工作Agent ，满足自动分析数据、因子、自动构建策略、(实验性)优化策略、回测交易效果并生成 html 报告</w:t>
              <w:br w:type="textWrapping"/>
              <w:t>2. 实现 resource &amp; tool 用户自主注册、测试、发布、调用等</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Elab Finanace KB &amp; Search Engine</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2024.01-至今 (1年6个月)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数据科学家|项目负责</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上海远澜私募基金管理有限公司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基于知识图谱全生命周期框架，构建多模态金融 Knowledge Base 和 Advanced RAG Search Engine</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Elab 量化因子构建|Auto Code</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2024.01-至今 (1年6个月)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数据科学家</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上海远澜私募基金管理有限公司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因子生成是股票量化策略模型构建的基础，类似于特征工程，传统方法有基于遗传善法、人工构建等，使用 LLM 可以快速、自动化、大量地构建有效因子库</w:t>
              <w:br w:type="textWrapping"/>
              <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A. 一阶段基于 llm workflow &amp; Data Interpretor  实现股票量化中的因子自动生成、回测、优化，具体包括：</w:t>
              <w:br w:type="textWrapping"/>
              <w:t>1.底层金融信息、知识库构建</w:t>
              <w:br w:type="textWrapping"/>
              <w:t>2. 基于 Agents 框架的 Role 构建：[FactorImproviser, CoderWriter, FactorReviewer]</w:t>
              <w:br w:type="textWrapping"/>
              <w:t>3.在框架下实现股票量化因子的自动构建、代码实现和因子改进</w:t>
              <w:br w:type="textWrapping"/>
              <w:t>4.实现 100+/日 有效因子输出、回测和改进</w:t>
              <w:br w:type="textWrapping"/>
              <w:t>B. 二阶段实现，思路、参数可控的因子生成技术：</w:t>
              <w:br w:type="textWrapping"/>
              <w:t>1.基于因子门类、思维链、可调参数知识库构建</w:t>
              <w:br w:type="textWrapping"/>
              <w:t>2.基于所选的门类、参数、思路的因子可控生成</w:t>
              <w:br w:type="textWrapping"/>
              <w:t>3. 加入新 Idea( Human、Paper) 后的思路总结 + 因子生成</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实现 100+/日 有效因子输出、回测和改进；</w:t>
              <w:br w:type="textWrapping"/>
              <w:t>满足因子有效性要求并且入库的因子达到 1000+ (截止 5.31)；</w:t>
              <w:br w:type="textWrapping"/>
              <w:t>基于人工思路输入的可控因子生成；</w:t>
              <w:br w:type="textWrapping"/>
              <w:t>基于论文总结的可控因子生成与改进已经落地。</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ELab 图深度强化学习模型</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2024.01-2024.03 (2个月)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数据科学家</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上海远澜私募基金管理有限公司</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基于图深度学习、图强化学习实现股票量化策略和优化</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 基于因子库(2k+) 和 行业图，实现图深度学习对于收益率(跨期 - 1,3,6, 9) 预测</w:t>
              <w:br w:type="textWrapping"/>
              <w:t>2.回测和模型优化</w:t>
              <w:br w:type="textWrapping"/>
              <w:t>3.策略验证</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1.5 年累计 116%收益率，前 10%组</w:t>
              <w:br w:type="textWrapping"/>
              <w:t>2.最大回撤 12%</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三一电站换电调度项目</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2023.02-2023.10 (8个月)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算法科学家</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三一重工</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强化学习用于电站换电调度策略：</w:t>
              <w:br w:type="textWrapping"/>
              <w:t>三一换电站需要给站属运输卡车进行电池更换操作决策，同时，基于尖峰平谷电价权衡自身充电策略，以实现毛利率的最大化，和车辆等待时间最小化。</w:t>
              <w:br w:type="textWrapping"/>
              <w:t>基于业务需求平衡两大业务目标：</w:t>
              <w:br w:type="textWrapping"/>
              <w:t xml:space="preserve">a. 最大化电站毛利率 </w:t>
              <w:br w:type="textWrapping"/>
              <w:t>b. 最小化车辆等待时长两个目标</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工作内容：</w:t>
              <w:br w:type="textWrapping"/>
              <w:t>1. 构建电站数据仿真，包括电站、电池、车辆、充电桩、电池车、存储柜等。</w:t>
              <w:br w:type="textWrapping"/>
              <w:t>2. 构建强化学习算法，用于多智能体的换电调度决策问题。利用 DDQN, A2C, PPO 等算法，优化值策略综合函数，得到仿真环境下的最优策略，并继续历史数据进行模拟测试</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 针对当前业务现状，优化了电站策略，提升毛利率20%</w:t>
              <w:br w:type="textWrapping"/>
              <w:t>2. 减少了车辆平均等待时长，15%</w:t>
              <w:br w:type="textWrapping"/>
              <w:t>3. 给出不同电站投入参数下，各能够达到的最佳毛利率和车辆等待时长</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智能交互诊断平台</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2021.01-2022.06 (1年5个月)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算法工程师</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三一重工</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背景</w:t>
              <w:br w:type="textWrapping"/>
              <w:t>三一重工内部基于设备维修记录的智能诊断知识图谱交互应用，用来服务三一内外部关于工程机械设备的智能交互诊断</w:t>
              <w:br w:type="textWrapping"/>
              <w:t>目标</w:t>
              <w:br w:type="textWrapping"/>
              <w:t>实现背靠知识图谱、知识库的诊断的智能交互</w:t>
              <w:br w:type="textWrapping"/>
              <w:t>概述</w:t>
              <w:br w:type="textWrapping"/>
              <w:t>基于智能交互，KBQA完成智能诊断服务</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三一数字化转型与工业智能团队 - (知识图谱)算法负责；</w:t>
              <w:br w:type="textWrapping"/>
              <w:t>整体负责知识图谱算法研发、产品研发，带领团队完成相关的项目、应用服务上线。</w:t>
              <w:br w:type="textWrapping"/>
              <w:t>主要职责：</w:t>
              <w:br w:type="textWrapping"/>
              <w:t>1. 整体负责集团内部知识图谱平台、应用体系算法侧产品、研发、算法开发。包含：知识图谱构建(实体识别、实体链接、FAQ、KBQA 、图谱融合)、图深度学习算法、智能交互机器人、维修诊断场景，其中部分应用基于工业数据多模态融合算法实现。</w:t>
              <w:br w:type="textWrapping"/>
              <w:t>2. 落地相关项目：</w:t>
              <w:br w:type="textWrapping"/>
              <w:t>a. 工艺制造研究总院 - 质量管理部 - 质量追溯与预警，基于图论的归因分析</w:t>
              <w:br w:type="textWrapping"/>
              <w:t>b. 故障预诊断与故障流程排查助手，多模态检索</w:t>
              <w:br w:type="textWrapping"/>
              <w:t>3. 负责相关技术路线规划和阶段性技术眼镜</w:t>
              <w:br w:type="textWrapping"/>
              <w:t>4. 负责探索性项目包括：强化学习用于排产排程、换电调度</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主要业绩：</w:t>
              <w:br w:type="textWrapping"/>
              <w:t>1. 为数据管理部构建了三一数字大脑基座：</w:t>
              <w:br w:type="textWrapping"/>
              <w:t>a. 图数据库选型测试上线 b. 图深度学习脚手架和算法模型服务开发 c. 知识管理平台构建 d. 知识图谱实例资产落地 [故障诊断、设备故障预诊断推理、质量预警]，其中质量预警图谱覆盖：研发、制造、供应商和售后领域</w:t>
              <w:br w:type="textWrapping"/>
              <w:t>b. 项目业绩：</w:t>
              <w:br w:type="textWrapping"/>
              <w:t>(1) 质量追溯预警在三一小挖产品线，对没年29w+起故障现象进行多标签分类预警，提升16%预警成功率，实现降本增效约2.7千万(估算值)</w:t>
              <w:br w:type="textWrapping"/>
              <w:t>(2) 故障预诊断</w:t>
              <w:br w:type="textWrapping"/>
              <w:t>针对 70w / 年订单，提升20%左右的提前预警、故障解决、增加有效召请，降本增效金额在1500w</w:t>
              <w:br w:type="textWrapping"/>
              <w:t>(3) 上线故障诊断助手，以自然语言智能交互助手形式，提供8000用户 50w次/月 调用</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海关总署风险防控(一期/二期)</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2019.06-2020.12 (1年6个月)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算法技术总监</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金山云</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海关总署风险防控系列项目，包含海关总署在全国各关口、针对海、陆、空、跨境等风险的防控、识别。基于防控现状，综合利用相关技术手段，包括但不限于，NLP、知识图谱、图深度学习、CV等，用以甄别各类走私、夹藏等犯罪风险。</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负责人工智能模型的综合应用设计与平台能力构建，整合技术盏，理解业务特征，保证风险防控模型上线。</w:t>
              <w:br w:type="textWrapping"/>
              <w:t>负责图深度学习模型的开发、构建、模型调优和部署联调。</w:t>
              <w:br w:type="textWrapping"/>
              <w:t>负责通过结构化和半结构化的数据，以及结合数据挖掘的方法构建知识图谱。</w:t>
              <w:br w:type="textWrapping"/>
              <w:t>负责图数据库的应用、调试、开发，完成端到端的模型应用。</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完成夹藏、防控等模型的开发、构建、部署、验证工作，达到优异的模型性能，完成与海关总署签订的模型性能指标，落地多家地方省海关。</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CCB 图计算与知识图谱研究</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2018.06-2019.01 (7个月)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数据科学家</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国际商业机器公司（INTERNATIONAL BUSINESS MACHINES）IBM</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基于CCB关系数据构建知识图谱与图模型，应用于关系推断、模式识别、风险预警等课题。</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作为数据科学家：</w:t>
              <w:br w:type="textWrapping"/>
              <w:t>负责图计算中的算法实现，基于 gremlin, java, python等工具。</w:t>
              <w:br w:type="textWrapping"/>
              <w:t>负责业务场景设计与解决方案制定，模型构建与最终交付上线。</w:t>
              <w:br w:type="textWrapping"/>
              <w:t>负责IBM 知识图谱框架与NLP结合的探索性研究。</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为中国建设银行构建自底向上的图数据库、图计算分析能力。构建图计算、知识图谱在金融领域各细分场景下的应用和解决方案。包括但不限于：</w:t>
              <w:br w:type="textWrapping"/>
              <w:t>1. 对公资金流向分析、隐性关系探查、</w:t>
              <w:br w:type="textWrapping"/>
              <w:t>2. 基于图深度学习的流失预测、其他图属性预测</w:t>
              <w:br w:type="textWrapping"/>
              <w:t>3. 异常识别、模式挖掘用于信用卡反欺诈模式识别等</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CCB 大数据智能分析咨询项目</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2017.08-2018.06 (10个月)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Data Scientist / Consultant</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国际商业机器公司（INTERNATIONAL BUSINESS MACHINES）IBM</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与CCB大数据中心合作，针对各个业务部门的不同需求、痛点，通过数据挖掘、人工智能的方法，解决实际问题，提升业务效率。</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 担任首席数据科学家/咨询顾问负责从商业需求理解、方案设计到模型开发、落地实施的全过程。</w:t>
              <w:br w:type="textWrapping"/>
              <w:t>2. 指导建行大数据中心和IBM团队成员完成从数据清洗、转换到模型构建、调参、验证的全流程。</w:t>
              <w:br w:type="textWrapping"/>
              <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 CCB 智能交互机器人</w:t>
              <w:br w:type="textWrapping"/>
              <w:t>2. 手机银行拓户挖掘</w:t>
              <w:br w:type="textWrapping"/>
              <w:t>3. 信用卡客户生命周期价值计量</w:t>
              <w:br w:type="textWrapping"/>
              <w:t>4. 分期通白名单拓户挖掘</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CPIC Watson智能分析项目</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2017.04-2017.12 (8个月)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Data Scientist / Consultant</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国际商业机器公司（INTERNATIONAL BUSINESS MACHINES）IBM</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太平洋保险Watson智能分析项目以Watson 智能机器人为主，共包含三个子项目：</w:t>
              <w:br w:type="textWrapping"/>
              <w:t>1. Watson 智能对话机器人后台 - Watson 大脑</w:t>
              <w:br w:type="textWrapping"/>
              <w:t>2. 代理员成长了路径模型分析</w:t>
              <w:br w:type="textWrapping"/>
              <w:t>3. Watson文本挖掘功能</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作为Data Scientist负责人指导和实践与项目成员共同完成三个子项目从商业需求理解、模型方案设计到落地实施交付等工作，具体包括：</w:t>
              <w:br w:type="textWrapping"/>
              <w:t>1. 智能对话机器人的开发</w:t>
              <w:br w:type="textWrapping"/>
              <w:t>使用深度学习、知识图谱、NLP等技术，实现 Chat Bot 在意图分类、实体识别以及 Knowledge Base构建和管理，知识推理等方面的功能。</w:t>
              <w:br w:type="textWrapping"/>
              <w:t>2. 序列模式挖掘模型的开发：</w:t>
              <w:br w:type="textWrapping"/>
              <w:t>基于NLP技术识别代理员关键事件，并基于序列模式识别的挖掘方法，识别最优代理人成长路径，并给出应用策略建议。</w:t>
              <w:br w:type="textWrapping"/>
              <w:t>3. Watson文本挖掘分析</w:t>
              <w:br w:type="textWrapping"/>
              <w:t>应用 IBM Watson Explorer 结合开源工具，实现对文本的分析功能，包括但不限于：构面、实体提取、关系抽取、序列分析、偏差分析等</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CMCC客户感知与人工智能创新项目</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2017.02-2017.08 (6个月)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Data Scientist / Consultant</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国际商业机器公司（INTERNATIONAL BUSINESS MACHINES）IBM</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CMCC大数据分析和咨询包含两个子项目：</w:t>
              <w:br w:type="textWrapping"/>
              <w:t>1. 在客户感知标签大数据平台上，基于Hadoop生态完成系统的构建、数据的处理和展示。</w:t>
              <w:br w:type="textWrapping"/>
              <w:t>2. 创新项目利用客户投诉工单数据，基于tensorflow深度学习框架和自然语言处理技术，解析客户情感、观点，提取各类实体信息，并用于客户越级投诉预测和策越性干预。</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作为Data Scientist负责人，负责：</w:t>
              <w:br w:type="textWrapping"/>
              <w:t>1. 基于Spark的客户感知模型开发、基于Spark、Hive、Hbase的数据处理全流程开发</w:t>
              <w:br w:type="textWrapping"/>
              <w:t>2. NLP在信息提取（情感、实体等）的开发；深度学习用于文本分类的开发。</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成功实施：</w:t>
              <w:br w:type="textWrapping"/>
              <w:t>1. CMCC 网络性能分析模型</w:t>
              <w:br w:type="textWrapping"/>
              <w:t>2. 客户投诉信息分析模型，含：情感分析、NER、投诉预测</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ICBC大数据挖掘</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2016.06-2017.02 (8个月)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Data Scientist / Consultant</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国际商业机器公司（INTERNATIONAL BUSINESS MACHINES）IBM</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ICBC大数据分析和咨询项目包含一系列数据挖掘分析的子项目以及规划分析和咨询。数据挖掘包括12个模型，覆盖客户关系管理和风险管理两大方面，一系列场景下的模型开发和应用，包括但不限于：</w:t>
              <w:br w:type="textWrapping"/>
              <w:t>1. 风险管理：</w:t>
              <w:br w:type="textWrapping"/>
              <w:t>1.1 工银e支付风险行为模式识别</w:t>
              <w:br w:type="textWrapping"/>
              <w:t>1.2 社交网络模型用于社群风险识别与预警</w:t>
              <w:br w:type="textWrapping"/>
              <w:t>2. 客户关系管理：</w:t>
              <w:br w:type="textWrapping"/>
              <w:t>2.1 社交网络分析用于识别关键客户.</w:t>
              <w:br w:type="textWrapping"/>
              <w:t>2.2 优质客户成长路径分析</w:t>
              <w:br w:type="textWrapping"/>
              <w:t>2.3 客户细分用于投资偏好分析</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主要工作内容:  在以下几类模型中负责方案设计，挖掘模型构建与交付，包括代码编写和指导相关项目人员工作：</w:t>
              <w:br w:type="textWrapping"/>
              <w:t>1. 模式识别(客户行为路径分析)，用于风险管理&amp;欺诈侦测：“工银e支付”，通过模式识别技术来侦测，支付场景下存在潜在风险的客户。</w:t>
              <w:br w:type="textWrapping"/>
              <w:t>负责方案设计，挖掘模型构建，代码编写和指导相关项目人员；</w:t>
              <w:br w:type="textWrapping"/>
              <w:t/>
              <w:br w:type="textWrapping"/>
              <w:t>2. 社交网络分析(SNA)</w:t>
              <w:br w:type="textWrapping"/>
              <w:t>2.1 SNA用于识别产业链上下游中的关键客户</w:t>
              <w:br w:type="textWrapping"/>
              <w:t>2.2 SNA用于识别存在潜在风险的社群，用于信贷风险预警</w:t>
              <w:br w:type="textWrapping"/>
              <w:t/>
              <w:br w:type="textWrapping"/>
              <w:t/>
              <w:br w:type="textWrapping"/>
              <w:t>3. 客户细分(投资偏好)用于CRM</w:t>
              <w:br w:type="textWrapping"/>
              <w:t>基于客户投资组合、投资行为的聚类分析，来完成客户投资偏好细分，属于客户360度画</w:t>
              <w:br w:type="textWrapping"/>
              <w:t>像总体模型的子模型之一</w:t>
              <w:br w:type="textWrapping"/>
              <w:t/>
              <w:br w:type="textWrapping"/>
              <w:t>4. 文本挖掘、知识图谱</w:t>
              <w:br w:type="textWrapping"/>
              <w:t>基于ICBC 管理信息部-征信部的征信和外部数据，构建企业客户知识图谱，完成：</w:t>
              <w:br w:type="textWrapping"/>
              <w:t>4.1 基于图的隐含关系推断</w:t>
              <w:br w:type="textWrapping"/>
              <w:t>4.2 基于图的供应链模式识别分析</w:t>
              <w:br w:type="textWrapping"/>
              <w:t/>
              <w:br w:type="textWrapping"/>
              <w:t>对于上述模型负责从商业需求理解、方案设计、ETL、模型构建到系统落地设计的全过程。</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成功交付6个模型，得到客户高度好评，整体项目得到谷树行长公开表彰。</w:t>
              <w:br w:type="textWrapping"/>
              <w:t>其中，主导的工银e支付初步上线，侦测识别几千笔可以交易，挽回损失上亿。</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福建省农信社等开源大数据平台挖掘项目</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2015.08-2016.02 (6个月)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Data Scientist / Consultant</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国际商业机器公司（INTERNATIONAL BUSINESS MACHINES）IBM</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R/Spark/Python(开发工具)</w:t>
              <w:br w:type="textWrapping"/>
              <w:t>Power8(硬件环境)</w:t>
              <w:br w:type="textWrapping"/>
              <w:t>Linux(软件环境)FJRCCB整体项目包括大数据平台的软、硬件搭建、数据迁移和清理、数据挖掘分析。</w:t>
              <w:br w:type="textWrapping"/>
              <w:t>子项目：信贷数据的开源数据挖掘分析</w:t>
              <w:br w:type="textWrapping"/>
              <w:t>要求基于开源软件，如R、Spark、Python，对数据进行ETL和挖掘建模，试点项目基于担保关系数据进行了循环担保侦测与风险集群挖掘分析。</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提供数据挖掘的方案、代码编写和系统落地，具体包括：</w:t>
              <w:br w:type="textWrapping"/>
              <w:t>基于担保关系数据的社交网络分析：</w:t>
              <w:br w:type="textWrapping"/>
              <w:t>1. 风险客群识别</w:t>
              <w:br w:type="textWrapping"/>
              <w:t>2. 担保圈识别</w:t>
              <w:br w:type="textWrapping"/>
              <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成功实施：</w:t>
              <w:br w:type="textWrapping"/>
              <w:t>1. 基于 R/Spark 的图模型代码编写；</w:t>
              <w:br w:type="textWrapping"/>
              <w:t>2. 系统落地(Linux shell)。</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邮储银行信用风险数据咨询：R语言代码库</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2015.08-2015.12 (4个月)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R/SAS EG(开发工具)</w:t>
              <w:br w:type="textWrapping"/>
              <w:t>Linux(软件环境)IBM数据咨询针对信用风险相关提供整体的软、硬件，数据处理、数据分析、数据挖掘服务。</w:t>
              <w:br w:type="textWrapping"/>
              <w:t>R语言代码库子项目是将数据分析和挖掘的功能在R语言环境下实现。</w:t>
              <w:br w:type="textWrapping"/>
              <w:t>对比的是SAS/Enterprise Guide的统计分析和建模功能。在此基础上做了一定的扩展，如R平行计算、交叉验证等。</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独立完成数据咨询子项目：R语言代码库。 涉及R语言从数据处理、统计分析、数据挖掘&amp;建模的全套功能实现，包括：前置、参数详述、代码示例。所有代码经过测试通过，并最终以优秀的成果交付给客户。</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德阳银行数据挖掘项目</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2015.03-2015.08 (5个月)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国际商业机器公司（INTERNATIONAL BUSINESS MACHINES）IBM</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R/SPSS/LINUX(开发工具)</w:t>
              <w:br w:type="textWrapping"/>
              <w:t>Windows/Linux(软件环境)德阳银行数据挖掘： 相应概率预测/潜在客户挖掘.</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从模型设计到系统落地的全过程，具体包括：模型设计、数据ETL、数据分析挖掘(基于R/SPSS)、系统落地(Linux脚本实现)</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银联商务准实时欺诈侦测模型</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2014.10-2015.03 (5个月)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SAS/EM Base(开发工具)</w:t>
              <w:br w:type="textWrapping"/>
              <w:t>Unix/Windows/(软件环境)银联商务准实时风险监控系统：</w:t>
              <w:br w:type="textWrapping"/>
              <w:t>项目针对对银联商务T+0商户的终端实时交易，基于数据挖掘模型进行欺诈风险侦测、识别和监控。第一期目标要求≥85%准确率。</w:t>
              <w:br w:type="textWrapping"/>
              <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主要负责欺诈侦测模型的开发和落地方案的设计。具体包括：使用SAS/ EM Base 进行模型开发；结合准实时监控系统给出模型落地方案。</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3453"/>
        <w:gridCol w:w="4930"/>
      </w:tblGrid>
      <w:tr w:rsidR="00386E79" w14:paraId="02740F34" w14:textId="77777777">
        <w:trPr>
          <w:trHeight w:val="454"/>
        </w:trPr>
        <w:tc>
          <w:tcPr>
            <w:tcW w:w="2457" w:type="pct"/>
            <w:gridSpan w:val="2"/>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人民银行征信中心信用评分模型</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2014.02-2014.10 (8个月)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2"/>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模型开发</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2"/>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人民银行征信中心</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2"/>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征信局个人信用评分模型，基于个人征信报告所涵盖的数据范围，提供征信局个人信用评分，供所有商业银行使用。</w:t>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2"/>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负责模型构建、开发、验证、测试</w:t>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2"/>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负责模型构建、开发、验证、测试</w:t>
            </w:r>
          </w:p>
        </w:tc>
      </w:tr>
      <w:tr w:rsidR="00386E79" w14:paraId="45F42FDB" w14:textId="77777777">
        <w:trPr>
          <w:trHeight w:hRule="exact" w:val="284"/>
        </w:trPr>
        <w:tc>
          <w:tcPr>
            <w:tcW w:w="5000" w:type="pct"/>
            <w:gridSpan w:val="3"/>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05EBA775" w14:textId="77777777">
        <w:trPr>
          <w:trHeight w:hRule="exact" w:val="284"/>
        </w:trPr>
        <w:tc>
          <w:tcPr>
            <w:tcW w:w="5000" w:type="pct"/>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3"/>
        <w:gridCol w:w="4930"/>
      </w:tblGrid>
      <w:tr w:rsidR="00386E79" w14:paraId="59DB782C" w14:textId="77777777">
        <w:trPr>
          <w:trHeight w:val="454"/>
        </w:trPr>
        <w:tc>
          <w:tcPr>
            <w:tcW w:w="2457" w:type="pct"/>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上海财经大学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经济学·硕士·统招</w:t>
            </w:r>
          </w:p>
        </w:tc>
        <w:tc>
          <w:tcPr>
            <w:tcW w:w="2543" w:type="pct"/>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2012.09-2014.06</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63"/>
        <w:gridCol w:w="4930"/>
      </w:tblGrid>
      <w:tr w:rsidR="00386E79" w14:paraId="59DB782C" w14:textId="77777777">
        <w:trPr>
          <w:trHeight w:val="454"/>
        </w:trPr>
        <w:tc>
          <w:tcPr>
            <w:tcW w:w="2457" w:type="pct"/>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上海金融学院</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信用管理·本科·统招</w:t>
            </w:r>
          </w:p>
        </w:tc>
        <w:tc>
          <w:tcPr>
            <w:tcW w:w="2543" w:type="pct"/>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2006.09-2010.06</w:t>
            </w: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751BE515" w14:textId="77777777">
        <w:trPr>
          <w:trHeight w:hRule="exact" w:val="283"/>
        </w:trPr>
        <w:tc>
          <w:tcPr>
            <w:tcW w:w="5000" w:type="pct"/>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3B0A2081" w14:textId="77777777">
        <w:trPr>
          <w:trHeight w:hRule="exact" w:val="283"/>
        </w:trPr>
        <w:tc>
          <w:tcPr>
            <w:tcW w:w="5000" w:type="pct"/>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
            </w:r>
            <w:r>
              <w:rPr>
                <w:b w:val="on"/>
                <w:color w:val="0D0D0D"/>
                <w:rFonts w:ascii="黑体" w:eastAsia="黑体" w:hAnsi="黑体" w:cs="黑体"/>
                <w:sz w:val="20"/>
                <w:u w:color="auto"/>
              </w:rPr>
              <w:t>英语</w:t>
            </w:r>
            <w:r>
              <w:rPr>
                <w:rFonts w:ascii="黑体" w:eastAsia="黑体" w:hAnsi="黑体" w:cs="Arial" w:hint="eastAsia"/>
                <w:color w:val="0D0D0D" w:themeColor="text1" w:themeTint="F2"/>
                <w:sz w:val="20"/>
                <w:szCs w:val="20"/>
              </w:rPr>
              <w:t>（CET6、商务洽谈）</w:t>
            </w:r>
            <w:r>
              <w:rPr>
                <w:rFonts w:ascii="黑体" w:eastAsia="黑体" w:hAnsi="黑体" w:cs="Arial" w:hint="eastAsia"/>
                <w:b/>
                <w:color w:val="0D0D0D" w:themeColor="text1" w:themeTint="F2"/>
                <w:kern w:val="0"/>
                <w:sz w:val="20"/>
                <w:szCs w:val="20"/>
                <w:u/>
              </w:rPr>
              <w:t xml:space="preserve"> </w:t>
            </w:r>
            <w:r>
              <w:rPr>
                <w:b w:val="on"/>
                <w:color w:val="0D0D0D"/>
                <w:rFonts w:ascii="黑体" w:eastAsia="黑体" w:hAnsi="黑体" w:cs="黑体"/>
                <w:sz w:val="20"/>
                <w:u w:color="auto"/>
              </w:rPr>
              <w:t/>
            </w:r>
            <w:r>
              <w:rPr>
                <w:rFonts w:ascii="黑体" w:eastAsia="黑体" w:hAnsi="黑体" w:cs="Arial" w:hint="eastAsia"/>
                <w:b/>
                <w:color w:val="0D0D0D" w:themeColor="text1" w:themeTint="F2"/>
                <w:kern w:val="0"/>
                <w:sz w:val="20"/>
                <w:szCs w:val="20"/>
              </w:rPr>
              <w:t>，</w:t>
            </w:r>
            <w:r>
              <w:rPr>
                <w:rFonts w:ascii="黑体" w:eastAsia="黑体" w:hAnsi="黑体" w:cs="Arial"/>
                <w:b/>
                <w:color w:val="0D0D0D" w:themeColor="text1" w:themeTint="F2"/>
                <w:kern w:val="0"/>
                <w:sz w:val="20"/>
                <w:szCs w:val="20"/>
              </w:rPr>
              <w:t/>
            </w:r>
            <w:r>
              <w:rPr>
                <w:b w:val="on"/>
                <w:color w:val="0D0D0D"/>
                <w:rFonts w:ascii="黑体" w:eastAsia="黑体" w:hAnsi="黑体" w:cs="黑体"/>
                <w:sz w:val="20"/>
                <w:u w:color="auto"/>
              </w:rPr>
              <w:t>普通话</w:t>
            </w:r>
            <w:r>
              <w:rPr>
                <w:rFonts w:ascii="黑体" w:eastAsia="黑体" w:hAnsi="黑体" w:cs="Arial" w:hint="eastAsia"/>
                <w:color w:val="0D0D0D" w:themeColor="text1" w:themeTint="F2"/>
                <w:sz w:val="20"/>
                <w:szCs w:val="20"/>
              </w:rPr>
              <w:t/>
            </w:r>
            <w:r>
              <w:rPr>
                <w:rFonts w:ascii="黑体" w:eastAsia="黑体" w:hAnsi="黑体" w:cs="Arial" w:hint="eastAsia"/>
                <w:b/>
                <w:color w:val="0D0D0D" w:themeColor="text1" w:themeTint="F2"/>
                <w:kern w:val="0"/>
                <w:sz w:val="20"/>
                <w:szCs w:val="20"/>
                <w:u/>
              </w:rPr>
              <w:t xml:space="preserve"> </w:t>
            </w:r>
            <w:r>
              <w:rPr>
                <w:b w:val="on"/>
                <w:color w:val="0D0D0D"/>
                <w:rFonts w:ascii="黑体" w:eastAsia="黑体" w:hAnsi="黑体" w:cs="黑体"/>
                <w:sz w:val="20"/>
                <w:u w:color="auto"/>
              </w:rPr>
              <w:t/>
            </w:r>
            <w:r>
              <w:rPr>
                <w:rFonts w:ascii="黑体" w:eastAsia="黑体" w:hAnsi="黑体" w:cs="Arial"/>
                <w:b/>
                <w:color w:val="0D0D0D" w:themeColor="text1" w:themeTint="F2"/>
                <w:kern w:val="0"/>
                <w:sz w:val="20"/>
                <w:szCs w:val="20"/>
              </w:rPr>
              <w:t/>
            </w:r>
            <w:r>
              <w:rPr>
                <w:rFonts w:ascii="黑体" w:eastAsia="黑体" w:hAnsi="黑体" w:cs="Arial" w:hint="eastAsia"/>
                <w:b/>
                <w:color w:val="0D0D0D" w:themeColor="text1" w:themeTint="F2"/>
                <w:kern w:val="0"/>
                <w:sz w:val="20"/>
                <w:szCs w:val="20"/>
              </w:rPr>
              <w:t/>
            </w:r>
          </w:p>
        </w:tc>
      </w:tr>
      <w:tr w:rsidR="00386E79" w14:paraId="52D9D657" w14:textId="77777777">
        <w:trPr>
          <w:trHeight w:hRule="exact" w:val="283"/>
        </w:trPr>
        <w:tc>
          <w:tcPr>
            <w:tcW w:w="5000" w:type="pct"/>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55B43EC8" w14:textId="77777777">
        <w:trPr>
          <w:trHeight w:hRule="exact" w:val="283"/>
        </w:trPr>
        <w:tc>
          <w:tcPr>
            <w:tcW w:w="5000" w:type="pct"/>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python、pytorch、docker、shell</w:t>
            </w:r>
          </w:p>
        </w:tc>
      </w:tr>
      <w:tr w:rsidR="00386E79" w14:paraId="4FE505B3" w14:textId="77777777">
        <w:trPr>
          <w:trHeight w:hRule="exact" w:val="284"/>
        </w:trPr>
        <w:tc>
          <w:tcPr>
            <w:tcW w:w="5000" w:type="pct"/>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64E9B31B" w14:textId="77777777">
        <w:trPr>
          <w:trHeight w:hRule="exact" w:val="284"/>
        </w:trPr>
        <w:tc>
          <w:tcPr>
            <w:tcW w:w="5000" w:type="pct"/>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专注于 智能体（Agent）的全栈应用及相关技术, 包括: LLM 指令微调(SFT, RLAIF,LoRA)、模型推理, 强化学习(GRPO,PPO), 其他底层技术: Modular RAG、Knowledge Graph 知识图谱等。</w:t>
              <w:br w:type="textWrapping"/>
              <w:t/>
              <w:br w:type="textWrapping"/>
              <w:t xml:space="preserve">主要技术方向: </w:t>
              <w:br w:type="textWrapping"/>
              <w:t>1. 智能体（Agent）全栈开发</w:t>
              <w:br w:type="textWrapping"/>
              <w:t>- 自研 workflow、多 Agent 协同，参考 Autogen, MetaGPT, OpenManus 等相关 Agent 框架, 实现任务自主规划、执行反思与迭代，并在 内容理解与转化、量化决策、市场反馈 RL 等方向落地实践。</w:t>
              <w:br w:type="textWrapping"/>
              <w:t>- 基于 MCP Server/Client 架构，结合 RPA, RAG, KB 构建管理等技术， 实现 Agent 自主任务规划与任务执行，并支持多 Agent 的分布式执行与协同。</w:t>
              <w:br w:type="textWrapping"/>
              <w:t>- 大模型与多模态模型应用</w:t>
              <w:br w:type="textWrapping"/>
              <w:t>- GRPO 本地小模型用于代码合成、数据校验</w:t>
              <w:br w:type="textWrapping"/>
              <w:t>- 强化学习应用: 量化决策中的 RL-PPO,SAC 算法应用</w:t>
              <w:br w:type="textWrapping"/>
              <w:t/>
              <w:br w:type="textWrapping"/>
              <w:t>2. 相关基础技术研发</w:t>
              <w:br w:type="textWrapping"/>
              <w:t>- 构建 Modular RAG 系统，优化知识库检索增强与推理链路；</w:t>
              <w:br w:type="textWrapping"/>
              <w:t>- 大语言模型全流程任务（SFT、LoRA、RLAIF微调），强化学习（PPO、SAC）任务调度； celery-worker 任务调度</w:t>
              <w:br w:type="textWrapping"/>
              <w:t>- 知识图谱全生命周期管理: 例如: 1. 维护 股票、CTA Level1,Level2(order,trade,tick) 数据知识。 2. 行业研报自动总结、提取因子、提取策略 3. 异类数据: 新闻等数据知识库自动批量识别与行业轮动择股(ETA)模块</w:t>
              <w:br w:type="textWrapping"/>
              <w:t>- 图深度学习: 实例: 行业关联图构建，图深度学习模型维护与目标预测(收益率预测)</w:t>
              <w:br w:type="textWrapping"/>
              <w:t>- 图深度强化学习: 实例: CTA 策略优化</w:t>
              <w:br w:type="textWrapping"/>
              <w:t/>
              <w:br w:type="textWrapping"/>
              <w:t/>
              <w:br w:type="textWrapping"/>
              <w:t>个人项目与交付经验</w:t>
              <w:br w:type="textWrapping"/>
              <w:t>- 主导智能体系统在金融量化、智能交互、制造优化等领域的自动化、智能化项目落地</w:t>
              <w:br w:type="textWrapping"/>
              <w:t>- 带领产研团队完成多个大型项目交付，包括工业知识图谱构建、大模型智能客服系统、制造运筹优化降本增效</w:t>
              <w:br w:type="textWrapping"/>
              <w:t/>
              <w:br w:type="textWrapping"/>
              <w:t>技术栈</w:t>
              <w:br w:type="textWrapping"/>
              <w:t>语言与框架：Python/PyTorch/TensorFlow，AutoGen/MetaGPT/ReAct框架，JanusGraph/Neo4j；</w:t>
              <w:br w:type="textWrapping"/>
              <w:t>架构与工具：MCP Server/Client、Docker、云原生开发，LangChain/LlamaIndex检索增强工具链</w:t>
            </w:r>
          </w:p>
        </w:tc>
      </w:tr>
      <w:tr w:rsidR="00386E79" w14:paraId="2EB7F996" w14:textId="77777777">
        <w:trPr>
          <w:trHeight w:hRule="exact" w:val="284"/>
        </w:trPr>
        <w:tc>
          <w:tcPr>
            <w:tcW w:w="5000" w:type="pct"/>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bl>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93"/>
      </w:tblGrid>
      <w:tr w:rsidR="00386E79" w14:paraId="45E9E30D" w14:textId="77777777">
        <w:trPr>
          <w:trHeight w:hRule="exact" w:val="283"/>
        </w:trPr>
        <w:tc>
          <w:tcPr>
            <w:tcW w:w="5000" w:type="pct"/>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2025.07.08 14:15:33</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e428e9434c22aee33eb7ba3fd36907d3</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9"/>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384D1" w14:textId="77777777" w:rsidR="009A440B" w:rsidRDefault="009A440B">
      <w:r>
        <w:separator/>
      </w:r>
    </w:p>
  </w:endnote>
  <w:endnote w:type="continuationSeparator" w:id="0">
    <w:p w14:paraId="7274DFE7" w14:textId="77777777" w:rsidR="009A440B" w:rsidRDefault="009A4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B0604020202020204"/>
    <w:charset w:val="86"/>
    <w:family w:val="modern"/>
    <w:pitch w:val="fixed"/>
    <w:sig w:usb0="00000001" w:usb1="080E0000" w:usb2="00000010" w:usb3="00000000" w:csb0="00040000" w:csb1="00000000"/>
  </w:font>
  <w:font w:name="DIN Alternate">
    <w:altName w:val="Bahnschrift Light"/>
    <w:panose1 w:val="020B0500000000000000"/>
    <w:charset w:val="00"/>
    <w:family w:val="swiss"/>
    <w:pitch w:val="variable"/>
    <w:sig w:usb0="8000002F" w:usb1="10000048" w:usb2="00000000" w:usb3="00000000" w:csb0="00000111" w:csb1="00000000"/>
  </w:font>
  <w:font w:name="PingFang SC">
    <w:altName w:val="微软雅黑"/>
    <w:panose1 w:val="020B0400000000000000"/>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panose1 w:val="020B0604020202020204"/>
    <w:charset w:val="86"/>
    <w:family w:val="auto"/>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BCDF4" w14:textId="77777777" w:rsidR="009A440B" w:rsidRDefault="009A440B">
      <w:r>
        <w:separator/>
      </w:r>
    </w:p>
  </w:footnote>
  <w:footnote w:type="continuationSeparator" w:id="0">
    <w:p w14:paraId="7F5DB4A0" w14:textId="77777777" w:rsidR="009A440B" w:rsidRDefault="009A4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pPr>
      <w:pStyle w:val="Header"/>
    </w:pPr>
    <w:r>
      <w:rPr>
        <w:rStyle w:val="s2"/>
        <w:rFonts w:ascii="Arial" w:eastAsia="黑体" w:hAnsi="Arial" w:cs="Arial"/>
        <w:noProof/>
        <w:color w:val="767171" w:themeColor="background2" w:themeShade="80"/>
      </w:rPr>
      <w:drawing>
        <wp:anchor distT="0" distB="0" distL="114300" distR="114300" simplePos="0" relativeHeight="251622400"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6fdee9d584L61ae140c9d16</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对方设置了隐私保护</w:t>
    </w:r>
    <w:r>
      <w:rPr>
        <w:rStyle w:val="s2"/>
        <w:rFonts w:ascii="Arial" w:eastAsia="黑体" w:hAnsi="Arial" w:cs="Arial"/>
        <w:color w:val="3B3838" w:themeColor="background2" w:themeShade="40"/>
      </w:rPr>
      <w:t xml:space="preserve">  </w:t>
    </w:r>
    <w:r>
      <w:rPr>
        <w:noProof/>
      </w:rPr>
      <w:pict>
        <v:shapetype>
          <v:textpath on="t" fitshape="t"/>
          <o:lock v:ext="view"/>
        </v:shapetype>
        <v:shape id="PowerPlusWaterMarkObject" o:spid="_x0000_s102" type="#_x0000_t136" style="position: absolute;width: 648pt;height: 15pt;z-index: -251654144;mso-wrap-edited: f;top: -40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36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32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8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4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0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16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12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8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4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4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8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12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16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0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4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28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32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r>
      <w:rPr>
        <w:noProof/>
      </w:rPr>
      <w:pict>
        <v:shapetype>
          <v:textpath on="t" fitshape="t"/>
          <o:lock v:ext="view"/>
        </v:shapetype>
        <v:shape id="PowerPlusWaterMarkObject" o:spid="_x0000_s102" type="#_x0000_t136" style="position: absolute;width: 648pt;height: 15pt;z-index: -251654144;mso-wrap-edited: f;top: 3600 ;mso-position-horizontal-relative: page;mso-position-vertical-relative: page;mso-position-vertical: left;mso-position-horizontal: center;rotation: -45" fillcolor="#E6E6E6" stroked="false">
          <v:textpath style="font-family:黑体;font-size:0.2pt" string="上海沃迈企业管理咨询有限公司 招聘专用        上海沃迈企业管理咨询有限公司 招聘专用        上海沃迈企业管理咨询有限公司 招聘专用        "/>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21376"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9A440B">
    <w:pPr>
      <w:pStyle w:val="a4"/>
    </w:pPr>
    <w:r>
      <w:pict w14:anchorId="21628C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83" type="#_x0000_t136" alt="" style="position:absolute;left:0;text-align:left;margin-left:-130pt;margin-top:905pt;width:110pt;height:11pt;rotation:334;z-index:-251687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78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77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76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5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4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3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2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695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684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674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664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654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643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33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23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13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02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592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582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572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561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551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541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531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520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510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500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490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480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469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459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449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439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428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418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408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398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387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377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367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357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346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336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326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316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305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295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285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275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264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254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244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23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22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embedSystemFonts/>
  <w:bordersDoNotSurroundHeader/>
  <w:bordersDoNotSurroundFooter/>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C71A1"/>
    <w:rsid w:val="000E650D"/>
    <w:rsid w:val="00110300"/>
    <w:rsid w:val="001178EF"/>
    <w:rsid w:val="0013298D"/>
    <w:rsid w:val="001670AF"/>
    <w:rsid w:val="00180660"/>
    <w:rsid w:val="00181FAF"/>
    <w:rsid w:val="001975B9"/>
    <w:rsid w:val="00200AC6"/>
    <w:rsid w:val="00206BAA"/>
    <w:rsid w:val="002153A3"/>
    <w:rsid w:val="002317C5"/>
    <w:rsid w:val="0023450F"/>
    <w:rsid w:val="002479E4"/>
    <w:rsid w:val="0029077E"/>
    <w:rsid w:val="002B2B4A"/>
    <w:rsid w:val="002B57BD"/>
    <w:rsid w:val="002B6FDE"/>
    <w:rsid w:val="002E7F31"/>
    <w:rsid w:val="002F11E6"/>
    <w:rsid w:val="00306AC0"/>
    <w:rsid w:val="00310A0E"/>
    <w:rsid w:val="00327364"/>
    <w:rsid w:val="00345749"/>
    <w:rsid w:val="00361741"/>
    <w:rsid w:val="00373DE2"/>
    <w:rsid w:val="003754AD"/>
    <w:rsid w:val="00386E79"/>
    <w:rsid w:val="00393D85"/>
    <w:rsid w:val="003A45F7"/>
    <w:rsid w:val="003A5525"/>
    <w:rsid w:val="003D12CF"/>
    <w:rsid w:val="003F3DF7"/>
    <w:rsid w:val="003F5258"/>
    <w:rsid w:val="004215C7"/>
    <w:rsid w:val="00446E08"/>
    <w:rsid w:val="00452A0C"/>
    <w:rsid w:val="004667D7"/>
    <w:rsid w:val="0047593B"/>
    <w:rsid w:val="004B72ED"/>
    <w:rsid w:val="004D01D9"/>
    <w:rsid w:val="004D59D9"/>
    <w:rsid w:val="004E2C86"/>
    <w:rsid w:val="0052206E"/>
    <w:rsid w:val="0052662D"/>
    <w:rsid w:val="005400F9"/>
    <w:rsid w:val="00575CEE"/>
    <w:rsid w:val="005766EE"/>
    <w:rsid w:val="005767C4"/>
    <w:rsid w:val="005C5233"/>
    <w:rsid w:val="005D0294"/>
    <w:rsid w:val="005E07C8"/>
    <w:rsid w:val="005E5FCD"/>
    <w:rsid w:val="005F25A1"/>
    <w:rsid w:val="0060219D"/>
    <w:rsid w:val="0062559B"/>
    <w:rsid w:val="006307F2"/>
    <w:rsid w:val="00645906"/>
    <w:rsid w:val="0066128F"/>
    <w:rsid w:val="00692324"/>
    <w:rsid w:val="006A619F"/>
    <w:rsid w:val="006F321A"/>
    <w:rsid w:val="00705D24"/>
    <w:rsid w:val="007370C7"/>
    <w:rsid w:val="0073796D"/>
    <w:rsid w:val="00745DC0"/>
    <w:rsid w:val="0079312F"/>
    <w:rsid w:val="007A22C0"/>
    <w:rsid w:val="007F72CE"/>
    <w:rsid w:val="007F7385"/>
    <w:rsid w:val="008129C5"/>
    <w:rsid w:val="00837284"/>
    <w:rsid w:val="008445B0"/>
    <w:rsid w:val="0085298C"/>
    <w:rsid w:val="008674AE"/>
    <w:rsid w:val="00882D60"/>
    <w:rsid w:val="00892DEC"/>
    <w:rsid w:val="00896FF3"/>
    <w:rsid w:val="008A470D"/>
    <w:rsid w:val="008C00BD"/>
    <w:rsid w:val="008D1932"/>
    <w:rsid w:val="00910033"/>
    <w:rsid w:val="009475EF"/>
    <w:rsid w:val="009A0C17"/>
    <w:rsid w:val="009A440B"/>
    <w:rsid w:val="009B1052"/>
    <w:rsid w:val="00A01C53"/>
    <w:rsid w:val="00A12B47"/>
    <w:rsid w:val="00A73A21"/>
    <w:rsid w:val="00A93B17"/>
    <w:rsid w:val="00AA4A39"/>
    <w:rsid w:val="00AD179E"/>
    <w:rsid w:val="00AD4D34"/>
    <w:rsid w:val="00B3457D"/>
    <w:rsid w:val="00B4113B"/>
    <w:rsid w:val="00B81CE4"/>
    <w:rsid w:val="00B91DA6"/>
    <w:rsid w:val="00BB2C82"/>
    <w:rsid w:val="00BC79AE"/>
    <w:rsid w:val="00BF0AFD"/>
    <w:rsid w:val="00C36A33"/>
    <w:rsid w:val="00C43044"/>
    <w:rsid w:val="00C60AD2"/>
    <w:rsid w:val="00C93CBD"/>
    <w:rsid w:val="00CC1C90"/>
    <w:rsid w:val="00CE27C5"/>
    <w:rsid w:val="00CF534E"/>
    <w:rsid w:val="00D030EC"/>
    <w:rsid w:val="00D068B2"/>
    <w:rsid w:val="00D21A76"/>
    <w:rsid w:val="00D35A28"/>
    <w:rsid w:val="00D42E02"/>
    <w:rsid w:val="00D70112"/>
    <w:rsid w:val="00D725A3"/>
    <w:rsid w:val="00D76EFE"/>
    <w:rsid w:val="00D85DAF"/>
    <w:rsid w:val="00D96293"/>
    <w:rsid w:val="00D96398"/>
    <w:rsid w:val="00DE6316"/>
    <w:rsid w:val="00E10010"/>
    <w:rsid w:val="00E776EF"/>
    <w:rsid w:val="00E82F4D"/>
    <w:rsid w:val="00EA413B"/>
    <w:rsid w:val="00EA7717"/>
    <w:rsid w:val="00EB772B"/>
    <w:rsid w:val="00EC2A2B"/>
    <w:rsid w:val="00EE38DB"/>
    <w:rsid w:val="00F04E61"/>
    <w:rsid w:val="00F22014"/>
    <w:rsid w:val="00F23193"/>
    <w:rsid w:val="00F245BC"/>
    <w:rsid w:val="00F27185"/>
    <w:rsid w:val="00F31634"/>
    <w:rsid w:val="00F31792"/>
    <w:rsid w:val="00F45EA0"/>
    <w:rsid w:val="00F46A46"/>
    <w:rsid w:val="00F52A47"/>
    <w:rsid w:val="00F63063"/>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 w:type="paragraph" w:styleId="HTML">
    <w:name w:val="HTML Preformatted"/>
    <w:basedOn w:val="a"/>
    <w:link w:val="HTML0"/>
    <w:uiPriority w:val="99"/>
    <w:unhideWhenUsed/>
    <w:rsid w:val="00D030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D030E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8234">
      <w:bodyDiv w:val="1"/>
      <w:marLeft w:val="0"/>
      <w:marRight w:val="0"/>
      <w:marTop w:val="0"/>
      <w:marBottom w:val="0"/>
      <w:divBdr>
        <w:top w:val="none" w:sz="0" w:space="0" w:color="auto"/>
        <w:left w:val="none" w:sz="0" w:space="0" w:color="auto"/>
        <w:bottom w:val="none" w:sz="0" w:space="0" w:color="auto"/>
        <w:right w:val="none" w:sz="0" w:space="0" w:color="auto"/>
      </w:divBdr>
    </w:div>
    <w:div w:id="382292923">
      <w:bodyDiv w:val="1"/>
      <w:marLeft w:val="0"/>
      <w:marRight w:val="0"/>
      <w:marTop w:val="0"/>
      <w:marBottom w:val="0"/>
      <w:divBdr>
        <w:top w:val="none" w:sz="0" w:space="0" w:color="auto"/>
        <w:left w:val="none" w:sz="0" w:space="0" w:color="auto"/>
        <w:bottom w:val="none" w:sz="0" w:space="0" w:color="auto"/>
        <w:right w:val="none" w:sz="0" w:space="0" w:color="auto"/>
      </w:divBdr>
    </w:div>
    <w:div w:id="1390878239">
      <w:bodyDiv w:val="1"/>
      <w:marLeft w:val="0"/>
      <w:marRight w:val="0"/>
      <w:marTop w:val="0"/>
      <w:marBottom w:val="0"/>
      <w:divBdr>
        <w:top w:val="none" w:sz="0" w:space="0" w:color="auto"/>
        <w:left w:val="none" w:sz="0" w:space="0" w:color="auto"/>
        <w:bottom w:val="none" w:sz="0" w:space="0" w:color="auto"/>
        <w:right w:val="none" w:sz="0" w:space="0" w:color="auto"/>
      </w:divBdr>
    </w:div>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 w:id="1629552966">
      <w:bodyDiv w:val="1"/>
      <w:marLeft w:val="0"/>
      <w:marRight w:val="0"/>
      <w:marTop w:val="0"/>
      <w:marBottom w:val="0"/>
      <w:divBdr>
        <w:top w:val="none" w:sz="0" w:space="0" w:color="auto"/>
        <w:left w:val="none" w:sz="0" w:space="0" w:color="auto"/>
        <w:bottom w:val="none" w:sz="0" w:space="0" w:color="auto"/>
        <w:right w:val="none" w:sz="0" w:space="0" w:color="auto"/>
      </w:divBdr>
      <w:divsChild>
        <w:div w:id="12296565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12" Target="media/image3.jpeg" Type="http://schemas.openxmlformats.org/officeDocument/2006/relationships/image"/><Relationship Id="rId13" Target="https://h.liepin.com/resume/common/dispatch?backUrl=https%3A%2F%2Fh.liepin.com%2Fresume%2Fshowresumedetail%3Fres_id_encode%3D6fdee9d584L61ae140c9d16%26sfrom%3DR_LOCALRES%26pgRef%3Dh_pc_out_res_source_page%253Ah_pc_pdf_res_chat_btn%2540%253A%253A" TargetMode="External" Type="http://schemas.openxmlformats.org/officeDocument/2006/relationships/hyperlink"/><Relationship Id="rId2" Target="../customXml/item2.xml" Type="http://schemas.openxmlformats.org/officeDocument/2006/relationships/customXml"/><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C90DB5E7-CC6D-4A34-AFD8-32FC88E7369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2022-10-31T10:48:00Z</dcterms:created>
  <dc:creator>LinboZhang</dc:creator>
  <cp:lastModifiedBy>c7263</cp:lastModifiedBy>
  <cp:lastPrinted>2021-12-31T21:46:00Z</cp:lastPrinted>
  <dcterms:modified xsi:type="dcterms:W3CDTF">2024-02-29T03:28:00Z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