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B2b商户业务概要设计文档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329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_Toc32351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名词解释</w:t>
          </w:r>
          <w:r>
            <w:tab/>
          </w:r>
          <w:r>
            <w:fldChar w:fldCharType="begin"/>
          </w:r>
          <w:r>
            <w:instrText xml:space="preserve"> PAGEREF _Toc32351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_Toc24099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主要业务</w:t>
          </w:r>
          <w:r>
            <w:tab/>
          </w:r>
          <w:r>
            <w:fldChar w:fldCharType="begin"/>
          </w:r>
          <w:r>
            <w:instrText xml:space="preserve"> PAGEREF _Toc24099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_Toc22830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主要数据流</w:t>
          </w:r>
          <w:r>
            <w:tab/>
          </w:r>
          <w:r>
            <w:fldChar w:fldCharType="begin"/>
          </w:r>
          <w:r>
            <w:instrText xml:space="preserve"> PAGEREF _Toc22830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_Toc16891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注册绑定：</w:t>
          </w:r>
          <w:r>
            <w:tab/>
          </w:r>
          <w:r>
            <w:fldChar w:fldCharType="begin"/>
          </w:r>
          <w:r>
            <w:instrText xml:space="preserve"> PAGEREF _Toc16891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_Toc16119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分享链接绑定：</w:t>
          </w:r>
          <w:r>
            <w:tab/>
          </w:r>
          <w:r>
            <w:fldChar w:fldCharType="begin"/>
          </w:r>
          <w:r>
            <w:instrText xml:space="preserve"> PAGEREF _Toc16119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_Toc4686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无感知绑定</w:t>
          </w:r>
          <w:r>
            <w:tab/>
          </w:r>
          <w:r>
            <w:fldChar w:fldCharType="begin"/>
          </w:r>
          <w:r>
            <w:instrText xml:space="preserve"> PAGEREF _Toc4686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_Toc10262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开发绑定</w:t>
          </w:r>
          <w:r>
            <w:tab/>
          </w:r>
          <w:r>
            <w:fldChar w:fldCharType="begin"/>
          </w:r>
          <w:r>
            <w:instrText xml:space="preserve"> PAGEREF _Toc10262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_Toc11081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商品上架：</w:t>
          </w:r>
          <w:r>
            <w:tab/>
          </w:r>
          <w:r>
            <w:fldChar w:fldCharType="begin"/>
          </w:r>
          <w:r>
            <w:instrText xml:space="preserve"> PAGEREF _Toc11081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_Toc14399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3.6. </w:t>
          </w:r>
          <w:r>
            <w:rPr>
              <w:rFonts w:hint="eastAsia"/>
              <w:lang w:val="en-US" w:eastAsia="zh-CN"/>
            </w:rPr>
            <w:t>商品下架：</w:t>
          </w:r>
          <w:r>
            <w:tab/>
          </w:r>
          <w:r>
            <w:fldChar w:fldCharType="begin"/>
          </w:r>
          <w:r>
            <w:instrText xml:space="preserve"> PAGEREF _Toc14399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_Toc24866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3.7. </w:t>
          </w:r>
          <w:r>
            <w:rPr>
              <w:rFonts w:hint="eastAsia"/>
              <w:lang w:val="en-US" w:eastAsia="zh-CN"/>
            </w:rPr>
            <w:t>采购订单：</w:t>
          </w:r>
          <w:r>
            <w:tab/>
          </w:r>
          <w:r>
            <w:fldChar w:fldCharType="begin"/>
          </w:r>
          <w:r>
            <w:instrText xml:space="preserve"> PAGEREF _Toc24866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_Toc31958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3.8. </w:t>
          </w:r>
          <w:r>
            <w:rPr>
              <w:rFonts w:hint="eastAsia"/>
              <w:lang w:val="en-US" w:eastAsia="zh-CN"/>
            </w:rPr>
            <w:t>进货入库：</w:t>
          </w:r>
          <w:r>
            <w:tab/>
          </w:r>
          <w:r>
            <w:fldChar w:fldCharType="begin"/>
          </w:r>
          <w:r>
            <w:instrText xml:space="preserve"> PAGEREF _Toc31958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_Toc5518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3.9. </w:t>
          </w:r>
          <w:r>
            <w:rPr>
              <w:rFonts w:hint="eastAsia"/>
              <w:lang w:val="en-US" w:eastAsia="zh-CN"/>
            </w:rPr>
            <w:t>代销进货：</w:t>
          </w:r>
          <w:r>
            <w:tab/>
          </w:r>
          <w:r>
            <w:fldChar w:fldCharType="begin"/>
          </w:r>
          <w:r>
            <w:instrText xml:space="preserve"> PAGEREF _Toc5518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_Toc15134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3.10. </w:t>
          </w:r>
          <w:r>
            <w:rPr>
              <w:rFonts w:hint="eastAsia"/>
              <w:lang w:val="en-US" w:eastAsia="zh-CN"/>
            </w:rPr>
            <w:t>调货进货：</w:t>
          </w:r>
          <w:r>
            <w:tab/>
          </w:r>
          <w:r>
            <w:fldChar w:fldCharType="begin"/>
          </w:r>
          <w:r>
            <w:instrText xml:space="preserve"> PAGEREF _Toc15134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_Toc8632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3.11. </w:t>
          </w:r>
          <w:r>
            <w:rPr>
              <w:rFonts w:hint="eastAsia"/>
              <w:lang w:val="en-US" w:eastAsia="zh-CN"/>
            </w:rPr>
            <w:t>调拨进货：</w:t>
          </w:r>
          <w:r>
            <w:tab/>
          </w:r>
          <w:r>
            <w:fldChar w:fldCharType="begin"/>
          </w:r>
          <w:r>
            <w:instrText xml:space="preserve"> PAGEREF _Toc8632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_Toc13497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实体关系图</w:t>
          </w:r>
          <w:r>
            <w:tab/>
          </w:r>
          <w:r>
            <w:fldChar w:fldCharType="begin"/>
          </w:r>
          <w:r>
            <w:instrText xml:space="preserve"> PAGEREF _Toc13497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outlineLvl w:val="0"/>
        <w:rPr>
          <w:rFonts w:hint="eastAsia"/>
          <w:lang w:val="en-US" w:eastAsia="zh-CN"/>
        </w:rPr>
      </w:pPr>
      <w:bookmarkStart w:id="0" w:name="_Toc32351"/>
      <w:r>
        <w:rPr>
          <w:rFonts w:hint="eastAsia"/>
          <w:lang w:val="en-US" w:eastAsia="zh-CN"/>
        </w:rPr>
        <w:t>名词解释</w:t>
      </w:r>
      <w:bookmarkEnd w:id="0"/>
    </w:p>
    <w:p>
      <w:pPr>
        <w:numPr>
          <w:ilvl w:val="1"/>
          <w:numId w:val="1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sn：商品唯一识别号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商品条码：识别商品种类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国代：国家级供货商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普通供货商：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调货：不同商户之间的商品转移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调拨：同一个商户之间的商品移库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代销：商户把自己的商品放在下级商户处，销售以后结算，可以退回。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热销商品：新品、调货价高于国代进货价、低于官方零售价、清库价高于进价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非热销：新款上市前1个月老型号，调货价低于国代进货价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滞销商品：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新品和老品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最新渠道价：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批发价：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客户：在平台注册或购买商品或有意向购买的顾客。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商户：在平台入驻开店的企业(提供营业执照)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开发：平台的软件研发，系统运维等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outlineLvl w:val="0"/>
        <w:rPr>
          <w:rFonts w:hint="eastAsia"/>
          <w:lang w:val="en-US" w:eastAsia="zh-CN"/>
        </w:rPr>
      </w:pPr>
      <w:bookmarkStart w:id="1" w:name="_Toc24099"/>
      <w:r>
        <w:rPr>
          <w:rFonts w:hint="eastAsia"/>
          <w:lang w:val="en-US" w:eastAsia="zh-CN"/>
        </w:rPr>
        <w:t>主要业务</w:t>
      </w:r>
      <w:bookmarkEnd w:id="1"/>
    </w:p>
    <w:p>
      <w:pPr>
        <w:numPr>
          <w:ilvl w:val="1"/>
          <w:numId w:val="1"/>
        </w:numPr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商户入驻：商户注册-&gt;提交营业执照-&gt;申请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商户认证：平台管理员-&gt;后台审核-&gt;通过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门店管理：商户设置门店-&gt;设置门店管理员-&gt;设置门店员工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仓库管理：商户设置仓库-&gt;设置仓库主管-&gt;设置仓库员工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商品管理：商户发布商品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进货出货：商户进货，要求支持扫码识别商品规格型号，sn唯一码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活动管理：设置满减、优惠、店庆等促销活动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物流管理：设置物流模板，首重，次重，免费区域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员工管理：员工加入审批，员工部门，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员工权限：员工权限设置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bookmarkStart w:id="2" w:name="_Toc22830"/>
      <w:r>
        <w:rPr>
          <w:rFonts w:hint="eastAsia"/>
          <w:lang w:val="en-US" w:eastAsia="zh-CN"/>
        </w:rPr>
        <w:t>主要数据流</w:t>
      </w:r>
      <w:bookmarkEnd w:id="2"/>
    </w:p>
    <w:p>
      <w:pPr>
        <w:pStyle w:val="6"/>
        <w:numPr>
          <w:ilvl w:val="1"/>
          <w:numId w:val="1"/>
        </w:numPr>
        <w:bidi w:val="0"/>
        <w:outlineLvl w:val="1"/>
        <w:rPr>
          <w:rFonts w:hint="eastAsia"/>
          <w:lang w:val="en-US" w:eastAsia="zh-CN"/>
        </w:rPr>
      </w:pPr>
      <w:bookmarkStart w:id="3" w:name="_Toc16891"/>
      <w:r>
        <w:rPr>
          <w:rFonts w:hint="eastAsia"/>
          <w:lang w:val="en-US" w:eastAsia="zh-CN"/>
        </w:rPr>
        <w:t>注册绑定：</w:t>
      </w:r>
      <w:bookmarkEnd w:id="3"/>
    </w:p>
    <w:p>
      <w:pPr>
        <w:numPr>
          <w:ilvl w:val="0"/>
          <w:numId w:val="0"/>
        </w:numPr>
        <w:ind w:left="397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381500" cy="3314700"/>
            <wp:effectExtent l="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1"/>
          <w:numId w:val="1"/>
        </w:numPr>
        <w:bidi w:val="0"/>
        <w:outlineLvl w:val="1"/>
        <w:rPr>
          <w:rFonts w:hint="eastAsia"/>
          <w:lang w:val="en-US" w:eastAsia="zh-CN"/>
        </w:rPr>
      </w:pPr>
      <w:bookmarkStart w:id="4" w:name="_Toc16119"/>
      <w:r>
        <w:rPr>
          <w:rFonts w:hint="eastAsia"/>
          <w:lang w:val="en-US" w:eastAsia="zh-CN"/>
        </w:rPr>
        <w:t>分享链接绑定：</w:t>
      </w:r>
      <w:bookmarkEnd w:id="4"/>
    </w:p>
    <w:p>
      <w:pPr>
        <w:bidi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备注：发起人可以是商户，营业员，客户</w:t>
      </w:r>
    </w:p>
    <w:p>
      <w:pPr>
        <w:numPr>
          <w:ilvl w:val="0"/>
          <w:numId w:val="0"/>
        </w:numPr>
        <w:ind w:left="397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467225" cy="3409950"/>
            <wp:effectExtent l="0" t="0" r="9525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6"/>
        <w:numPr>
          <w:ilvl w:val="1"/>
          <w:numId w:val="1"/>
        </w:numPr>
        <w:bidi w:val="0"/>
        <w:outlineLvl w:val="1"/>
        <w:rPr>
          <w:rFonts w:hint="eastAsia"/>
          <w:lang w:val="en-US" w:eastAsia="zh-CN"/>
        </w:rPr>
      </w:pPr>
      <w:bookmarkStart w:id="5" w:name="_Toc4686"/>
      <w:r>
        <w:rPr>
          <w:rFonts w:hint="eastAsia"/>
          <w:lang w:val="en-US" w:eastAsia="zh-CN"/>
        </w:rPr>
        <w:t>无感知绑定</w:t>
      </w:r>
      <w:bookmarkEnd w:id="5"/>
    </w:p>
    <w:p>
      <w:pPr>
        <w:numPr>
          <w:numId w:val="0"/>
        </w:numPr>
        <w:ind w:left="397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133975" cy="2847975"/>
            <wp:effectExtent l="0" t="0" r="9525" b="9525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5" w:name="_GoBack"/>
      <w:bookmarkEnd w:id="15"/>
    </w:p>
    <w:p>
      <w:pPr>
        <w:pStyle w:val="6"/>
        <w:numPr>
          <w:ilvl w:val="1"/>
          <w:numId w:val="1"/>
        </w:numPr>
        <w:bidi w:val="0"/>
        <w:outlineLvl w:val="1"/>
        <w:rPr>
          <w:rFonts w:hint="eastAsia"/>
          <w:lang w:val="en-US" w:eastAsia="zh-CN"/>
        </w:rPr>
      </w:pPr>
      <w:bookmarkStart w:id="6" w:name="_Toc10262"/>
      <w:r>
        <w:rPr>
          <w:rFonts w:hint="eastAsia"/>
          <w:lang w:val="en-US" w:eastAsia="zh-CN"/>
        </w:rPr>
        <w:t>开发绑定</w:t>
      </w:r>
      <w:bookmarkEnd w:id="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开发人员绑定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开发人员在开发文档里需要注释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编译之前扫描代码文件绑定模块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登录注册模块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商品管理模块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进销存模块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。。。。。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Java_张三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✔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✔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App_李四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✔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✔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Web_王五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✔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✔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✔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6"/>
        <w:numPr>
          <w:ilvl w:val="1"/>
          <w:numId w:val="1"/>
        </w:numPr>
        <w:bidi w:val="0"/>
        <w:outlineLvl w:val="1"/>
        <w:rPr>
          <w:rFonts w:hint="eastAsia"/>
          <w:lang w:val="en-US" w:eastAsia="zh-CN"/>
        </w:rPr>
      </w:pPr>
      <w:bookmarkStart w:id="7" w:name="_Toc11081"/>
      <w:r>
        <w:rPr>
          <w:rFonts w:hint="eastAsia"/>
          <w:lang w:val="en-US" w:eastAsia="zh-CN"/>
        </w:rPr>
        <w:t>商品上架：</w:t>
      </w:r>
      <w:bookmarkEnd w:id="7"/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438650" cy="3248025"/>
            <wp:effectExtent l="0" t="0" r="0" b="952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1"/>
          <w:numId w:val="1"/>
        </w:numPr>
        <w:bidi w:val="0"/>
        <w:outlineLvl w:val="1"/>
        <w:rPr>
          <w:rFonts w:hint="eastAsia"/>
          <w:lang w:val="en-US" w:eastAsia="zh-CN"/>
        </w:rPr>
      </w:pPr>
      <w:bookmarkStart w:id="8" w:name="_Toc14399"/>
      <w:r>
        <w:rPr>
          <w:rFonts w:hint="eastAsia"/>
          <w:lang w:val="en-US" w:eastAsia="zh-CN"/>
        </w:rPr>
        <w:t>商品下架：</w:t>
      </w:r>
      <w:bookmarkEnd w:id="8"/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514725" cy="3581400"/>
            <wp:effectExtent l="0" t="0" r="9525" b="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6"/>
        <w:numPr>
          <w:ilvl w:val="1"/>
          <w:numId w:val="1"/>
        </w:numPr>
        <w:bidi w:val="0"/>
        <w:outlineLvl w:val="1"/>
        <w:rPr>
          <w:rFonts w:hint="eastAsia"/>
          <w:lang w:val="en-US" w:eastAsia="zh-CN"/>
        </w:rPr>
      </w:pPr>
      <w:bookmarkStart w:id="9" w:name="_Toc24866"/>
      <w:r>
        <w:rPr>
          <w:rFonts w:hint="eastAsia"/>
          <w:lang w:val="en-US" w:eastAsia="zh-CN"/>
        </w:rPr>
        <w:t>采购订单：</w:t>
      </w:r>
      <w:bookmarkEnd w:id="9"/>
    </w:p>
    <w:p>
      <w:pPr>
        <w:numPr>
          <w:ilvl w:val="0"/>
          <w:numId w:val="0"/>
        </w:numPr>
        <w:ind w:left="397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95700" cy="34575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left" w:pos="3823"/>
        </w:tabs>
        <w:ind w:left="850" w:leftChars="0" w:hanging="453" w:firstLineChars="0"/>
        <w:outlineLvl w:val="1"/>
        <w:rPr>
          <w:rFonts w:hint="eastAsia"/>
          <w:lang w:val="en-US" w:eastAsia="zh-CN"/>
        </w:rPr>
      </w:pPr>
      <w:bookmarkStart w:id="10" w:name="_Toc31958"/>
      <w:r>
        <w:rPr>
          <w:rStyle w:val="15"/>
          <w:rFonts w:hint="eastAsia"/>
          <w:lang w:val="en-US" w:eastAsia="zh-CN"/>
        </w:rPr>
        <w:t>进货入库：</w:t>
      </w:r>
      <w:bookmarkEnd w:id="10"/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3823"/>
        </w:tabs>
        <w:ind w:left="397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590800" cy="240982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823"/>
        </w:tabs>
        <w:ind w:left="397" w:leftChars="0"/>
        <w:rPr>
          <w:rFonts w:hint="eastAsia"/>
          <w:lang w:val="en-US" w:eastAsia="zh-CN"/>
        </w:rPr>
      </w:pPr>
    </w:p>
    <w:p>
      <w:pPr>
        <w:pStyle w:val="6"/>
        <w:numPr>
          <w:ilvl w:val="1"/>
          <w:numId w:val="1"/>
        </w:numPr>
        <w:bidi w:val="0"/>
        <w:outlineLvl w:val="1"/>
        <w:rPr>
          <w:rFonts w:hint="default"/>
          <w:lang w:val="en-US" w:eastAsia="zh-CN"/>
        </w:rPr>
      </w:pPr>
      <w:bookmarkStart w:id="11" w:name="_Toc5518"/>
      <w:r>
        <w:rPr>
          <w:rFonts w:hint="eastAsia"/>
          <w:lang w:val="en-US" w:eastAsia="zh-CN"/>
        </w:rPr>
        <w:t>代销进货：</w:t>
      </w:r>
      <w:bookmarkEnd w:id="11"/>
    </w:p>
    <w:p>
      <w:pPr>
        <w:numPr>
          <w:ilvl w:val="0"/>
          <w:numId w:val="0"/>
        </w:numPr>
        <w:ind w:left="397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397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397"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0"/>
        </w:numPr>
        <w:ind w:left="397" w:leftChars="0"/>
        <w:rPr>
          <w:rFonts w:hint="default"/>
          <w:lang w:val="en-US" w:eastAsia="zh-CN"/>
        </w:rPr>
      </w:pPr>
    </w:p>
    <w:p>
      <w:pPr>
        <w:pStyle w:val="6"/>
        <w:numPr>
          <w:ilvl w:val="1"/>
          <w:numId w:val="1"/>
        </w:numPr>
        <w:bidi w:val="0"/>
        <w:outlineLvl w:val="1"/>
        <w:rPr>
          <w:rFonts w:hint="default"/>
          <w:lang w:val="en-US" w:eastAsia="zh-CN"/>
        </w:rPr>
      </w:pPr>
      <w:bookmarkStart w:id="12" w:name="_Toc15134"/>
      <w:r>
        <w:rPr>
          <w:rFonts w:hint="eastAsia"/>
          <w:lang w:val="en-US" w:eastAsia="zh-CN"/>
        </w:rPr>
        <w:t>调货进货：</w:t>
      </w:r>
      <w:bookmarkEnd w:id="12"/>
    </w:p>
    <w:p>
      <w:pPr>
        <w:tabs>
          <w:tab w:val="left" w:pos="793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4286250" cy="37147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6"/>
        <w:numPr>
          <w:ilvl w:val="1"/>
          <w:numId w:val="1"/>
        </w:numPr>
        <w:bidi w:val="0"/>
        <w:outlineLvl w:val="1"/>
        <w:rPr>
          <w:rFonts w:hint="default"/>
          <w:lang w:val="en-US" w:eastAsia="zh-CN"/>
        </w:rPr>
      </w:pPr>
      <w:bookmarkStart w:id="13" w:name="_Toc8632"/>
      <w:r>
        <w:rPr>
          <w:rFonts w:hint="eastAsia"/>
          <w:lang w:val="en-US" w:eastAsia="zh-CN"/>
        </w:rPr>
        <w:t>调拨进货：</w:t>
      </w:r>
      <w:bookmarkEnd w:id="13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62450" cy="406717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outlineLvl w:val="0"/>
        <w:rPr>
          <w:rFonts w:hint="default"/>
          <w:lang w:val="en-US" w:eastAsia="zh-CN"/>
        </w:rPr>
      </w:pPr>
      <w:bookmarkStart w:id="14" w:name="_Toc13497"/>
      <w:r>
        <w:rPr>
          <w:rFonts w:hint="eastAsia"/>
          <w:lang w:val="en-US" w:eastAsia="zh-CN"/>
        </w:rPr>
        <w:t>实体关系图</w:t>
      </w:r>
      <w:bookmarkEnd w:id="14"/>
    </w:p>
    <w:p>
      <w:r>
        <w:drawing>
          <wp:inline distT="0" distB="0" distL="114300" distR="114300">
            <wp:extent cx="3124200" cy="31623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3124200" cy="21812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91100" cy="4419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600325" cy="2047875"/>
            <wp:effectExtent l="0" t="0" r="9525" b="9525"/>
            <wp:docPr id="2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91050" cy="4591050"/>
            <wp:effectExtent l="0" t="0" r="0" b="0"/>
            <wp:docPr id="28" name="图片 28" descr="157285324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1572853241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2790825" cy="19812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71775" cy="19145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590800" cy="19335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81400" cy="19145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000500" cy="44862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F95CB0"/>
    <w:multiLevelType w:val="multilevel"/>
    <w:tmpl w:val="7FF95CB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2A1A35"/>
    <w:rsid w:val="01496612"/>
    <w:rsid w:val="01646D93"/>
    <w:rsid w:val="018F2121"/>
    <w:rsid w:val="01D66ECD"/>
    <w:rsid w:val="02346C08"/>
    <w:rsid w:val="02904F68"/>
    <w:rsid w:val="02CA0593"/>
    <w:rsid w:val="03EC74D1"/>
    <w:rsid w:val="043B2F68"/>
    <w:rsid w:val="053A63DD"/>
    <w:rsid w:val="05B90A65"/>
    <w:rsid w:val="06594DF2"/>
    <w:rsid w:val="066F64F1"/>
    <w:rsid w:val="06C54C83"/>
    <w:rsid w:val="070158B1"/>
    <w:rsid w:val="078258F9"/>
    <w:rsid w:val="07C46A7A"/>
    <w:rsid w:val="07DA1394"/>
    <w:rsid w:val="07DB3639"/>
    <w:rsid w:val="08A75B10"/>
    <w:rsid w:val="09D46E6B"/>
    <w:rsid w:val="0A1B4946"/>
    <w:rsid w:val="0A8042A8"/>
    <w:rsid w:val="0AAE57D0"/>
    <w:rsid w:val="0C332F6D"/>
    <w:rsid w:val="0C786D85"/>
    <w:rsid w:val="0CE825CC"/>
    <w:rsid w:val="0D253313"/>
    <w:rsid w:val="0D3B079E"/>
    <w:rsid w:val="0D4261AA"/>
    <w:rsid w:val="0D727A82"/>
    <w:rsid w:val="0D8F3700"/>
    <w:rsid w:val="0D940792"/>
    <w:rsid w:val="0DBD4A65"/>
    <w:rsid w:val="0FE42446"/>
    <w:rsid w:val="102A4A4F"/>
    <w:rsid w:val="103F753D"/>
    <w:rsid w:val="107E362A"/>
    <w:rsid w:val="10D81B8C"/>
    <w:rsid w:val="116A06CB"/>
    <w:rsid w:val="11780A57"/>
    <w:rsid w:val="12300979"/>
    <w:rsid w:val="12B36C5B"/>
    <w:rsid w:val="12E758DB"/>
    <w:rsid w:val="13062C2A"/>
    <w:rsid w:val="132E6C8B"/>
    <w:rsid w:val="1368198E"/>
    <w:rsid w:val="147B7C48"/>
    <w:rsid w:val="14C71C43"/>
    <w:rsid w:val="156937C8"/>
    <w:rsid w:val="165A2C6A"/>
    <w:rsid w:val="16AC7798"/>
    <w:rsid w:val="17105BF8"/>
    <w:rsid w:val="17896386"/>
    <w:rsid w:val="17A9425D"/>
    <w:rsid w:val="18FC0871"/>
    <w:rsid w:val="19362F1B"/>
    <w:rsid w:val="19F161F9"/>
    <w:rsid w:val="1A917525"/>
    <w:rsid w:val="1A9A61F3"/>
    <w:rsid w:val="1CFB5E57"/>
    <w:rsid w:val="1EED366D"/>
    <w:rsid w:val="1F0E3621"/>
    <w:rsid w:val="1F7044C4"/>
    <w:rsid w:val="20941029"/>
    <w:rsid w:val="2122638D"/>
    <w:rsid w:val="2150512C"/>
    <w:rsid w:val="21C03EB4"/>
    <w:rsid w:val="22631879"/>
    <w:rsid w:val="226E7449"/>
    <w:rsid w:val="23A4558F"/>
    <w:rsid w:val="23EB0268"/>
    <w:rsid w:val="24061712"/>
    <w:rsid w:val="2446497D"/>
    <w:rsid w:val="251C60CE"/>
    <w:rsid w:val="253A1FE5"/>
    <w:rsid w:val="26317EA0"/>
    <w:rsid w:val="26861A4A"/>
    <w:rsid w:val="268763AE"/>
    <w:rsid w:val="26C03946"/>
    <w:rsid w:val="27476B85"/>
    <w:rsid w:val="274D1FD5"/>
    <w:rsid w:val="2758783E"/>
    <w:rsid w:val="27CD4707"/>
    <w:rsid w:val="28510D65"/>
    <w:rsid w:val="28BC5AB2"/>
    <w:rsid w:val="28DC77FF"/>
    <w:rsid w:val="28E45169"/>
    <w:rsid w:val="29622A74"/>
    <w:rsid w:val="29C75FD0"/>
    <w:rsid w:val="29D409DF"/>
    <w:rsid w:val="2AF73522"/>
    <w:rsid w:val="2B650895"/>
    <w:rsid w:val="2BB135BE"/>
    <w:rsid w:val="2C4279A2"/>
    <w:rsid w:val="2C4D6CA2"/>
    <w:rsid w:val="2C785730"/>
    <w:rsid w:val="2CE85ECA"/>
    <w:rsid w:val="2DF117DD"/>
    <w:rsid w:val="2E2A1A35"/>
    <w:rsid w:val="2F1D3016"/>
    <w:rsid w:val="2FB51768"/>
    <w:rsid w:val="320B4799"/>
    <w:rsid w:val="331E6C89"/>
    <w:rsid w:val="34E97C26"/>
    <w:rsid w:val="352D0953"/>
    <w:rsid w:val="359368A8"/>
    <w:rsid w:val="35BB63A5"/>
    <w:rsid w:val="35E864E3"/>
    <w:rsid w:val="36BC0D67"/>
    <w:rsid w:val="373311D7"/>
    <w:rsid w:val="375B0E55"/>
    <w:rsid w:val="38150E8B"/>
    <w:rsid w:val="386B19C9"/>
    <w:rsid w:val="388D029B"/>
    <w:rsid w:val="38BC57CD"/>
    <w:rsid w:val="398310E6"/>
    <w:rsid w:val="3A402470"/>
    <w:rsid w:val="3A514643"/>
    <w:rsid w:val="3B5F08E9"/>
    <w:rsid w:val="3BB94DA5"/>
    <w:rsid w:val="3C281455"/>
    <w:rsid w:val="3E922D3A"/>
    <w:rsid w:val="3FA00C9E"/>
    <w:rsid w:val="40C31A6C"/>
    <w:rsid w:val="41465E56"/>
    <w:rsid w:val="425A395C"/>
    <w:rsid w:val="42B56039"/>
    <w:rsid w:val="42B636BE"/>
    <w:rsid w:val="42F7156F"/>
    <w:rsid w:val="431B3C75"/>
    <w:rsid w:val="43E87455"/>
    <w:rsid w:val="443218B0"/>
    <w:rsid w:val="450B01BF"/>
    <w:rsid w:val="46463305"/>
    <w:rsid w:val="48183AEC"/>
    <w:rsid w:val="48C430B7"/>
    <w:rsid w:val="4A42195D"/>
    <w:rsid w:val="4A8B0A33"/>
    <w:rsid w:val="4AA11182"/>
    <w:rsid w:val="4B152ACC"/>
    <w:rsid w:val="4B3258DD"/>
    <w:rsid w:val="4B603B69"/>
    <w:rsid w:val="4B657127"/>
    <w:rsid w:val="4DBE734A"/>
    <w:rsid w:val="50592DF1"/>
    <w:rsid w:val="50817F58"/>
    <w:rsid w:val="515B45EF"/>
    <w:rsid w:val="51DB5779"/>
    <w:rsid w:val="53065500"/>
    <w:rsid w:val="537A4EFD"/>
    <w:rsid w:val="53E83490"/>
    <w:rsid w:val="54AD123D"/>
    <w:rsid w:val="55CB2E09"/>
    <w:rsid w:val="55E94EC8"/>
    <w:rsid w:val="56D55FB3"/>
    <w:rsid w:val="57102C23"/>
    <w:rsid w:val="57355C9E"/>
    <w:rsid w:val="575D3E11"/>
    <w:rsid w:val="58195E39"/>
    <w:rsid w:val="5895178B"/>
    <w:rsid w:val="59D40F71"/>
    <w:rsid w:val="5ABA42C5"/>
    <w:rsid w:val="5BC34DE2"/>
    <w:rsid w:val="5D797900"/>
    <w:rsid w:val="5E50276A"/>
    <w:rsid w:val="5F0246BA"/>
    <w:rsid w:val="5F741EEB"/>
    <w:rsid w:val="5FE80D4B"/>
    <w:rsid w:val="5FF57264"/>
    <w:rsid w:val="605F3D8E"/>
    <w:rsid w:val="60854F56"/>
    <w:rsid w:val="60AA182C"/>
    <w:rsid w:val="61B22181"/>
    <w:rsid w:val="62514A62"/>
    <w:rsid w:val="62932FB5"/>
    <w:rsid w:val="630D2FE7"/>
    <w:rsid w:val="64D234E8"/>
    <w:rsid w:val="65B31429"/>
    <w:rsid w:val="6707500D"/>
    <w:rsid w:val="68905864"/>
    <w:rsid w:val="692670D7"/>
    <w:rsid w:val="6B897C37"/>
    <w:rsid w:val="6D90406D"/>
    <w:rsid w:val="6D993EFB"/>
    <w:rsid w:val="6F0D0CEC"/>
    <w:rsid w:val="6F8149D3"/>
    <w:rsid w:val="702C5144"/>
    <w:rsid w:val="70843556"/>
    <w:rsid w:val="72B92585"/>
    <w:rsid w:val="73FE6A49"/>
    <w:rsid w:val="74285D1B"/>
    <w:rsid w:val="74CA3A73"/>
    <w:rsid w:val="75C22427"/>
    <w:rsid w:val="75C804CF"/>
    <w:rsid w:val="7638210A"/>
    <w:rsid w:val="76683E40"/>
    <w:rsid w:val="774D5FDD"/>
    <w:rsid w:val="77921316"/>
    <w:rsid w:val="779B140A"/>
    <w:rsid w:val="77F3550A"/>
    <w:rsid w:val="7A4C2D17"/>
    <w:rsid w:val="7B5F3F6C"/>
    <w:rsid w:val="7D72394A"/>
    <w:rsid w:val="7DCA4FA5"/>
    <w:rsid w:val="7DED7160"/>
    <w:rsid w:val="7E84632A"/>
    <w:rsid w:val="7FCB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6">
    <w:name w:val="heading 7"/>
    <w:basedOn w:val="1"/>
    <w:next w:val="1"/>
    <w:link w:val="15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1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3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4">
    <w:name w:val="WPSOffice手动目录 3"/>
    <w:uiPriority w:val="0"/>
    <w:pPr>
      <w:ind w:leftChars="400"/>
    </w:pPr>
    <w:rPr>
      <w:sz w:val="20"/>
      <w:szCs w:val="20"/>
    </w:rPr>
  </w:style>
  <w:style w:type="character" w:customStyle="1" w:styleId="15">
    <w:name w:val="标题 7 Char"/>
    <w:link w:val="6"/>
    <w:uiPriority w:val="0"/>
    <w:rPr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2019-11-02T02:00:00Z</dcterms:created>
  <dc:creator>Administrator</dc:creator>
  <cp:lastModifiedBy>Administrator</cp:lastModifiedBy>
  <dcterms:modified xsi:type="dcterms:W3CDTF">2019-11-05T07:19:35Z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