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思源黑体" w:ascii="Times New Roman" w:hAnsi="Times New Roman" w:cs="Times New Roman"/>
          <w:sz w:val="52"/>
          <w:szCs w:val="52"/>
          <w:b/>
          <w:bCs/>
        </w:rPr>
        <w:t>QYH-GD300 无线局放监测</w:t>
      </w:r>
      <w:r>
        <w:rPr>
          <w:rFonts w:eastAsia="思源黑体" w:ascii="Times New Roman" w:hAnsi="Times New Roman" w:cs="Times New Roman"/>
          <w:sz w:val="52"/>
          <w:szCs w:val="52"/>
          <w:b/>
          <w:bCs/>
        </w:rPr>
        <w:t>上位机软件设计文档</w:t>
      </w:r>
    </w:p>
    <w:p>
      <w:pPr>
        <w:jc w:val="center"/>
      </w:pPr>
      <w:r>
        <w:rPr>
          <w:rFonts w:eastAsia="思源黑体" w:ascii="Times New Roman" w:hAnsi="Times New Roman" w:cs="Times New Roman"/>
          <w:sz w:val="24"/>
          <w:szCs w:val="24"/>
        </w:rPr>
        <w:t>Software Design Specification  ·  LoRa 无线款</w:t>
      </w:r>
    </w:p>
    <w:p/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6626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项目</w:t>
            </w:r>
          </w:p>
        </w:tc>
        <w:tc>
          <w:tcPr>
            <w:tcW w:type="dxa" w:w="66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内容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文档名称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QYH-GD300 无线局放监测上位机软件设计文档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适用产品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QYH-GD300 局部放电故障定位仪（LoRa 无线款）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文档版本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V1.0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编制日期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2026-09-30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文档状态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评审稿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适用范围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研发部、嵌入式组、上位机组、测试组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目录</w:t>
      </w:r>
    </w:p>
    <w:p>
      <w:r>
        <w:fldChar w:fldCharType="begin"/>
        <w:instrText xml:space="preserve"> TOC \o "1-2" \h \z </w:instrText>
        <w:fldChar w:fldCharType="separate"/>
        <w:t>打开文档时按 F9 或右键“更新域”以刷新目录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1  概述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1.1  文档目的</w:t>
      </w:r>
    </w:p>
    <w:p>
      <w:r>
        <w:rPr>
          <w:rFonts w:eastAsia="思源黑体" w:ascii="Times New Roman" w:hAnsi="Times New Roman" w:cs="Times New Roman"/>
        </w:rPr>
        <w:t>本文档定义 QYH-GD300 局部放电故障定位仪无线款的电脑端上位机软件设计方案，涵盖系统架构、无线通信协议、软件分层、数据模型、功能规格、界面规范、技术选型与开发计划。本文档是上位机组、嵌入式组、测试组三方协同开发的唯一基准，协议部分一经评审通过，双方须严格按帧格式并行开发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1.2  适用范围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适用于 QYH-GD300 无线款配套上位机软件的设计、开发、测试与验收。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适用于接收端网关固件与上位机之间的接口约定。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适用于后续多型号局放监测产品的软件架构复用。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1.3  术语与缩略语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7226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术语</w:t>
            </w:r>
          </w:p>
        </w:tc>
        <w:tc>
          <w:tcPr>
            <w:tcW w:type="dxa" w:w="7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全称 / 说明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AE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Acoustic Emission，声发射。本文指压电陶瓷传感器采集的超声波局放信号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UHF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Ultra High Frequency，特高频（300MHz–3GHz）局放检测法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TEV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Transient Earth Voltage，暂态地电压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PRPD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Phase Resolved Partial Discharge，相位分辨局放谱图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LoRa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Long Range，Semtech 长距离扩频调制技术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SF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Spreading Factor，扩频因子，取值 7–12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BW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Bandwidth，调制带宽，常用 125 / 250 / 500 kHz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CAD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Channel Activity Detection，信道活动检测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TDOA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Time Difference of Arrival，到达时间差定位法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RSSI / SNR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接收信号强度指示 / 信噪比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ERP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Effective Radiated Power，有效辐射功率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节点 / 从站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现场安装的 QYH-GD300 检测仪本体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网关 / 接收端</w:t>
            </w:r>
          </w:p>
        </w:tc>
        <w:tc>
          <w:tcPr>
            <w:tcW w:type="dxa" w:w="7226"/>
          </w:tcPr>
          <w:p>
            <w:r>
              <w:rPr>
                <w:rFonts w:eastAsia="思源黑体" w:ascii="Times New Roman" w:hAnsi="Times New Roman" w:cs="Times New Roman"/>
              </w:rPr>
              <w:t>汇聚 LoRa 数据并通过 USB 或以太网接入电脑的接收设备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1.4  被测对象与测量原理边界</w:t>
      </w:r>
    </w:p>
    <w:p>
      <w:r>
        <w:rPr>
          <w:rFonts w:eastAsia="思源黑体" w:ascii="Times New Roman" w:hAnsi="Times New Roman" w:cs="Times New Roman"/>
        </w:rPr>
        <w:t>QYH-GD300 采用压电陶瓷传感器采集局部放电产生的声波信号，超限即报警。该原理决定了上位机软件的能力边界，必须在设计阶段明确，避免功能设计走偏。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能力边界判定：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000"/>
        <w:gridCol w:w="1200"/>
        <w:gridCol w:w="5826"/>
      </w:tblGrid>
      <w:tr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能力</w:t>
            </w:r>
          </w:p>
        </w:tc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是否支持</w:t>
            </w:r>
          </w:p>
        </w:tc>
        <w:tc>
          <w:tcPr>
            <w:tcW w:type="dxa" w:w="5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判定依据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PRPD / PRPS 相位谱图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不支持</w:t>
            </w:r>
          </w:p>
        </w:tc>
        <w:tc>
          <w:tcPr>
            <w:tcW w:type="dxa" w:w="5826"/>
          </w:tcPr>
          <w:p>
            <w:r>
              <w:rPr>
                <w:rFonts w:eastAsia="思源黑体" w:ascii="Times New Roman" w:hAnsi="Times New Roman" w:cs="Times New Roman"/>
              </w:rPr>
              <w:t>声波传播速度低（油中约 1400 m/s，空气中约 340 m/s），无法作为零时刻基准对工频相位精确同步；且 LoRa 信道无法承载构成谱图所需的密集事件流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声强趋势监测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支持</w:t>
            </w:r>
          </w:p>
        </w:tc>
        <w:tc>
          <w:tcPr>
            <w:tcW w:type="dxa" w:w="5826"/>
          </w:tcPr>
          <w:p>
            <w:r>
              <w:rPr>
                <w:rFonts w:eastAsia="思源黑体" w:ascii="Times New Roman" w:hAnsi="Times New Roman" w:cs="Times New Roman"/>
              </w:rPr>
              <w:t>每路 AE 信号强度随时间变化，用于观察绝缘劣化趋势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超阈值分级报警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支持</w:t>
            </w:r>
          </w:p>
        </w:tc>
        <w:tc>
          <w:tcPr>
            <w:tcW w:type="dxa" w:w="5826"/>
          </w:tcPr>
          <w:p>
            <w:r>
              <w:rPr>
                <w:rFonts w:eastAsia="思源黑体" w:ascii="Times New Roman" w:hAnsi="Times New Roman" w:cs="Times New Roman"/>
              </w:rPr>
              <w:t>设备原生能力，上位机负责分级、去抖、记录与追溯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多点强度对比粗定位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支持</w:t>
            </w:r>
          </w:p>
        </w:tc>
        <w:tc>
          <w:tcPr>
            <w:tcW w:type="dxa" w:w="5826"/>
          </w:tcPr>
          <w:p>
            <w:r>
              <w:rPr>
                <w:rFonts w:eastAsia="思源黑体" w:ascii="Times New Roman" w:hAnsi="Times New Roman" w:cs="Times New Roman"/>
              </w:rPr>
              <w:t>AE 天然优势：多点部署比较各路强度，最强路最接近放电源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长期劣化预警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支持</w:t>
            </w:r>
          </w:p>
        </w:tc>
        <w:tc>
          <w:tcPr>
            <w:tcW w:type="dxa" w:w="5826"/>
          </w:tcPr>
          <w:p>
            <w:r>
              <w:rPr>
                <w:rFonts w:eastAsia="思源黑体" w:ascii="Times New Roman" w:hAnsi="Times New Roman" w:cs="Times New Roman"/>
              </w:rPr>
              <w:t>基于噪声基线与峰值强度的长期演变趋势</w:t>
            </w:r>
          </w:p>
        </w:tc>
      </w:tr>
    </w:tbl>
    <w:p>
      <w:r>
        <w:rPr>
          <w:rFonts w:eastAsia="思源黑体" w:ascii="Times New Roman" w:hAnsi="Times New Roman" w:cs="Times New Roman"/>
        </w:rPr>
        <w:t>结论：本上位机的产品定位是分布式声学监测网络软件，而非 PRPD 谱图分析仪。核心叙事为「多路声强监测 + 分级报警 + 强度对比定位」。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2  系统总体设计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2.1  系统拓扑</w:t>
      </w:r>
    </w:p>
    <w:p>
      <w:pPr>
        <w:spacing w:after="120"/>
      </w:pPr>
      <w:r>
        <w:rPr>
          <w:rFonts w:eastAsia="WenQuanYi Micro Hei" w:ascii="Consolas" w:hAnsi="Consolas" w:cs="Consolas"/>
          <w:sz w:val="18"/>
          <w:szCs w:val="18"/>
        </w:rPr>
        <w:t xml:space="preserve">   ┌──────────┐  ┌──────────┐  ┌──────────┐         ┌──────────┐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│ 节点 #1  │  │ 节点 #2  │  │ 节点 #N  │  ...    │ 节点 #N  │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│ QYH-GD300│  │ QYH-GD300│  │ QYH-GD300│         │ QYH-GD300│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│ AE传感器 │  │ AE传感器 │  │ AE传感器 │         │ AE传感器 │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└────┬─────┘  └────┬─────┘  └────┬─────┘         └────┬─────┘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│             │             │                    │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└─────────────┴─────────────┴────────────────────┘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              LoRa 无线（470–510 MHz）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                    │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             ┌──────┴───────┐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             │  接收端网关   │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             │ LoRa + MCU   │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             │ 本地缓存     │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             └──────┬───────┘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         USB CDC / 以太网 TCP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                    │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             ┌──────┴───────┐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             │  上位机软件   │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             │ 电脑端运行   │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                └──────────────┘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2.2  软件分层架构</w:t>
      </w:r>
    </w:p>
    <w:p>
      <w:pPr>
        <w:spacing w:after="120"/>
      </w:pPr>
      <w:r>
        <w:rPr>
          <w:rFonts w:eastAsia="WenQuanYi Micro Hei" w:ascii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┌──────────────────────────────────────────────────────┐</w:t>
        <w:br/>
      </w:r>
      <w:r>
        <w:rPr>
          <w:rFonts w:eastAsia="WenQuanYi Micro Hei" w:ascii="Consolas" w:hAnsi="Consolas" w:cs="Consolas"/>
          <w:sz w:val="18"/>
          <w:szCs w:val="18"/>
        </w:rPr>
        <w:t>│ ⑦ 展示层  表格 / 曲线 / 布点图 / 报警窗 / 设置面板     │  30–60 fps</w:t>
        <w:br/>
      </w:r>
      <w:r>
        <w:rPr>
          <w:rFonts w:eastAsia="WenQuanYi Micro Hei" w:ascii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├──────────────────────────────────────────────────────┤</w:t>
        <w:br/>
      </w:r>
      <w:r>
        <w:rPr>
          <w:rFonts w:eastAsia="WenQuanYi Micro Hei" w:ascii="Consolas" w:hAnsi="Consolas" w:cs="Consolas"/>
          <w:sz w:val="18"/>
          <w:szCs w:val="18"/>
        </w:rPr>
        <w:t>│ ⑥ 业务层  报警判级、去抖、趋势计算、定位推定          │</w:t>
        <w:br/>
      </w:r>
      <w:r>
        <w:rPr>
          <w:rFonts w:eastAsia="WenQuanYi Micro Hei" w:ascii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├──────────────────────────────────────────────────────┤</w:t>
        <w:br/>
      </w:r>
      <w:r>
        <w:rPr>
          <w:rFonts w:eastAsia="WenQuanYi Micro Hei" w:ascii="Consolas" w:hAnsi="Consolas" w:cs="Consolas"/>
          <w:sz w:val="18"/>
          <w:szCs w:val="18"/>
        </w:rPr>
        <w:t>│ ⑤ 数据层  环形缓冲（实时）+ SQLite（持久化）          │</w:t>
        <w:br/>
      </w:r>
      <w:r>
        <w:rPr>
          <w:rFonts w:eastAsia="WenQuanYi Micro Hei" w:ascii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├──────────────────────────────────────────────────────┤</w:t>
        <w:br/>
      </w:r>
      <w:r>
        <w:rPr>
          <w:rFonts w:eastAsia="WenQuanYi Micro Hei" w:ascii="Consolas" w:hAnsi="Consolas" w:cs="Consolas"/>
          <w:sz w:val="18"/>
          <w:szCs w:val="18"/>
        </w:rPr>
        <w:t>│ ④ 节点层  注册表、在线状态、心跳超时、链路质量        │</w:t>
        <w:br/>
      </w:r>
      <w:r>
        <w:rPr>
          <w:rFonts w:eastAsia="WenQuanYi Micro Hei" w:ascii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├──────────────────────────────────────────────────────┤</w:t>
        <w:br/>
      </w:r>
      <w:r>
        <w:rPr>
          <w:rFonts w:eastAsia="WenQuanYi Micro Hei" w:ascii="Consolas" w:hAnsi="Consolas" w:cs="Consolas"/>
          <w:sz w:val="18"/>
          <w:szCs w:val="18"/>
        </w:rPr>
        <w:t>│ ③ 协议层  帧解析 / 封装、命令队列、超时重发、补传     │</w:t>
        <w:br/>
      </w:r>
      <w:r>
        <w:rPr>
          <w:rFonts w:eastAsia="WenQuanYi Micro Hei" w:ascii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├──────────────────────────────────────────────────────┤</w:t>
        <w:br/>
      </w:r>
      <w:r>
        <w:rPr>
          <w:rFonts w:eastAsia="WenQuanYi Micro Hei" w:ascii="Consolas" w:hAnsi="Consolas" w:cs="Consolas"/>
          <w:sz w:val="18"/>
          <w:szCs w:val="18"/>
        </w:rPr>
        <w:t>│ ② 通信层  串口 / TCP 收发、帧同步、CRC 校验           │  独立线程</w:t>
        <w:br/>
      </w:r>
      <w:r>
        <w:rPr>
          <w:rFonts w:eastAsia="WenQuanYi Micro Hei" w:ascii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硬性约束：通信层必须运行在独立线程，UI 线程仅消费数据，不得直接进行任何 I/O 操作。这是上位机长时间运行不卡顿的第一原则。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2.3  与接收端的职责划分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3200"/>
        <w:gridCol w:w="2913"/>
        <w:gridCol w:w="2913"/>
      </w:tblGrid>
      <w:tr>
        <w:tc>
          <w:tcPr>
            <w:tcW w:type="dxa" w:w="3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职责</w:t>
            </w:r>
          </w:p>
        </w:tc>
        <w:tc>
          <w:tcPr>
            <w:tcW w:type="dxa" w:w="2913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接收端网关</w:t>
            </w:r>
          </w:p>
        </w:tc>
        <w:tc>
          <w:tcPr>
            <w:tcW w:type="dxa" w:w="2913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上位机软件</w:t>
            </w:r>
          </w:p>
        </w:tc>
      </w:tr>
      <w:tr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LoRa 空口收发、CAD 退避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负责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不参与</w:t>
            </w:r>
          </w:p>
        </w:tc>
      </w:tr>
      <w:tr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轮询调度（一问一答）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负责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下发轮询表与周期</w:t>
            </w:r>
          </w:p>
        </w:tc>
      </w:tr>
      <w:tr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原始帧缓存（断连期间）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负责（必做）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恢复后发起补传</w:t>
            </w:r>
          </w:p>
        </w:tc>
      </w:tr>
      <w:tr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帧解析、报警判级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不参与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负责</w:t>
            </w:r>
          </w:p>
        </w:tc>
      </w:tr>
      <w:tr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历史存储、趋势分析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不参与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负责</w:t>
            </w:r>
          </w:p>
        </w:tc>
      </w:tr>
      <w:tr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参数配置持久化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保存运行参数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保存工程配置并可下发</w:t>
            </w:r>
          </w:p>
        </w:tc>
      </w:tr>
      <w:tr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节点时钟校准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接受校时</w:t>
            </w:r>
          </w:p>
        </w:tc>
        <w:tc>
          <w:tcPr>
            <w:tcW w:type="dxa" w:w="2913"/>
          </w:tcPr>
          <w:p>
            <w:r>
              <w:rPr>
                <w:rFonts w:eastAsia="思源黑体" w:ascii="Times New Roman" w:hAnsi="Times New Roman" w:cs="Times New Roman"/>
              </w:rPr>
              <w:t>定期广播 UTC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3  通信链路与协议设计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3.1  LoRa 空口约束</w:t>
      </w:r>
    </w:p>
    <w:p>
      <w:r>
        <w:rPr>
          <w:rFonts w:eastAsia="思源黑体" w:ascii="Times New Roman" w:hAnsi="Times New Roman" w:cs="Times New Roman"/>
        </w:rPr>
        <w:t>LoRa 不是「无线串口」，其带宽远低于常规认知。全部协议设计必须建立在下列硬约束之上。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3.1.1  速率与空中时间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2200"/>
        <w:gridCol w:w="2600"/>
        <w:gridCol w:w="1826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SF / BW125kHz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速率 (bps)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13 字节空中时间</w:t>
            </w:r>
          </w:p>
        </w:tc>
        <w:tc>
          <w:tcPr>
            <w:tcW w:type="dxa" w:w="1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相对倍数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SF7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5470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约 46 ms</w:t>
            </w:r>
          </w:p>
        </w:tc>
        <w:tc>
          <w:tcPr>
            <w:tcW w:type="dxa" w:w="1826"/>
          </w:tcPr>
          <w:p>
            <w:r>
              <w:rPr>
                <w:rFonts w:eastAsia="思源黑体" w:ascii="Times New Roman" w:hAnsi="Times New Roman" w:cs="Times New Roman"/>
              </w:rPr>
              <w:t>1×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SF8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3125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—</w:t>
            </w:r>
          </w:p>
        </w:tc>
        <w:tc>
          <w:tcPr>
            <w:tcW w:type="dxa" w:w="1826"/>
          </w:tcPr>
          <w:p>
            <w:r>
              <w:rPr>
                <w:rFonts w:eastAsia="思源黑体" w:ascii="Times New Roman" w:hAnsi="Times New Roman" w:cs="Times New Roman"/>
              </w:rPr>
              <w:t>—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SF9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1760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—</w:t>
            </w:r>
          </w:p>
        </w:tc>
        <w:tc>
          <w:tcPr>
            <w:tcW w:type="dxa" w:w="1826"/>
          </w:tcPr>
          <w:p>
            <w:r>
              <w:rPr>
                <w:rFonts w:eastAsia="思源黑体" w:ascii="Times New Roman" w:hAnsi="Times New Roman" w:cs="Times New Roman"/>
              </w:rPr>
              <w:t>—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SF10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980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约 400 ms（50 字节）</w:t>
            </w:r>
          </w:p>
        </w:tc>
        <w:tc>
          <w:tcPr>
            <w:tcW w:type="dxa" w:w="1826"/>
          </w:tcPr>
          <w:p>
            <w:r>
              <w:rPr>
                <w:rFonts w:eastAsia="思源黑体" w:ascii="Times New Roman" w:hAnsi="Times New Roman" w:cs="Times New Roman"/>
              </w:rPr>
              <w:t>约 9×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SF12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293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约 1155 ms</w:t>
            </w:r>
          </w:p>
        </w:tc>
        <w:tc>
          <w:tcPr>
            <w:tcW w:type="dxa" w:w="1826"/>
          </w:tcPr>
          <w:p>
            <w:r>
              <w:rPr>
                <w:rFonts w:eastAsia="思源黑体" w:ascii="Times New Roman" w:hAnsi="Times New Roman" w:cs="Times New Roman"/>
              </w:rPr>
              <w:t>约 25×</w:t>
            </w:r>
          </w:p>
        </w:tc>
      </w:tr>
    </w:tbl>
    <w:p>
      <w:pPr>
        <w:pStyle w:val="Heading3"/>
      </w:pPr>
      <w:r>
        <w:rPr>
          <w:rFonts w:eastAsia="思源黑体" w:ascii="Times New Roman" w:hAnsi="Times New Roman" w:cs="Times New Roman"/>
        </w:rPr>
        <w:t>3.1.2  法规红线（CN470）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2600"/>
        <w:gridCol w:w="42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约束项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限值</w:t>
            </w:r>
          </w:p>
        </w:tc>
        <w:tc>
          <w:tcPr>
            <w:tcW w:type="dxa" w:w="4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工程含义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使用频率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470–510 MHz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仅此一段，CN779–787 不开放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发射功率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≤ 50 mW e.r.p（≈17 dBm）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禁止加装功放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单次发射持续时间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≤ 1 秒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关键红线，SF12 + 大包极易超限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占用带宽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≤ 500 kHz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125 / 250 kHz 均合规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干扰规避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须具备发射前搜寻（CAD/LBT）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不可被用户关闭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组网范围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限建筑楼宇、小区、村庄等小范围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不适用于广域大网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推论：以 105 字节载荷为例，在 BW125 下仅 SF7–SF9 可满足「单次发射 &lt; 1 秒」。本项目单帧控制在 24–25 字节，SF7 下空中时间约 60–70 ms，余量充足。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3.1.3  默认空口参数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2600"/>
        <w:gridCol w:w="4026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参数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默认值</w:t>
            </w:r>
          </w:p>
        </w:tc>
        <w:tc>
          <w:tcPr>
            <w:tcW w:type="dxa" w:w="40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频段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470–510 MHz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按现场电磁环境选定具体频点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扩频因子 SF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7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现场实测后可上调至 SF9/SF10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带宽 BW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125 kHz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兼容性最好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编码率 CR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4/5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抗干扰与开销折中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发射功率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17 dBm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法规上限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单帧长度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≤ 50 字节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推荐 24–25 字节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3.2  组网与介质访问策略</w:t>
      </w:r>
    </w:p>
    <w:p>
      <w:r>
        <w:rPr>
          <w:rFonts w:eastAsia="思源黑体" w:ascii="Times New Roman" w:hAnsi="Times New Roman" w:cs="Times New Roman"/>
        </w:rPr>
        <w:t>多节点各自随机上报必然产生空中碰撞。采用混合策略：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2600"/>
        <w:gridCol w:w="42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场景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机制</w:t>
            </w:r>
          </w:p>
        </w:tc>
        <w:tc>
          <w:tcPr>
            <w:tcW w:type="dxa" w:w="4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常规周期上报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网关轮询（一问一答）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零碰撞、时序确定；代价为实时性下降，本场景分钟级足够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报警主动上报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CAD 检测 + 随机退避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发前先做信道活动检测，忙则随机退避 50–200 ms 再发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节点数 &gt; 50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时隙分配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每节点固定时隙，需时间同步，效率高但实现复杂</w:t>
            </w:r>
          </w:p>
        </w:tc>
      </w:tr>
    </w:tbl>
    <w:p>
      <w:r>
        <w:rPr>
          <w:rFonts w:eastAsia="思源黑体" w:ascii="Times New Roman" w:hAnsi="Times New Roman" w:cs="Times New Roman"/>
        </w:rPr>
        <w:t>容量核算：50 个节点、每 10 分钟上报一轮、每帧 30 字节，SF7/BW125 下全部上报的纯信道时间约 3 秒，信道利用率极低，无压力。若节点增至 200 个且周期缩短至 1 分钟，须上调空口速率或重规划轮询周期。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3.3  上行帧格式（节点 → 网关 → 上位机）</w:t>
      </w:r>
    </w:p>
    <w:p>
      <w:r>
        <w:rPr>
          <w:rFonts w:eastAsia="思源黑体" w:ascii="Times New Roman" w:hAnsi="Times New Roman" w:cs="Times New Roman"/>
        </w:rPr>
        <w:t>所有多字节字段均采用大端序（Big Endian）。总长 25 字节。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800"/>
        <w:gridCol w:w="1500"/>
        <w:gridCol w:w="700"/>
        <w:gridCol w:w="900"/>
        <w:gridCol w:w="5126"/>
      </w:tblGrid>
      <w:tr>
        <w:tc>
          <w:tcPr>
            <w:tcW w:type="dxa" w:w="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偏移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长度</w:t>
            </w:r>
          </w:p>
        </w:tc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类型</w:t>
            </w:r>
          </w:p>
        </w:tc>
        <w:tc>
          <w:tcPr>
            <w:tcW w:type="dxa" w:w="51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0–1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SYNC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uint16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同步头，固定 0xAA55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VER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uint8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协议版本，当前 0x01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MSG_TYPE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uint8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0x01 周期 / 0x02 报警 / 0x03 心跳 / 0x04 应答 / 0x05 补传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4–5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DEV_ID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uint16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节点唯一地址，0x0000 保留为广播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6–7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SEQ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uint16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帧序号，循环递增，用于丢包检测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8–11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TIMESTAMP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4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uint32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UTC 秒级时间戳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12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FLAG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uint8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bit0 报警锁存 / bit1-2 报警等级 / bit3 传感器故障 / bit4 低电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13–14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PEAK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uint16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窗口内峰值强度，定标 0.1 dB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15–16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AVG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uint16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窗口内平均强度，定标 0.1 dB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17–18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NOISE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uint16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噪声基线，定标 0.1 dB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19–20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PULSE_CNT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uint16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窗口内脉冲计数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21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BATTERY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uint8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电池电压 ×10，如 0x7A 表示 12.2 V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22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RSVD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uint8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保留，填 0x00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23–24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CRC16</w:t>
            </w:r>
          </w:p>
        </w:tc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uint16</w:t>
            </w:r>
          </w:p>
        </w:tc>
        <w:tc>
          <w:tcPr>
            <w:tcW w:type="dxa" w:w="5126"/>
          </w:tcPr>
          <w:p>
            <w:r>
              <w:rPr>
                <w:rFonts w:eastAsia="思源黑体" w:ascii="Times New Roman" w:hAnsi="Times New Roman" w:cs="Times New Roman"/>
              </w:rPr>
              <w:t>CRC-16/MODBUS，覆盖偏移 0–22</w:t>
            </w:r>
          </w:p>
        </w:tc>
      </w:tr>
    </w:tbl>
    <w:p>
      <w:r>
        <w:rPr>
          <w:rFonts w:eastAsia="思源黑体" w:ascii="Times New Roman" w:hAnsi="Times New Roman" w:cs="Times New Roman"/>
        </w:rPr>
        <w:t>链路质量字段 RSSI 与 SNR 由接收端网关在转发时补填，附加在帧尾，不占用空口带宽。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3.4  下行帧格式（上位机 → 网关 → 节点）</w:t>
      </w:r>
    </w:p>
    <w:tbl>
      <w:tblPr>
        <w:tblW w:type="dxa" w:w="92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200"/>
        <w:gridCol w:w="1400"/>
        <w:gridCol w:w="800"/>
        <w:gridCol w:w="5826"/>
      </w:tblGrid>
      <w:tr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偏移</w:t>
            </w:r>
          </w:p>
        </w:tc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长度</w:t>
            </w:r>
          </w:p>
        </w:tc>
        <w:tc>
          <w:tcPr>
            <w:tcW w:type="dxa" w:w="5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0–1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SYNC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5826"/>
          </w:tcPr>
          <w:p>
            <w:r>
              <w:rPr>
                <w:rFonts w:eastAsia="思源黑体" w:ascii="Times New Roman" w:hAnsi="Times New Roman" w:cs="Times New Roman"/>
              </w:rPr>
              <w:t>固定 0x55AA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VER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5826"/>
          </w:tcPr>
          <w:p>
            <w:r>
              <w:rPr>
                <w:rFonts w:eastAsia="思源黑体" w:ascii="Times New Roman" w:hAnsi="Times New Roman" w:cs="Times New Roman"/>
              </w:rPr>
              <w:t>协议版本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CMD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5826"/>
          </w:tcPr>
          <w:p>
            <w:r>
              <w:rPr>
                <w:rFonts w:eastAsia="思源黑体" w:ascii="Times New Roman" w:hAnsi="Times New Roman" w:cs="Times New Roman"/>
              </w:rPr>
              <w:t>命令字，见 3.5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4–5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DEV_ID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5826"/>
          </w:tcPr>
          <w:p>
            <w:r>
              <w:rPr>
                <w:rFonts w:eastAsia="思源黑体" w:ascii="Times New Roman" w:hAnsi="Times New Roman" w:cs="Times New Roman"/>
              </w:rPr>
              <w:t>目标节点地址，0xFFFF 为广播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6–7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SEQ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5826"/>
          </w:tcPr>
          <w:p>
            <w:r>
              <w:rPr>
                <w:rFonts w:eastAsia="思源黑体" w:ascii="Times New Roman" w:hAnsi="Times New Roman" w:cs="Times New Roman"/>
              </w:rPr>
              <w:t>命令序号，用于应答匹配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8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LEN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5826"/>
          </w:tcPr>
          <w:p>
            <w:r>
              <w:rPr>
                <w:rFonts w:eastAsia="思源黑体" w:ascii="Times New Roman" w:hAnsi="Times New Roman" w:cs="Times New Roman"/>
              </w:rPr>
              <w:t>载荷长度 N（字节）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9 … 9+N-1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PAYLOAD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N</w:t>
            </w:r>
          </w:p>
        </w:tc>
        <w:tc>
          <w:tcPr>
            <w:tcW w:type="dxa" w:w="5826"/>
          </w:tcPr>
          <w:p>
            <w:r>
              <w:rPr>
                <w:rFonts w:eastAsia="思源黑体" w:ascii="Times New Roman" w:hAnsi="Times New Roman" w:cs="Times New Roman"/>
              </w:rPr>
              <w:t>命令参数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9+N … 10+N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CRC16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5826"/>
          </w:tcPr>
          <w:p>
            <w:r>
              <w:rPr>
                <w:rFonts w:eastAsia="思源黑体" w:ascii="Times New Roman" w:hAnsi="Times New Roman" w:cs="Times New Roman"/>
              </w:rPr>
              <w:t>CRC-16/MODBUS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3.5  命令集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000"/>
        <w:gridCol w:w="1500"/>
        <w:gridCol w:w="3000"/>
        <w:gridCol w:w="3526"/>
      </w:tblGrid>
      <w:tr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命令字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名称</w:t>
            </w:r>
          </w:p>
        </w:tc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载荷内容</w:t>
            </w:r>
          </w:p>
        </w:tc>
        <w:tc>
          <w:tcPr>
            <w:tcW w:type="dxa" w:w="35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0x10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读配置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空</w:t>
            </w:r>
          </w:p>
        </w:tc>
        <w:tc>
          <w:tcPr>
            <w:tcW w:type="dxa" w:w="3526"/>
          </w:tcPr>
          <w:p>
            <w:r>
              <w:rPr>
                <w:rFonts w:eastAsia="思源黑体" w:ascii="Times New Roman" w:hAnsi="Times New Roman" w:cs="Times New Roman"/>
              </w:rPr>
              <w:t>读取节点当前阈值、周期、增益、SF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0x11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写配置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阈值×3 + 周期 + 增益 + SF</w:t>
            </w:r>
          </w:p>
        </w:tc>
        <w:tc>
          <w:tcPr>
            <w:tcW w:type="dxa" w:w="3526"/>
          </w:tcPr>
          <w:p>
            <w:r>
              <w:rPr>
                <w:rFonts w:eastAsia="思源黑体" w:ascii="Times New Roman" w:hAnsi="Times New Roman" w:cs="Times New Roman"/>
              </w:rPr>
              <w:t>参数远程下发，节点应答 0x04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0x12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校时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UTC 秒（4B）</w:t>
            </w:r>
          </w:p>
        </w:tc>
        <w:tc>
          <w:tcPr>
            <w:tcW w:type="dxa" w:w="3526"/>
          </w:tcPr>
          <w:p>
            <w:r>
              <w:rPr>
                <w:rFonts w:eastAsia="思源黑体" w:ascii="Times New Roman" w:hAnsi="Times New Roman" w:cs="Times New Roman"/>
              </w:rPr>
              <w:t>全网广播，定期执行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0x13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报警静音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使能位（1B）</w:t>
            </w:r>
          </w:p>
        </w:tc>
        <w:tc>
          <w:tcPr>
            <w:tcW w:type="dxa" w:w="3526"/>
          </w:tcPr>
          <w:p>
            <w:r>
              <w:rPr>
                <w:rFonts w:eastAsia="思源黑体" w:ascii="Times New Roman" w:hAnsi="Times New Roman" w:cs="Times New Roman"/>
              </w:rPr>
              <w:t>现场调试与检修期间抑制声光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0x14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报警复位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空</w:t>
            </w:r>
          </w:p>
        </w:tc>
        <w:tc>
          <w:tcPr>
            <w:tcW w:type="dxa" w:w="3526"/>
          </w:tcPr>
          <w:p>
            <w:r>
              <w:rPr>
                <w:rFonts w:eastAsia="思源黑体" w:ascii="Times New Roman" w:hAnsi="Times New Roman" w:cs="Times New Roman"/>
              </w:rPr>
              <w:t>清除报警锁存标志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0x15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节点重启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空</w:t>
            </w:r>
          </w:p>
        </w:tc>
        <w:tc>
          <w:tcPr>
            <w:tcW w:type="dxa" w:w="3526"/>
          </w:tcPr>
          <w:p>
            <w:r>
              <w:rPr>
                <w:rFonts w:eastAsia="思源黑体" w:ascii="Times New Roman" w:hAnsi="Times New Roman" w:cs="Times New Roman"/>
              </w:rPr>
              <w:t>远程复位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0x20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历史补传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起始 SEQ + 结束 SEQ</w:t>
            </w:r>
          </w:p>
        </w:tc>
        <w:tc>
          <w:tcPr>
            <w:tcW w:type="dxa" w:w="3526"/>
          </w:tcPr>
          <w:p>
            <w:r>
              <w:rPr>
                <w:rFonts w:eastAsia="思源黑体" w:ascii="Times New Roman" w:hAnsi="Times New Roman" w:cs="Times New Roman"/>
              </w:rPr>
              <w:t>上位机断连恢复后拉取缓存数据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0x21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轮询单次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空</w:t>
            </w:r>
          </w:p>
        </w:tc>
        <w:tc>
          <w:tcPr>
            <w:tcW w:type="dxa" w:w="3526"/>
          </w:tcPr>
          <w:p>
            <w:r>
              <w:rPr>
                <w:rFonts w:eastAsia="思源黑体" w:ascii="Times New Roman" w:hAnsi="Times New Roman" w:cs="Times New Roman"/>
              </w:rPr>
              <w:t>手动触发一次即时采样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3.6  时序与超时参数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2600"/>
        <w:gridCol w:w="4026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参数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默认值</w:t>
            </w:r>
          </w:p>
        </w:tc>
        <w:tc>
          <w:tcPr>
            <w:tcW w:type="dxa" w:w="40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轮询周期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60 s（可配 10–3600 s）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网关按节点顺序逐个轮询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单节点应答超时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3 s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超时后重试 1 次，再失败标记该轮无响应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心跳超时判定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3 × 上报周期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超过则标记离线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校时间隔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600 s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广播 UTC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补传并发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逐帧拉取，避免拥塞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3.7  接收端与上位机接口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68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项目</w:t>
            </w:r>
          </w:p>
        </w:tc>
        <w:tc>
          <w:tcPr>
            <w:tcW w:type="dxa" w:w="6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规格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物理接口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USB（CDC 虚拟串口）为主，以太网 TCP 为可选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串口参数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115200 bps / 8 / N / 1，无流控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以太网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TCP Server，端口 9000，网关主动连接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帧封装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在 LoRa 帧外加 0x7E 起止符 + 转义（0x7D 转义），防止粘包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链路质量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网关补填 RSSI(dBm) 与 SNR(dB)，随帧上报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上位机→网关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除转发下行命令外，另有查询网关状态、读取缓存条数等本地命令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4  功能设计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4.1  功能模块总览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700"/>
        <w:gridCol w:w="2000"/>
        <w:gridCol w:w="900"/>
        <w:gridCol w:w="5426"/>
      </w:tblGrid>
      <w:tr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模块</w:t>
            </w:r>
          </w:p>
        </w:tc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优先级</w:t>
            </w:r>
          </w:p>
        </w:tc>
        <w:tc>
          <w:tcPr>
            <w:tcW w:type="dxa" w:w="54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核心内容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M1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节点与组网管理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5426"/>
          </w:tcPr>
          <w:p>
            <w:r>
              <w:rPr>
                <w:rFonts w:eastAsia="思源黑体" w:ascii="Times New Roman" w:hAnsi="Times New Roman" w:cs="Times New Roman"/>
              </w:rPr>
              <w:t>注册、地址分配、在线状态、链路质量、电池监测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M2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实时监测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5426"/>
          </w:tcPr>
          <w:p>
            <w:r>
              <w:rPr>
                <w:rFonts w:eastAsia="思源黑体" w:ascii="Times New Roman" w:hAnsi="Times New Roman" w:cs="Times New Roman"/>
              </w:rPr>
              <w:t>多路表格、状态灯、实时数值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M3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趋势曲线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5426"/>
          </w:tcPr>
          <w:p>
            <w:r>
              <w:rPr>
                <w:rFonts w:eastAsia="思源黑体" w:ascii="Times New Roman" w:hAnsi="Times New Roman" w:cs="Times New Roman"/>
              </w:rPr>
              <w:t>多节点叠加、时间窗切换、游标读数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M4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报警处理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5426"/>
          </w:tcPr>
          <w:p>
            <w:r>
              <w:rPr>
                <w:rFonts w:eastAsia="思源黑体" w:ascii="Times New Roman" w:hAnsi="Times New Roman" w:cs="Times New Roman"/>
              </w:rPr>
              <w:t>四级分级、去抖、声光、确认、记录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M5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强度对比定位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5426"/>
          </w:tcPr>
          <w:p>
            <w:r>
              <w:rPr>
                <w:rFonts w:eastAsia="思源黑体" w:ascii="Times New Roman" w:hAnsi="Times New Roman" w:cs="Times New Roman"/>
              </w:rPr>
              <w:t>布点图可视化、最强路推定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M6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历史查询与报表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5426"/>
          </w:tcPr>
          <w:p>
            <w:r>
              <w:rPr>
                <w:rFonts w:eastAsia="思源黑体" w:ascii="Times New Roman" w:hAnsi="Times New Roman" w:cs="Times New Roman"/>
              </w:rPr>
              <w:t>条件查询、回放、导出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M7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系统设置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P1</w:t>
            </w:r>
          </w:p>
        </w:tc>
        <w:tc>
          <w:tcPr>
            <w:tcW w:type="dxa" w:w="5426"/>
          </w:tcPr>
          <w:p>
            <w:r>
              <w:rPr>
                <w:rFonts w:eastAsia="思源黑体" w:ascii="Times New Roman" w:hAnsi="Times New Roman" w:cs="Times New Roman"/>
              </w:rPr>
              <w:t>参数下发、工程文件、权限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M8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通信与系统日志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P0</w:t>
            </w:r>
          </w:p>
        </w:tc>
        <w:tc>
          <w:tcPr>
            <w:tcW w:type="dxa" w:w="5426"/>
          </w:tcPr>
          <w:p>
            <w:r>
              <w:rPr>
                <w:rFonts w:eastAsia="思源黑体" w:ascii="Times New Roman" w:hAnsi="Times New Roman" w:cs="Times New Roman"/>
              </w:rPr>
              <w:t>原始帧日志、操作日志、报警日志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4.2  M1 节点与组网管理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节点注册：地址（DEV_ID）、名称、安装位置、启用 / 禁用、备注。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在线状态：在线（绿）/ 离线（灰）/ 失联（红），判定依据为心跳超时。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链路质量：实时显示 RSSI 与 SNR，并提供历史曲线。部署阶段用于寻找最佳天线位置。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电池监测：电压低于阈值时提示更换或充电。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批量操作：批量启用、批量下发参数、批量校时。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4.3  M2 实时监测（主界面表格）</w:t>
      </w:r>
    </w:p>
    <w:tbl>
      <w:tblPr>
        <w:tblW w:type="dxa" w:w="14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426"/>
        <w:gridCol w:w="1200"/>
        <w:gridCol w:w="1000"/>
        <w:gridCol w:w="1100"/>
        <w:gridCol w:w="1100"/>
        <w:gridCol w:w="1400"/>
        <w:gridCol w:w="900"/>
        <w:gridCol w:w="900"/>
        <w:gridCol w:w="800"/>
        <w:gridCol w:w="140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列名</w:t>
            </w:r>
          </w:p>
        </w:tc>
        <w:tc>
          <w:tcPr>
            <w:tcW w:type="dxa" w:w="24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内容</w:t>
            </w:r>
          </w:p>
        </w:tc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对齐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节点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DEV_ID + 名称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左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位置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安装位置描述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左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实时强度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当前窗口平均强度（dB）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右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峰值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窗口内峰值（dB）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右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噪声基线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背景噪声（dB）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右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脉冲计数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窗口内脉冲个数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右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状态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正常 / 关注 / 预警 / 报警 / 离线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RSSI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信号强度 dBm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右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SNR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信噪比 dB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右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电池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电压 V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右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更新时间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最近一帧到达时刻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</w:tr>
    </w:tbl>
    <w:p>
      <w:r>
        <w:rPr>
          <w:rFonts w:eastAsia="思源黑体" w:ascii="Times New Roman" w:hAnsi="Times New Roman" w:cs="Times New Roman"/>
        </w:rPr>
        <w:t>说明：行高固定 36 px，禁止内容撑高；超过 1000 行必须分页或虚拟滚动；支持按报警等级、状态、更新时间排序；双击行展开该路详情。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4.4  M3 趋势曲线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多节点叠加显示，每路一条曲线，可独立勾选显示 / 隐藏。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双 Y 轴：左轴强度（dB），右轴脉冲计数。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时间窗可切换：1 h / 6 h / 24 h / 7 d / 自定义。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支持缩放、平移、游标读数（显示该时刻各路数值）。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点击表格某行时，对应曲线高亮，其余降透明度。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空数据时显示「暂无数据」占位，禁止绘制空白坐标系。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曲线颜色从预设色板顺序取值，禁止随机配色。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4.5  M4 报警处理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4.5.1  报警分级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600"/>
        <w:gridCol w:w="1000"/>
        <w:gridCol w:w="800"/>
        <w:gridCol w:w="2626"/>
        <w:gridCol w:w="4000"/>
      </w:tblGrid>
      <w:tr>
        <w:tc>
          <w:tcPr>
            <w:tcW w:type="dxa" w:w="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等级</w:t>
            </w:r>
          </w:p>
        </w:tc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名称</w:t>
            </w:r>
          </w:p>
        </w:tc>
        <w:tc>
          <w:tcPr>
            <w:tcW w:type="dxa" w:w="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颜色</w:t>
            </w:r>
          </w:p>
        </w:tc>
        <w:tc>
          <w:tcPr>
            <w:tcW w:type="dxa" w:w="26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触发条件</w:t>
            </w:r>
          </w:p>
        </w:tc>
        <w:tc>
          <w:tcPr>
            <w:tcW w:type="dxa" w:w="4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表现</w:t>
            </w:r>
          </w:p>
        </w:tc>
      </w:tr>
      <w:tr>
        <w:tc>
          <w:tcPr>
            <w:tcW w:type="dxa" w:w="600"/>
          </w:tcPr>
          <w:p>
            <w:r>
              <w:rPr>
                <w:rFonts w:eastAsia="思源黑体" w:ascii="Times New Roman" w:hAnsi="Times New Roman" w:cs="Times New Roman"/>
              </w:rPr>
              <w:t>0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正常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绿</w:t>
            </w:r>
          </w:p>
        </w:tc>
        <w:tc>
          <w:tcPr>
            <w:tcW w:type="dxa" w:w="2626"/>
          </w:tcPr>
          <w:p>
            <w:r>
              <w:rPr>
                <w:rFonts w:eastAsia="思源黑体" w:ascii="Times New Roman" w:hAnsi="Times New Roman" w:cs="Times New Roman"/>
              </w:rPr>
              <w:t>未超阈值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无</w:t>
            </w:r>
          </w:p>
        </w:tc>
      </w:tr>
      <w:tr>
        <w:tc>
          <w:tcPr>
            <w:tcW w:type="dxa" w:w="6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关注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黄</w:t>
            </w:r>
          </w:p>
        </w:tc>
        <w:tc>
          <w:tcPr>
            <w:tcW w:type="dxa" w:w="2626"/>
          </w:tcPr>
          <w:p>
            <w:r>
              <w:rPr>
                <w:rFonts w:eastAsia="思源黑体" w:ascii="Times New Roman" w:hAnsi="Times New Roman" w:cs="Times New Roman"/>
              </w:rPr>
              <w:t>超过关注阈值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列表记录，行变色</w:t>
            </w:r>
          </w:p>
        </w:tc>
      </w:tr>
      <w:tr>
        <w:tc>
          <w:tcPr>
            <w:tcW w:type="dxa" w:w="6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预警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橙</w:t>
            </w:r>
          </w:p>
        </w:tc>
        <w:tc>
          <w:tcPr>
            <w:tcW w:type="dxa" w:w="2626"/>
          </w:tcPr>
          <w:p>
            <w:r>
              <w:rPr>
                <w:rFonts w:eastAsia="思源黑体" w:ascii="Times New Roman" w:hAnsi="Times New Roman" w:cs="Times New Roman"/>
              </w:rPr>
              <w:t>超过预警阈值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列表 + 声音提示</w:t>
            </w:r>
          </w:p>
        </w:tc>
      </w:tr>
      <w:tr>
        <w:tc>
          <w:tcPr>
            <w:tcW w:type="dxa" w:w="6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报警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红</w:t>
            </w:r>
          </w:p>
        </w:tc>
        <w:tc>
          <w:tcPr>
            <w:tcW w:type="dxa" w:w="2626"/>
          </w:tcPr>
          <w:p>
            <w:r>
              <w:rPr>
                <w:rFonts w:eastAsia="思源黑体" w:ascii="Times New Roman" w:hAnsi="Times New Roman" w:cs="Times New Roman"/>
              </w:rPr>
              <w:t>超过报警阈值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弹窗 + 声音 + 顶部横幅 + 闪烁</w:t>
            </w:r>
          </w:p>
        </w:tc>
      </w:tr>
    </w:tbl>
    <w:p>
      <w:pPr>
        <w:pStyle w:val="Heading3"/>
      </w:pPr>
      <w:r>
        <w:rPr>
          <w:rFonts w:eastAsia="思源黑体" w:ascii="Times New Roman" w:hAnsi="Times New Roman" w:cs="Times New Roman"/>
        </w:rPr>
        <w:t>4.5.2  报警去抖（必做）</w:t>
      </w:r>
    </w:p>
    <w:p>
      <w:r>
        <w:rPr>
          <w:rFonts w:eastAsia="思源黑体" w:ascii="Times New Roman" w:hAnsi="Times New Roman" w:cs="Times New Roman"/>
        </w:rPr>
        <w:t>直接按单帧超阈值触发会导致误报刷屏，现场体验灾难。去抖策略：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连续 N 次（默认 3 次）采样超阈值才触发，N 可配置。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或滑动窗口内超限占比超过 P%（默认 60%）才触发。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去抖窗口内不升级、不重复报警，仅记录原始超限事件。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报警持续期间不重复弹窗，仅更新持续时长。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4.5.3  报警闭环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确认 / 消音 / 复位三类操作，全部留痕（操作人、时间、备注）。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阈值支持按节点单独设置，且可远程下发。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支持静音时段配置（如检修期间）。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报警记录持久化，支持按时间、节点、等级组合查询。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4.6  M5 强度对比定位</w:t>
      </w:r>
    </w:p>
    <w:p>
      <w:r>
        <w:rPr>
          <w:rFonts w:eastAsia="思源黑体" w:ascii="Times New Roman" w:hAnsi="Times New Roman" w:cs="Times New Roman"/>
        </w:rPr>
        <w:t>本模块是产品名「故障定位仪」在软件侧的落地，也是相对竞品的差异化功能。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布点示意图：支持导入现场平面图或柜体排列图，标注各节点实际位置。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强度可视化：以颜色深浅或柱高表示各节点实时 / 峰值强度。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最强路推定：自动标出强度最高的节点及其相邻节点，给出疑似放电源区域提示。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历史对比：支持回放某一时刻的强度分布快照，观察放电源迁移趋势。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算法说明：基于 AE 信号随传播距离衰减的特性，在同类传感器、同等增益条件下，接收强度最高的测点距放电源最近。当前版本采用强度排序法给出区域推定，后续可升级为多点 TDOA 时差定位。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4.7  M6 历史查询与报表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条件查询：时间区间、节点、报警等级、状态组合过滤。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回放：选定时间段重放曲线演变，支持倍速。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导出：CSV / Excel 原始数据，PDF 巡检报告。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统计：各节点超限次数、平均强度、最大强度、在线率。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4.8  M7 系统设置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通信参数：串口号、波特率、TCP 地址与端口。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网络参数：轮询周期、超时、重试次数、补传策略。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报警参数：各级阈值、去抖次数、声音开关、静音时段。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工程文件：节点配置、布点图、布局偏好的保存与加载。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用户权限：操作员 / 管理员两级，参数下发与删除操作需管理员权限。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4.9  M8 日志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3600"/>
        <w:gridCol w:w="3826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日志类型</w:t>
            </w:r>
          </w:p>
        </w:tc>
        <w:tc>
          <w:tcPr>
            <w:tcW w:type="dxa" w:w="3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内容</w:t>
            </w:r>
          </w:p>
        </w:tc>
        <w:tc>
          <w:tcPr>
            <w:tcW w:type="dxa" w:w="3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用途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通信日志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原始十六进制帧（收 / 发）、时间戳</w:t>
            </w:r>
          </w:p>
        </w:tc>
        <w:tc>
          <w:tcPr>
            <w:tcW w:type="dxa" w:w="3826"/>
          </w:tcPr>
          <w:p>
            <w:r>
              <w:rPr>
                <w:rFonts w:eastAsia="思源黑体" w:ascii="Times New Roman" w:hAnsi="Times New Roman" w:cs="Times New Roman"/>
              </w:rPr>
              <w:t>联调阶段定位问题，支持过滤与导出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操作日志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用户登录、参数修改、报警确认等</w:t>
            </w:r>
          </w:p>
        </w:tc>
        <w:tc>
          <w:tcPr>
            <w:tcW w:type="dxa" w:w="3826"/>
          </w:tcPr>
          <w:p>
            <w:r>
              <w:rPr>
                <w:rFonts w:eastAsia="思源黑体" w:ascii="Times New Roman" w:hAnsi="Times New Roman" w:cs="Times New Roman"/>
              </w:rPr>
              <w:t>审计追溯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报警日志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报警发生、升级、恢复全过程</w:t>
            </w:r>
          </w:p>
        </w:tc>
        <w:tc>
          <w:tcPr>
            <w:tcW w:type="dxa" w:w="3826"/>
          </w:tcPr>
          <w:p>
            <w:r>
              <w:rPr>
                <w:rFonts w:eastAsia="思源黑体" w:ascii="Times New Roman" w:hAnsi="Times New Roman" w:cs="Times New Roman"/>
              </w:rPr>
              <w:t>事故分析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系统日志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启停、异常、重连</w:t>
            </w:r>
          </w:p>
        </w:tc>
        <w:tc>
          <w:tcPr>
            <w:tcW w:type="dxa" w:w="3826"/>
          </w:tcPr>
          <w:p>
            <w:r>
              <w:rPr>
                <w:rFonts w:eastAsia="思源黑体" w:ascii="Times New Roman" w:hAnsi="Times New Roman" w:cs="Times New Roman"/>
              </w:rPr>
              <w:t>运维排查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5  数据模型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5.1  实体关系</w:t>
      </w:r>
    </w:p>
    <w:p>
      <w:pPr>
        <w:spacing w:after="120"/>
      </w:pPr>
      <w:r>
        <w:rPr>
          <w:rFonts w:eastAsia="WenQuanYi Micro Hei" w:ascii="Consolas" w:hAnsi="Consolas" w:cs="Consolas"/>
          <w:sz w:val="18"/>
          <w:szCs w:val="18"/>
        </w:rPr>
        <w:t xml:space="preserve">  t_node  ──1:N──&gt;  t_sample      采样记录（高频写入）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│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└──1:N──&gt;  t_alarm           报警记录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│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   └──1:1──&gt;  t_node_config     节点参数快照</w:t>
        <w:br/>
      </w:r>
      <w:r>
        <w:rPr>
          <w:rFonts w:eastAsia="WenQuanYi Micro Hei" w:ascii="Consolas" w:hAnsi="Consolas" w:cs="Consolas"/>
          <w:sz w:val="18"/>
          <w:szCs w:val="18"/>
        </w:rPr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t_project ──1:N──&gt; t_node       工程 / 节点归属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t_raw_frame                     原始帧日志（可滚动清理）</w:t>
        <w:br/>
      </w:r>
      <w:r>
        <w:rPr>
          <w:rFonts w:eastAsia="WenQuanYi Micro Hei" w:ascii="Consolas" w:hAnsi="Consolas" w:cs="Consolas"/>
          <w:sz w:val="18"/>
          <w:szCs w:val="18"/>
        </w:rPr>
        <w:t xml:space="preserve">  t_syslog                        系统操作日志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5.2  表结构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t_node（节点表）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2000"/>
        <w:gridCol w:w="48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类型</w:t>
            </w:r>
          </w:p>
        </w:tc>
        <w:tc>
          <w:tcPr>
            <w:tcW w:type="dxa" w:w="4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id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 PK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自增主键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dev_id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 UNIQUE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LoRa 节点地址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name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TEXT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节点名称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location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TEXT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安装位置描述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pos_x / pos_y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REAL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布点图坐标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enabled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是否启用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remark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TEXT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备注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t_sample（采样记录表）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2000"/>
        <w:gridCol w:w="48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类型</w:t>
            </w:r>
          </w:p>
        </w:tc>
        <w:tc>
          <w:tcPr>
            <w:tcW w:type="dxa" w:w="4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id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 PK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自增主键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dev_id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节点地址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ts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UTC 秒级时间戳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peak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REAL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峰值强度 dB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avg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REAL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平均强度 dB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noise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REAL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噪声基线 dB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pulse_cnt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脉冲计数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rssi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信号强度 dBm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snr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信噪比 dB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battery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REAL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电池电压 V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alarm_level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0–3 报警等级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索引：(dev_id, ts) 联合索引，支撑按节点的时间范围查询。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t_alarm（报警记录表）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2000"/>
        <w:gridCol w:w="48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类型</w:t>
            </w:r>
          </w:p>
        </w:tc>
        <w:tc>
          <w:tcPr>
            <w:tcW w:type="dxa" w:w="4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id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 PK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自增主键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dev_id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节点地址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start_ts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报警起始时间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end_ts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恢复时间，未恢复为 NULL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level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1–3 报警等级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peak_value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REAL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峰值强度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ack_ts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INTEGER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确认时间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ack_user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TEXT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确认人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ack_remark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TEXT</w:t>
            </w:r>
          </w:p>
        </w:tc>
        <w:tc>
          <w:tcPr>
            <w:tcW w:type="dxa" w:w="4826"/>
          </w:tcPr>
          <w:p>
            <w:r>
              <w:rPr>
                <w:rFonts w:eastAsia="思源黑体" w:ascii="Times New Roman" w:hAnsi="Times New Roman" w:cs="Times New Roman"/>
              </w:rPr>
              <w:t>处理备注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5.3  数据生命周期与容量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3600"/>
        <w:gridCol w:w="32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数据类别</w:t>
            </w:r>
          </w:p>
        </w:tc>
        <w:tc>
          <w:tcPr>
            <w:tcW w:type="dxa" w:w="3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保留策略</w:t>
            </w:r>
          </w:p>
        </w:tc>
        <w:tc>
          <w:tcPr>
            <w:tcW w:type="dxa" w:w="3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容量估算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实时环形缓冲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内存，保留最近 1 小时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50 节点 × 60 条 ≈ 3000 条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t_sample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默认保留 1 年，可配置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50 节点 × 1 分钟 × 1 年 ≈ 2600 万条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t_alarm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永久保留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量小，可忽略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t_raw_frame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滚动保留最近 7 天或 100 万条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调试用途，超限自动清理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t_syslog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保留 6 个月</w:t>
            </w:r>
          </w:p>
        </w:tc>
        <w:tc>
          <w:tcPr>
            <w:tcW w:type="dxa" w:w="3226"/>
          </w:tcPr>
          <w:p>
            <w:r>
              <w:rPr>
                <w:rFonts w:eastAsia="思源黑体" w:ascii="Times New Roman" w:hAnsi="Times New Roman" w:cs="Times New Roman"/>
              </w:rPr>
              <w:t>量小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容量管理：t_sample 建议按月分区，并开启降采样归档（保留满 3 个月的数据降为 5 分钟粒度），避免数据库无限膨胀。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6  界面设计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6.1  设计原则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信息分层：核心指标（报警状态、最大强度）置于首屏，历史与配置收进次级页面。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状态色语义唯一：颜色只由 alarm_level 驱动，不承载其他含义。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数值可读性：实时读数用等宽字体，固定小数位，单位以较小字号次要色紧跟。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容错显示：数值无效时显示「--」，禁止出现 NaN / null / 0 占位。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深色工业主题：适配变电站、配电房等低照度现场环境，降低长时间值守疲劳。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6.2  主界面布局线框</w:t>
      </w:r>
    </w:p>
    <w:p>
      <w:pPr>
        <w:spacing w:after="120"/>
      </w:pPr>
      <w:r>
        <w:rPr>
          <w:rFonts w:eastAsia="WenQuanYi Micro Hei" w:ascii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┌────────────────────────────────────────────────────────────┐</w:t>
        <w:br/>
      </w:r>
      <w:r>
        <w:rPr>
          <w:rFonts w:eastAsia="WenQuanYi Micro Hei" w:ascii="Consolas" w:hAnsi="Consolas" w:cs="Consolas"/>
          <w:sz w:val="18"/>
          <w:szCs w:val="18"/>
        </w:rPr>
        <w:t>│ 顶部栏  h=56px 固定                                         │</w:t>
        <w:br/>
      </w:r>
      <w:r>
        <w:rPr>
          <w:rFonts w:eastAsia="WenQuanYi Micro Hei" w:ascii="Consolas" w:hAnsi="Consolas" w:cs="Consolas"/>
          <w:sz w:val="18"/>
          <w:szCs w:val="18"/>
        </w:rPr>
        <w:t>│ [Logo] QYH-GD300 监测系统   [连接状态●] [报警Badge 3] [设置] │</w:t>
        <w:br/>
      </w:r>
      <w:r>
        <w:rPr>
          <w:rFonts w:eastAsia="WenQuanYi Micro Hei" w:ascii="Consolas" w:hAnsi="Consolas" w:cs="Consolas"/>
          <w:sz w:val="18"/>
          <w:szCs w:val="18"/>
        </w:rPr>
        <w:t>├──────────┬─────────────────────────────────────────────────┤</w:t>
        <w:br/>
      </w:r>
      <w:r>
        <w:rPr>
          <w:rFonts w:eastAsia="WenQuanYi Micro Hei" w:ascii="Consolas" w:hAnsi="Consolas" w:cs="Consolas"/>
          <w:sz w:val="18"/>
          <w:szCs w:val="18"/>
        </w:rPr>
        <w:t>│ 左侧栏    │ 概览卡片行 h=96px（4 × StatCard 横排）           │</w:t>
        <w:br/>
      </w:r>
      <w:r>
        <w:rPr>
          <w:rFonts w:eastAsia="WenQuanYi Micro Hei" w:ascii="Consolas" w:hAnsi="Consolas" w:cs="Consolas"/>
          <w:sz w:val="18"/>
          <w:szCs w:val="18"/>
        </w:rPr>
        <w:t>│ w=200px  ├─────────────────────────────────────────────────┤</w:t>
        <w:br/>
      </w:r>
      <w:r>
        <w:rPr>
          <w:rFonts w:eastAsia="WenQuanYi Micro Hei" w:ascii="Consolas" w:hAnsi="Consolas" w:cs="Consolas"/>
          <w:sz w:val="18"/>
          <w:szCs w:val="18"/>
        </w:rPr>
        <w:t>│ 固定      │ 报警横幅（有报警时显示，否则隐藏）                │</w:t>
        <w:br/>
      </w:r>
      <w:r>
        <w:rPr>
          <w:rFonts w:eastAsia="WenQuanYi Micro Hei" w:ascii="Consolas" w:hAnsi="Consolas" w:cs="Consolas"/>
          <w:sz w:val="18"/>
          <w:szCs w:val="18"/>
        </w:rPr>
        <w:t>│          ├──────────────────────┬──────────────────────────┤</w:t>
        <w:br/>
      </w:r>
      <w:r>
        <w:rPr>
          <w:rFonts w:eastAsia="WenQuanYi Micro Hei" w:ascii="Consolas" w:hAnsi="Consolas" w:cs="Consolas"/>
          <w:sz w:val="18"/>
          <w:szCs w:val="18"/>
        </w:rPr>
        <w:t>│ 导航：    │ 节点表格             │ 实时趋势曲线              │</w:t>
        <w:br/>
      </w:r>
      <w:r>
        <w:rPr>
          <w:rFonts w:eastAsia="WenQuanYi Micro Hei" w:ascii="Consolas" w:hAnsi="Consolas" w:cs="Consolas"/>
          <w:sz w:val="18"/>
          <w:szCs w:val="18"/>
        </w:rPr>
        <w:t>│ ▸ 实时监测 │ （可伸缩，占比 3）   │ （可伸缩，占比 2）         │</w:t>
        <w:br/>
      </w:r>
      <w:r>
        <w:rPr>
          <w:rFonts w:eastAsia="WenQuanYi Micro Hei" w:ascii="Consolas" w:hAnsi="Consolas" w:cs="Consolas"/>
          <w:sz w:val="18"/>
          <w:szCs w:val="18"/>
        </w:rPr>
        <w:t>│ ▸ 布点定位 │                     │                          │</w:t>
        <w:br/>
      </w:r>
      <w:r>
        <w:rPr>
          <w:rFonts w:eastAsia="WenQuanYi Micro Hei" w:ascii="Consolas" w:hAnsi="Consolas" w:cs="Consolas"/>
          <w:sz w:val="18"/>
          <w:szCs w:val="18"/>
        </w:rPr>
        <w:t>│ ▸ 历史查询 │                     │                          │</w:t>
        <w:br/>
      </w:r>
      <w:r>
        <w:rPr>
          <w:rFonts w:eastAsia="WenQuanYi Micro Hei" w:ascii="Consolas" w:hAnsi="Consolas" w:cs="Consolas"/>
          <w:sz w:val="18"/>
          <w:szCs w:val="18"/>
        </w:rPr>
        <w:t>│ ▸ 报警记录 │                     │                          │</w:t>
        <w:br/>
      </w:r>
      <w:r>
        <w:rPr>
          <w:rFonts w:eastAsia="WenQuanYi Micro Hei" w:ascii="Consolas" w:hAnsi="Consolas" w:cs="Consolas"/>
          <w:sz w:val="18"/>
          <w:szCs w:val="18"/>
        </w:rPr>
        <w:t>│ ▸ 系统设置 │                     │                          │</w:t>
        <w:br/>
      </w:r>
      <w:r>
        <w:rPr>
          <w:rFonts w:eastAsia="WenQuanYi Micro Hei" w:ascii="Consolas" w:hAnsi="Consolas" w:cs="Consolas"/>
          <w:sz w:val="18"/>
          <w:szCs w:val="18"/>
        </w:rPr>
        <w:t>├──────────┴──────────────────────┴──────────────────────────┤</w:t>
        <w:br/>
      </w:r>
      <w:r>
        <w:rPr>
          <w:rFonts w:eastAsia="WenQuanYi Micro Hei" w:ascii="Consolas" w:hAnsi="Consolas" w:cs="Consolas"/>
          <w:sz w:val="18"/>
          <w:szCs w:val="18"/>
        </w:rPr>
        <w:t>│ 状态栏 h=28px  节点 12/15 在线 · 最近更新 14:32:05 · 已连 02:16 │</w:t>
        <w:br/>
      </w:r>
      <w:r>
        <w:rPr>
          <w:rFonts w:eastAsia="WenQuanYi Micro Hei" w:ascii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6.3  界面清单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1600"/>
        <w:gridCol w:w="5626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界面</w:t>
            </w:r>
          </w:p>
        </w:tc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路径</w:t>
            </w:r>
          </w:p>
        </w:tc>
        <w:tc>
          <w:tcPr>
            <w:tcW w:type="dxa" w:w="56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核心元素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实时监测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/monitor</w:t>
            </w:r>
          </w:p>
        </w:tc>
        <w:tc>
          <w:tcPr>
            <w:tcW w:type="dxa" w:w="5626"/>
          </w:tcPr>
          <w:p>
            <w:r>
              <w:rPr>
                <w:rFonts w:eastAsia="思源黑体" w:ascii="Times New Roman" w:hAnsi="Times New Roman" w:cs="Times New Roman"/>
              </w:rPr>
              <w:t>StatCard ×4、报警横幅、节点表格、趋势曲线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布点定位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/locate</w:t>
            </w:r>
          </w:p>
        </w:tc>
        <w:tc>
          <w:tcPr>
            <w:tcW w:type="dxa" w:w="5626"/>
          </w:tcPr>
          <w:p>
            <w:r>
              <w:rPr>
                <w:rFonts w:eastAsia="思源黑体" w:ascii="Times New Roman" w:hAnsi="Times New Roman" w:cs="Times New Roman"/>
              </w:rPr>
              <w:t>平面图、节点标记、强度色阶、最强路提示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历史查询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/history</w:t>
            </w:r>
          </w:p>
        </w:tc>
        <w:tc>
          <w:tcPr>
            <w:tcW w:type="dxa" w:w="5626"/>
          </w:tcPr>
          <w:p>
            <w:r>
              <w:rPr>
                <w:rFonts w:eastAsia="思源黑体" w:ascii="Times New Roman" w:hAnsi="Times New Roman" w:cs="Times New Roman"/>
              </w:rPr>
              <w:t>时间选择器、节点多选、曲线回放、导出按钮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报警记录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/alarm</w:t>
            </w:r>
          </w:p>
        </w:tc>
        <w:tc>
          <w:tcPr>
            <w:tcW w:type="dxa" w:w="5626"/>
          </w:tcPr>
          <w:p>
            <w:r>
              <w:rPr>
                <w:rFonts w:eastAsia="思源黑体" w:ascii="Times New Roman" w:hAnsi="Times New Roman" w:cs="Times New Roman"/>
              </w:rPr>
              <w:t>报警表格、等级筛选、确认 / 复位操作、详情抽屉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节点管理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/node</w:t>
            </w:r>
          </w:p>
        </w:tc>
        <w:tc>
          <w:tcPr>
            <w:tcW w:type="dxa" w:w="5626"/>
          </w:tcPr>
          <w:p>
            <w:r>
              <w:rPr>
                <w:rFonts w:eastAsia="思源黑体" w:ascii="Times New Roman" w:hAnsi="Times New Roman" w:cs="Times New Roman"/>
              </w:rPr>
              <w:t>节点列表、增删改、参数下发、链路质量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系统设置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/settings</w:t>
            </w:r>
          </w:p>
        </w:tc>
        <w:tc>
          <w:tcPr>
            <w:tcW w:type="dxa" w:w="5626"/>
          </w:tcPr>
          <w:p>
            <w:r>
              <w:rPr>
                <w:rFonts w:eastAsia="思源黑体" w:ascii="Times New Roman" w:hAnsi="Times New Roman" w:cs="Times New Roman"/>
              </w:rPr>
              <w:t>通信、网络、报警、工程、权限分页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通信诊断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/diag</w:t>
            </w:r>
          </w:p>
        </w:tc>
        <w:tc>
          <w:tcPr>
            <w:tcW w:type="dxa" w:w="5626"/>
          </w:tcPr>
          <w:p>
            <w:r>
              <w:rPr>
                <w:rFonts w:eastAsia="思源黑体" w:ascii="Times New Roman" w:hAnsi="Times New Roman" w:cs="Times New Roman"/>
              </w:rPr>
              <w:t>原始帧收发日志、十六进制视图、统计计数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6.4  Design Tokens（深色工业主题）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1800"/>
        <w:gridCol w:w="1600"/>
        <w:gridCol w:w="4726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类别</w:t>
            </w:r>
          </w:p>
        </w:tc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名称</w:t>
            </w:r>
          </w:p>
        </w:tc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取值</w:t>
            </w:r>
          </w:p>
        </w:tc>
        <w:tc>
          <w:tcPr>
            <w:tcW w:type="dxa" w:w="47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用途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背景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bg-app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#12161F</w:t>
            </w:r>
          </w:p>
        </w:tc>
        <w:tc>
          <w:tcPr>
            <w:tcW w:type="dxa" w:w="4726"/>
          </w:tcPr>
          <w:p>
            <w:r>
              <w:rPr>
                <w:rFonts w:eastAsia="思源黑体" w:ascii="Times New Roman" w:hAnsi="Times New Roman" w:cs="Times New Roman"/>
              </w:rPr>
              <w:t>应用主背景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背景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bg-panel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#1A2030</w:t>
            </w:r>
          </w:p>
        </w:tc>
        <w:tc>
          <w:tcPr>
            <w:tcW w:type="dxa" w:w="4726"/>
          </w:tcPr>
          <w:p>
            <w:r>
              <w:rPr>
                <w:rFonts w:eastAsia="思源黑体" w:ascii="Times New Roman" w:hAnsi="Times New Roman" w:cs="Times New Roman"/>
              </w:rPr>
              <w:t>面板 / 卡片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背景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bg-elevated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#222A3D</w:t>
            </w:r>
          </w:p>
        </w:tc>
        <w:tc>
          <w:tcPr>
            <w:tcW w:type="dxa" w:w="4726"/>
          </w:tcPr>
          <w:p>
            <w:r>
              <w:rPr>
                <w:rFonts w:eastAsia="思源黑体" w:ascii="Times New Roman" w:hAnsi="Times New Roman" w:cs="Times New Roman"/>
              </w:rPr>
              <w:t>弹窗 / 悬浮层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边框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border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#2C3549</w:t>
            </w:r>
          </w:p>
        </w:tc>
        <w:tc>
          <w:tcPr>
            <w:tcW w:type="dxa" w:w="4726"/>
          </w:tcPr>
          <w:p>
            <w:r>
              <w:rPr>
                <w:rFonts w:eastAsia="思源黑体" w:ascii="Times New Roman" w:hAnsi="Times New Roman" w:cs="Times New Roman"/>
              </w:rPr>
              <w:t>分割线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文字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text-primary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#E8ECF4</w:t>
            </w:r>
          </w:p>
        </w:tc>
        <w:tc>
          <w:tcPr>
            <w:tcW w:type="dxa" w:w="4726"/>
          </w:tcPr>
          <w:p>
            <w:r>
              <w:rPr>
                <w:rFonts w:eastAsia="思源黑体" w:ascii="Times New Roman" w:hAnsi="Times New Roman" w:cs="Times New Roman"/>
              </w:rPr>
              <w:t>主文字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文字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text-secondary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#8A94A8</w:t>
            </w:r>
          </w:p>
        </w:tc>
        <w:tc>
          <w:tcPr>
            <w:tcW w:type="dxa" w:w="4726"/>
          </w:tcPr>
          <w:p>
            <w:r>
              <w:rPr>
                <w:rFonts w:eastAsia="思源黑体" w:ascii="Times New Roman" w:hAnsi="Times New Roman" w:cs="Times New Roman"/>
              </w:rPr>
              <w:t>标签 / 单位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文字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text-disabled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#4A5265</w:t>
            </w:r>
          </w:p>
        </w:tc>
        <w:tc>
          <w:tcPr>
            <w:tcW w:type="dxa" w:w="4726"/>
          </w:tcPr>
          <w:p>
            <w:r>
              <w:rPr>
                <w:rFonts w:eastAsia="思源黑体" w:ascii="Times New Roman" w:hAnsi="Times New Roman" w:cs="Times New Roman"/>
              </w:rPr>
              <w:t>禁用态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主色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accent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#2E7CF6</w:t>
            </w:r>
          </w:p>
        </w:tc>
        <w:tc>
          <w:tcPr>
            <w:tcW w:type="dxa" w:w="4726"/>
          </w:tcPr>
          <w:p>
            <w:r>
              <w:rPr>
                <w:rFonts w:eastAsia="思源黑体" w:ascii="Times New Roman" w:hAnsi="Times New Roman" w:cs="Times New Roman"/>
              </w:rPr>
              <w:t>交互高亮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状态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status-normal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#22C55E</w:t>
            </w:r>
          </w:p>
        </w:tc>
        <w:tc>
          <w:tcPr>
            <w:tcW w:type="dxa" w:w="4726"/>
          </w:tcPr>
          <w:p>
            <w:r>
              <w:rPr>
                <w:rFonts w:eastAsia="思源黑体" w:ascii="Times New Roman" w:hAnsi="Times New Roman" w:cs="Times New Roman"/>
              </w:rPr>
              <w:t>正常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状态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status-watch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#EAB308</w:t>
            </w:r>
          </w:p>
        </w:tc>
        <w:tc>
          <w:tcPr>
            <w:tcW w:type="dxa" w:w="4726"/>
          </w:tcPr>
          <w:p>
            <w:r>
              <w:rPr>
                <w:rFonts w:eastAsia="思源黑体" w:ascii="Times New Roman" w:hAnsi="Times New Roman" w:cs="Times New Roman"/>
              </w:rPr>
              <w:t>关注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状态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status-warn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#F97316</w:t>
            </w:r>
          </w:p>
        </w:tc>
        <w:tc>
          <w:tcPr>
            <w:tcW w:type="dxa" w:w="4726"/>
          </w:tcPr>
          <w:p>
            <w:r>
              <w:rPr>
                <w:rFonts w:eastAsia="思源黑体" w:ascii="Times New Roman" w:hAnsi="Times New Roman" w:cs="Times New Roman"/>
              </w:rPr>
              <w:t>预警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状态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status-alarm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#EF4444</w:t>
            </w:r>
          </w:p>
        </w:tc>
        <w:tc>
          <w:tcPr>
            <w:tcW w:type="dxa" w:w="4726"/>
          </w:tcPr>
          <w:p>
            <w:r>
              <w:rPr>
                <w:rFonts w:eastAsia="思源黑体" w:ascii="Times New Roman" w:hAnsi="Times New Roman" w:cs="Times New Roman"/>
              </w:rPr>
              <w:t>报警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状态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offline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#6B7280</w:t>
            </w:r>
          </w:p>
        </w:tc>
        <w:tc>
          <w:tcPr>
            <w:tcW w:type="dxa" w:w="4726"/>
          </w:tcPr>
          <w:p>
            <w:r>
              <w:rPr>
                <w:rFonts w:eastAsia="思源黑体" w:ascii="Times New Roman" w:hAnsi="Times New Roman" w:cs="Times New Roman"/>
              </w:rPr>
              <w:t>离线</w:t>
            </w:r>
          </w:p>
        </w:tc>
      </w:tr>
    </w:tbl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68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类别</w:t>
            </w:r>
          </w:p>
        </w:tc>
        <w:tc>
          <w:tcPr>
            <w:tcW w:type="dxa" w:w="6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取值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间距（4 px 栅格）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xs:4  sm:8  md:12  lg:16  xl:24  2xl:32（单位 px）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圆角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sm:4  md:6  lg:10（单位 px）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字号阶梯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h1:20/700  h2:16/600  body:14/400  caption:12/400  num:20/700（等宽）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最小窗口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1280 × 720，低于此值内部滚动而非压缩控件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6.5  交互规范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表格行点击 → 右侧曲线高亮该节点，其余降透明度至 0.3。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「开始监测」点击 → 按钮转 loading 并禁用，文案改为「监测中」。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报警触发 → 顶部横幅滑入（push 布局，不覆盖内容），对应行闪烁 3 次后停止。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离线节点 → 整行降透明度至 0.45，状态点置灰。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所有界面须实现加载中、空数据、错误三态。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7  技术栈与工程结构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7.1  选型结论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3800"/>
        <w:gridCol w:w="3626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层</w:t>
            </w:r>
          </w:p>
        </w:tc>
        <w:tc>
          <w:tcPr>
            <w:tcW w:type="dxa" w:w="3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主选方案</w:t>
            </w:r>
          </w:p>
        </w:tc>
        <w:tc>
          <w:tcPr>
            <w:tcW w:type="dxa" w:w="36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备选方案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前端 / 界面</w:t>
            </w:r>
          </w:p>
        </w:tc>
        <w:tc>
          <w:tcPr>
            <w:tcW w:type="dxa" w:w="3800"/>
          </w:tcPr>
          <w:p>
            <w:r>
              <w:rPr>
                <w:rFonts w:eastAsia="思源黑体" w:ascii="Times New Roman" w:hAnsi="Times New Roman" w:cs="Times New Roman"/>
              </w:rPr>
              <w:t>Vue 3 + TypeScript + Tailwind CSS + ECharts</w:t>
            </w:r>
          </w:p>
        </w:tc>
        <w:tc>
          <w:tcPr>
            <w:tcW w:type="dxa" w:w="3626"/>
          </w:tcPr>
          <w:p>
            <w:r>
              <w:rPr>
                <w:rFonts w:eastAsia="思源黑体" w:ascii="Times New Roman" w:hAnsi="Times New Roman" w:cs="Times New Roman"/>
              </w:rPr>
              <w:t>React 18 + TS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本地服务</w:t>
            </w:r>
          </w:p>
        </w:tc>
        <w:tc>
          <w:tcPr>
            <w:tcW w:type="dxa" w:w="3800"/>
          </w:tcPr>
          <w:p>
            <w:r>
              <w:rPr>
                <w:rFonts w:eastAsia="思源黑体" w:ascii="Times New Roman" w:hAnsi="Times New Roman" w:cs="Times New Roman"/>
              </w:rPr>
              <w:t>Python FastAPI（串口 + WebSocket）</w:t>
            </w:r>
          </w:p>
        </w:tc>
        <w:tc>
          <w:tcPr>
            <w:tcW w:type="dxa" w:w="3626"/>
          </w:tcPr>
          <w:p>
            <w:r>
              <w:rPr>
                <w:rFonts w:eastAsia="思源黑体" w:ascii="Times New Roman" w:hAnsi="Times New Roman" w:cs="Times New Roman"/>
              </w:rPr>
              <w:t>C# .NET 8 Minimal API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数据库</w:t>
            </w:r>
          </w:p>
        </w:tc>
        <w:tc>
          <w:tcPr>
            <w:tcW w:type="dxa" w:w="3800"/>
          </w:tcPr>
          <w:p>
            <w:r>
              <w:rPr>
                <w:rFonts w:eastAsia="思源黑体" w:ascii="Times New Roman" w:hAnsi="Times New Roman" w:cs="Times New Roman"/>
              </w:rPr>
              <w:t>SQLite</w:t>
            </w:r>
          </w:p>
        </w:tc>
        <w:tc>
          <w:tcPr>
            <w:tcW w:type="dxa" w:w="3626"/>
          </w:tcPr>
          <w:p>
            <w:r>
              <w:rPr>
                <w:rFonts w:eastAsia="思源黑体" w:ascii="Times New Roman" w:hAnsi="Times New Roman" w:cs="Times New Roman"/>
              </w:rPr>
              <w:t>—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备选整体方案</w:t>
            </w:r>
          </w:p>
        </w:tc>
        <w:tc>
          <w:tcPr>
            <w:tcW w:type="dxa" w:w="3800"/>
          </w:tcPr>
          <w:p>
            <w:r>
              <w:rPr>
                <w:rFonts w:eastAsia="思源黑体" w:ascii="Times New Roman" w:hAnsi="Times New Roman" w:cs="Times New Roman"/>
              </w:rPr>
              <w:t>C# WPF + XAML + ScottPlot</w:t>
            </w:r>
          </w:p>
        </w:tc>
        <w:tc>
          <w:tcPr>
            <w:tcW w:type="dxa" w:w="3626"/>
          </w:tcPr>
          <w:p>
            <w:r>
              <w:rPr>
                <w:rFonts w:eastAsia="思源黑体" w:ascii="Times New Roman" w:hAnsi="Times New Roman" w:cs="Times New Roman"/>
              </w:rPr>
              <w:t>Qt C++ / PySide6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7.2  选型依据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采用「Web 前端 + 极简本地服务」的三条核心理由：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声明式 UI 更适合 AI 全量开发。Vue 模板与 HTML 同构，树形结构一目了然，相比命令式的 PySide6 布局代码（addWidget / setLayout 序列）大幅降低漏调用风险。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具备截屏验证闭环。AI 写完代码可直接在浏览器打开、截图、把图与问题一并反馈，形成紧凑的生成—验证循环。这是桌面 GUI 不具备的能力。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一套前端同时满足两种交付形态。本地单机时浏览器访问 localhost，未来扩展为远程监测时只需部署到服务器，无需重写。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关于备选方案：若客户现场明确要求单一 exe 桌面程序且禁止浏览器环境，则改用 C# WPF + XAML + ScottPlot，协议层与数据层可原样复用。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7.3  依赖清单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400"/>
        <w:gridCol w:w="2200"/>
        <w:gridCol w:w="1200"/>
        <w:gridCol w:w="4226"/>
      </w:tblGrid>
      <w:tr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类别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组件</w:t>
            </w:r>
          </w:p>
        </w:tc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版本</w:t>
            </w:r>
          </w:p>
        </w:tc>
        <w:tc>
          <w:tcPr>
            <w:tcW w:type="dxa" w:w="4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用途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前端框架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Vue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3.4+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界面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语言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TypeScript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5.x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类型安全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样式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Tailwind CSS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3.x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原子类样式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组件库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Element Plus / Naive UI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最新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表格、表单、弹窗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图表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ECharts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5.x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趋势曲线、统计图表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状态管理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Pinia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最新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全局状态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服务框架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FastAPI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0.110+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本地服务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串口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pyserial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3.5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USB CDC 通信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实时推送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WebSocket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内置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服务端推前端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数据库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SQLite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3.x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持久化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打包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PyInstaller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最新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服务端单文件分发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7.4  工程目录结构</w:t>
      </w:r>
    </w:p>
    <w:p>
      <w:pPr>
        <w:spacing w:after="120"/>
      </w:pPr>
      <w:r>
        <w:rPr>
          <w:rFonts w:eastAsia="WenQuanYi Micro Hei" w:ascii="Consolas" w:hAnsi="Consolas" w:cs="Consolas"/>
          <w:sz w:val="18"/>
          <w:szCs w:val="18"/>
        </w:rPr>
        <w:t>gd300-host/</w:t>
        <w:br/>
      </w:r>
      <w:r>
        <w:rPr>
          <w:rFonts w:eastAsia="WenQuanYi Micro Hei" w:ascii="Consolas" w:hAnsi="Consolas" w:cs="Consolas"/>
          <w:sz w:val="18"/>
          <w:szCs w:val="18"/>
        </w:rPr>
        <w:t>├── service/                    # Python 本地服务</w:t>
        <w:br/>
      </w:r>
      <w:r>
        <w:rPr>
          <w:rFonts w:eastAsia="WenQuanYi Micro Hei" w:ascii="Consolas" w:hAnsi="Consolas" w:cs="Consolas"/>
          <w:sz w:val="18"/>
          <w:szCs w:val="18"/>
        </w:rPr>
        <w:t>│   ├── main.py                # FastAPI 入口</w:t>
        <w:br/>
      </w:r>
      <w:r>
        <w:rPr>
          <w:rFonts w:eastAsia="WenQuanYi Micro Hei" w:ascii="Consolas" w:hAnsi="Consolas" w:cs="Consolas"/>
          <w:sz w:val="18"/>
          <w:szCs w:val="18"/>
        </w:rPr>
        <w:t>│   ├── serial_io.py           # 串口收发线程</w:t>
        <w:br/>
      </w:r>
      <w:r>
        <w:rPr>
          <w:rFonts w:eastAsia="WenQuanYi Micro Hei" w:ascii="Consolas" w:hAnsi="Consolas" w:cs="Consolas"/>
          <w:sz w:val="18"/>
          <w:szCs w:val="18"/>
        </w:rPr>
        <w:t>│   ├── protocol.py            # 帧解析 / 封装 / CRC16</w:t>
        <w:br/>
      </w:r>
      <w:r>
        <w:rPr>
          <w:rFonts w:eastAsia="WenQuanYi Micro Hei" w:ascii="Consolas" w:hAnsi="Consolas" w:cs="Consolas"/>
          <w:sz w:val="18"/>
          <w:szCs w:val="18"/>
        </w:rPr>
        <w:t>│   ├── node_manager.py        # 节点注册表与状态机</w:t>
        <w:br/>
      </w:r>
      <w:r>
        <w:rPr>
          <w:rFonts w:eastAsia="WenQuanYi Micro Hei" w:ascii="Consolas" w:hAnsi="Consolas" w:cs="Consolas"/>
          <w:sz w:val="18"/>
          <w:szCs w:val="18"/>
        </w:rPr>
        <w:t>│   ├── alarm_engine.py        # 报警判级与去抖</w:t>
        <w:br/>
      </w:r>
      <w:r>
        <w:rPr>
          <w:rFonts w:eastAsia="WenQuanYi Micro Hei" w:ascii="Consolas" w:hAnsi="Consolas" w:cs="Consolas"/>
          <w:sz w:val="18"/>
          <w:szCs w:val="18"/>
        </w:rPr>
        <w:t>│   ├── storage.py             # SQLite 读写</w:t>
        <w:br/>
      </w:r>
      <w:r>
        <w:rPr>
          <w:rFonts w:eastAsia="WenQuanYi Micro Hei" w:ascii="Consolas" w:hAnsi="Consolas" w:cs="Consolas"/>
          <w:sz w:val="18"/>
          <w:szCs w:val="18"/>
        </w:rPr>
        <w:t>│   └── ws_push.py             # WebSocket 推送</w:t>
        <w:br/>
      </w:r>
      <w:r>
        <w:rPr>
          <w:rFonts w:eastAsia="WenQuanYi Micro Hei" w:ascii="Consolas" w:hAnsi="Consolas" w:cs="Consolas"/>
          <w:sz w:val="18"/>
          <w:szCs w:val="18"/>
        </w:rPr>
        <w:t>├── web/                       # Vue 3 前端</w:t>
        <w:br/>
      </w:r>
      <w:r>
        <w:rPr>
          <w:rFonts w:eastAsia="WenQuanYi Micro Hei" w:ascii="Consolas" w:hAnsi="Consolas" w:cs="Consolas"/>
          <w:sz w:val="18"/>
          <w:szCs w:val="18"/>
        </w:rPr>
        <w:t>│   ├── src/</w:t>
        <w:br/>
      </w:r>
      <w:r>
        <w:rPr>
          <w:rFonts w:eastAsia="WenQuanYi Micro Hei" w:ascii="Consolas" w:hAnsi="Consolas" w:cs="Consolas"/>
          <w:sz w:val="18"/>
          <w:szCs w:val="18"/>
        </w:rPr>
        <w:t>│   │   ├── api/               # 接口封装</w:t>
        <w:br/>
      </w:r>
      <w:r>
        <w:rPr>
          <w:rFonts w:eastAsia="WenQuanYi Micro Hei" w:ascii="Consolas" w:hAnsi="Consolas" w:cs="Consolas"/>
          <w:sz w:val="18"/>
          <w:szCs w:val="18"/>
        </w:rPr>
        <w:t>│   │   ├── components/        # 通用组件</w:t>
        <w:br/>
      </w:r>
      <w:r>
        <w:rPr>
          <w:rFonts w:eastAsia="WenQuanYi Micro Hei" w:ascii="Consolas" w:hAnsi="Consolas" w:cs="Consolas"/>
          <w:sz w:val="18"/>
          <w:szCs w:val="18"/>
        </w:rPr>
        <w:t>│   │   ├── views/             # 页面</w:t>
        <w:br/>
      </w:r>
      <w:r>
        <w:rPr>
          <w:rFonts w:eastAsia="WenQuanYi Micro Hei" w:ascii="Consolas" w:hAnsi="Consolas" w:cs="Consolas"/>
          <w:sz w:val="18"/>
          <w:szCs w:val="18"/>
        </w:rPr>
        <w:t>│   │   ├── stores/            # Pinia</w:t>
        <w:br/>
      </w:r>
      <w:r>
        <w:rPr>
          <w:rFonts w:eastAsia="WenQuanYi Micro Hei" w:ascii="Consolas" w:hAnsi="Consolas" w:cs="Consolas"/>
          <w:sz w:val="18"/>
          <w:szCs w:val="18"/>
        </w:rPr>
        <w:t>│   │   └── design/            # design tokens</w:t>
        <w:br/>
      </w:r>
      <w:r>
        <w:rPr>
          <w:rFonts w:eastAsia="WenQuanYi Micro Hei" w:ascii="Consolas" w:hAnsi="Consolas" w:cs="Consolas"/>
          <w:sz w:val="18"/>
          <w:szCs w:val="18"/>
        </w:rPr>
        <w:t>│   └── package.json</w:t>
        <w:br/>
      </w:r>
      <w:r>
        <w:rPr>
          <w:rFonts w:eastAsia="WenQuanYi Micro Hei" w:ascii="Consolas" w:hAnsi="Consolas" w:cs="Consolas"/>
          <w:sz w:val="18"/>
          <w:szCs w:val="18"/>
        </w:rPr>
        <w:t>├── docs/                      # 协议文档、测试用例</w:t>
        <w:br/>
      </w:r>
      <w:r>
        <w:rPr>
          <w:rFonts w:eastAsia="WenQuanYi Micro Hei" w:ascii="Consolas" w:hAnsi="Consolas" w:cs="Consolas"/>
          <w:sz w:val="18"/>
          <w:szCs w:val="18"/>
        </w:rPr>
        <w:t>└── build/                     # 打包产物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7.5  分层不可越（架构硬约束）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展示层禁止直接访问串口、禁止实现报警判定逻辑。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协议层、数据层、业务层不得引用任何 UI 框架命名空间，保证换框架时零改动。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所有跨层数据交换经由明确定义的接口与数据结构（TypeScript interface / Pydantic 模型）。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8  非功能需求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8.1  性能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226"/>
      </w:tblGrid>
      <w:tr>
        <w:tc>
          <w:tcPr>
            <w:tcW w:type="dxa" w:w="2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指标</w:t>
            </w:r>
          </w:p>
        </w:tc>
        <w:tc>
          <w:tcPr>
            <w:tcW w:type="dxa" w:w="6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要求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界面刷新率</w:t>
            </w:r>
          </w:p>
        </w:tc>
        <w:tc>
          <w:tcPr>
            <w:tcW w:type="dxa" w:w="6226"/>
          </w:tcPr>
          <w:p>
            <w:r>
              <w:rPr>
                <w:rFonts w:eastAsia="思源黑体" w:ascii="Times New Roman" w:hAnsi="Times New Roman" w:cs="Times New Roman"/>
              </w:rPr>
              <w:t>≥ 30 fps，理想 60 fps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数据推送延迟</w:t>
            </w:r>
          </w:p>
        </w:tc>
        <w:tc>
          <w:tcPr>
            <w:tcW w:type="dxa" w:w="6226"/>
          </w:tcPr>
          <w:p>
            <w:r>
              <w:rPr>
                <w:rFonts w:eastAsia="思源黑体" w:ascii="Times New Roman" w:hAnsi="Times New Roman" w:cs="Times New Roman"/>
              </w:rPr>
              <w:t>从网关到达至界面更新 &lt; 500 ms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1 万条历史查询响应</w:t>
            </w:r>
          </w:p>
        </w:tc>
        <w:tc>
          <w:tcPr>
            <w:tcW w:type="dxa" w:w="6226"/>
          </w:tcPr>
          <w:p>
            <w:r>
              <w:rPr>
                <w:rFonts w:eastAsia="思源黑体" w:ascii="Times New Roman" w:hAnsi="Times New Roman" w:cs="Times New Roman"/>
              </w:rPr>
              <w:t>&lt; 2 s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曲线点数</w:t>
            </w:r>
          </w:p>
        </w:tc>
        <w:tc>
          <w:tcPr>
            <w:tcW w:type="dxa" w:w="6226"/>
          </w:tcPr>
          <w:p>
            <w:r>
              <w:rPr>
                <w:rFonts w:eastAsia="思源黑体" w:ascii="Times New Roman" w:hAnsi="Times New Roman" w:cs="Times New Roman"/>
              </w:rPr>
              <w:t>单窗口渲染 ≤ 5000 点（降采样后），保持流畅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启动时间</w:t>
            </w:r>
          </w:p>
        </w:tc>
        <w:tc>
          <w:tcPr>
            <w:tcW w:type="dxa" w:w="6226"/>
          </w:tcPr>
          <w:p>
            <w:r>
              <w:rPr>
                <w:rFonts w:eastAsia="思源黑体" w:ascii="Times New Roman" w:hAnsi="Times New Roman" w:cs="Times New Roman"/>
              </w:rPr>
              <w:t>冷启动到可用 &lt; 5 s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内存占用</w:t>
            </w:r>
          </w:p>
        </w:tc>
        <w:tc>
          <w:tcPr>
            <w:tcW w:type="dxa" w:w="6226"/>
          </w:tcPr>
          <w:p>
            <w:r>
              <w:rPr>
                <w:rFonts w:eastAsia="思源黑体" w:ascii="Times New Roman" w:hAnsi="Times New Roman" w:cs="Times New Roman"/>
              </w:rPr>
              <w:t>连续运行 24 h 增量 &lt; 100 MB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8.2  稳定性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7 × 24 小时连续运行，无内存泄漏，无句柄泄漏。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串口断连自动重连，重连间隔指数退避（1 s / 2 s / 4 s … 上限 30 s）。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网关缓存补传：上位机恢复连接后自动拉取断连期间的数据。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单节点异常不影响其他节点，异常隔离到节点级。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数据库写入失败不影响实时显示，转入本地队列重试。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8.3  兼容性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226"/>
      </w:tblGrid>
      <w:tr>
        <w:tc>
          <w:tcPr>
            <w:tcW w:type="dxa" w:w="2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项目</w:t>
            </w:r>
          </w:p>
        </w:tc>
        <w:tc>
          <w:tcPr>
            <w:tcW w:type="dxa" w:w="6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要求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操作系统</w:t>
            </w:r>
          </w:p>
        </w:tc>
        <w:tc>
          <w:tcPr>
            <w:tcW w:type="dxa" w:w="6226"/>
          </w:tcPr>
          <w:p>
            <w:r>
              <w:rPr>
                <w:rFonts w:eastAsia="思源黑体" w:ascii="Times New Roman" w:hAnsi="Times New Roman" w:cs="Times New Roman"/>
              </w:rPr>
              <w:t>Windows 10/11（x64）为主，Linux 桌面可选支持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分辨率</w:t>
            </w:r>
          </w:p>
        </w:tc>
        <w:tc>
          <w:tcPr>
            <w:tcW w:type="dxa" w:w="6226"/>
          </w:tcPr>
          <w:p>
            <w:r>
              <w:rPr>
                <w:rFonts w:eastAsia="思源黑体" w:ascii="Times New Roman" w:hAnsi="Times New Roman" w:cs="Times New Roman"/>
              </w:rPr>
              <w:t>≥ 1280 × 720，支持 150% / 200% 缩放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浏览器（Web 方案）</w:t>
            </w:r>
          </w:p>
        </w:tc>
        <w:tc>
          <w:tcPr>
            <w:tcW w:type="dxa" w:w="6226"/>
          </w:tcPr>
          <w:p>
            <w:r>
              <w:rPr>
                <w:rFonts w:eastAsia="思源黑体" w:ascii="Times New Roman" w:hAnsi="Times New Roman" w:cs="Times New Roman"/>
              </w:rPr>
              <w:t>Chrome / Edge 最新两个大版本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中文字体</w:t>
            </w:r>
          </w:p>
        </w:tc>
        <w:tc>
          <w:tcPr>
            <w:tcW w:type="dxa" w:w="6226"/>
          </w:tcPr>
          <w:p>
            <w:r>
              <w:rPr>
                <w:rFonts w:eastAsia="思源黑体" w:ascii="Times New Roman" w:hAnsi="Times New Roman" w:cs="Times New Roman"/>
              </w:rPr>
              <w:t>Windows 微软雅黑，Linux 文泉驿微米黑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8.4  安全性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本地服务仅监听 127.0.0.1，禁止对局域网开放（远程部署场景另行评估）。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参数下发与删除操作需管理员权限并留痕。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数据库文件定期备份，支持一键导出工程包。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LoRa 空口数据可选 AES-128 加密（预留字段，本期不强制）。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9  开发计划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400"/>
        <w:gridCol w:w="800"/>
        <w:gridCol w:w="4226"/>
        <w:gridCol w:w="2600"/>
      </w:tblGrid>
      <w:tr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阶段</w:t>
            </w:r>
          </w:p>
        </w:tc>
        <w:tc>
          <w:tcPr>
            <w:tcW w:type="dxa" w:w="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周期</w:t>
            </w:r>
          </w:p>
        </w:tc>
        <w:tc>
          <w:tcPr>
            <w:tcW w:type="dxa" w:w="42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交付内容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验收标准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S1 链路打通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2 周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串口通信、帧解析、CRC、节点在线状态、最简表格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能稳定收到模拟节点数据并显示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S2 数据完善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2 周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SQLite 存储、趋势曲线、多节点叠加、时间窗切换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历史数据可查询回放，曲线流畅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S3 报警闭环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2 周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分级、去抖、声光、确认、记录、查询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模拟超限可正确触发与恢复，无误报刷屏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S4 功能打磨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2 周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布点定位图、参数下发、报表导出、工程文件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全流程可用，参数可远程生效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S5 联调实测</w:t>
            </w:r>
          </w:p>
        </w:tc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2 周</w:t>
            </w:r>
          </w:p>
        </w:tc>
        <w:tc>
          <w:tcPr>
            <w:tcW w:type="dxa" w:w="4226"/>
          </w:tcPr>
          <w:p>
            <w:r>
              <w:rPr>
                <w:rFonts w:eastAsia="思源黑体" w:ascii="Times New Roman" w:hAnsi="Times New Roman" w:cs="Times New Roman"/>
              </w:rPr>
              <w:t>与真实硬件联调、天线位置与 SF 档位调优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现场 15 节点连续运行 72 h 无异常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9.1  里程碑前置条件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S1 启动前：通信协议文档（本文档第 3 章）须经嵌入式组与上位机组共同评审通过。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S3 启动前：报警阈值与去抖参数须与产品、测试三方确认。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S5 启动前：硬件样机不少于 5 台，接收端固件完成缓存与补传功能。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10  风险与对策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700"/>
        <w:gridCol w:w="2200"/>
        <w:gridCol w:w="2426"/>
        <w:gridCol w:w="3700"/>
      </w:tblGrid>
      <w:tr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风险</w:t>
            </w:r>
          </w:p>
        </w:tc>
        <w:tc>
          <w:tcPr>
            <w:tcW w:type="dxa" w:w="24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影响</w:t>
            </w:r>
          </w:p>
        </w:tc>
        <w:tc>
          <w:tcPr>
            <w:tcW w:type="dxa" w:w="3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对策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R1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协议未定稿即并行开发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大量返工</w:t>
            </w:r>
          </w:p>
        </w:tc>
        <w:tc>
          <w:tcPr>
            <w:tcW w:type="dxa" w:w="3700"/>
          </w:tcPr>
          <w:p>
            <w:r>
              <w:rPr>
                <w:rFonts w:eastAsia="思源黑体" w:ascii="Times New Roman" w:hAnsi="Times New Roman" w:cs="Times New Roman"/>
              </w:rPr>
              <w:t>第 3 章协议先行评审，双方按同一份文档开发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R2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报警误报刷屏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现场体验灾难、用户不信任</w:t>
            </w:r>
          </w:p>
        </w:tc>
        <w:tc>
          <w:tcPr>
            <w:tcW w:type="dxa" w:w="3700"/>
          </w:tcPr>
          <w:p>
            <w:r>
              <w:rPr>
                <w:rFonts w:eastAsia="思源黑体" w:ascii="Times New Roman" w:hAnsi="Times New Roman" w:cs="Times New Roman"/>
              </w:rPr>
              <w:t>去抖策略 + 可调阈值 + 静音时段，S3 阶段专项验证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R3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节点离线发现慢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漏报</w:t>
            </w:r>
          </w:p>
        </w:tc>
        <w:tc>
          <w:tcPr>
            <w:tcW w:type="dxa" w:w="3700"/>
          </w:tcPr>
          <w:p>
            <w:r>
              <w:rPr>
                <w:rFonts w:eastAsia="思源黑体" w:ascii="Times New Roman" w:hAnsi="Times New Roman" w:cs="Times New Roman"/>
              </w:rPr>
              <w:t>心跳超时判定，周期可配置，默认 3 × 上报周期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R4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上位机离线期间数据丢失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数据断档</w:t>
            </w:r>
          </w:p>
        </w:tc>
        <w:tc>
          <w:tcPr>
            <w:tcW w:type="dxa" w:w="3700"/>
          </w:tcPr>
          <w:p>
            <w:r>
              <w:rPr>
                <w:rFonts w:eastAsia="思源黑体" w:ascii="Times New Roman" w:hAnsi="Times New Roman" w:cs="Times New Roman"/>
              </w:rPr>
              <w:t>接收端必做本地缓存，恢复后自动补传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R5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时钟错乱导致曲线乱序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数据不可用</w:t>
            </w:r>
          </w:p>
        </w:tc>
        <w:tc>
          <w:tcPr>
            <w:tcW w:type="dxa" w:w="3700"/>
          </w:tcPr>
          <w:p>
            <w:r>
              <w:rPr>
                <w:rFonts w:eastAsia="思源黑体" w:ascii="Times New Roman" w:hAnsi="Times New Roman" w:cs="Times New Roman"/>
              </w:rPr>
              <w:t>上位机定期广播校时，节点上报带绝对时间戳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R6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串口粘包 / 断帧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解析错误</w:t>
            </w:r>
          </w:p>
        </w:tc>
        <w:tc>
          <w:tcPr>
            <w:tcW w:type="dxa" w:w="3700"/>
          </w:tcPr>
          <w:p>
            <w:r>
              <w:rPr>
                <w:rFonts w:eastAsia="思源黑体" w:ascii="Times New Roman" w:hAnsi="Times New Roman" w:cs="Times New Roman"/>
              </w:rPr>
              <w:t>起止符 + 转义 + 长度校验 + CRC16 + 状态机解析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R7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SF 参数拍脑袋定错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通信超时或距离不足</w:t>
            </w:r>
          </w:p>
        </w:tc>
        <w:tc>
          <w:tcPr>
            <w:tcW w:type="dxa" w:w="3700"/>
          </w:tcPr>
          <w:p>
            <w:r>
              <w:rPr>
                <w:rFonts w:eastAsia="思源黑体" w:ascii="Times New Roman" w:hAnsi="Times New Roman" w:cs="Times New Roman"/>
              </w:rPr>
              <w:t>部署前现场实测一轮，不直接采用 SF12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R8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数据库长期膨胀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磁盘占满、查询变慢</w:t>
            </w:r>
          </w:p>
        </w:tc>
        <w:tc>
          <w:tcPr>
            <w:tcW w:type="dxa" w:w="3700"/>
          </w:tcPr>
          <w:p>
            <w:r>
              <w:rPr>
                <w:rFonts w:eastAsia="思源黑体" w:ascii="Times New Roman" w:hAnsi="Times New Roman" w:cs="Times New Roman"/>
              </w:rPr>
              <w:t>按月分区 + 满 3 个月降采样归档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R9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LoRa 法规合规</w:t>
            </w:r>
          </w:p>
        </w:tc>
        <w:tc>
          <w:tcPr>
            <w:tcW w:type="dxa" w:w="2426"/>
          </w:tcPr>
          <w:p>
            <w:r>
              <w:rPr>
                <w:rFonts w:eastAsia="思源黑体" w:ascii="Times New Roman" w:hAnsi="Times New Roman" w:cs="Times New Roman"/>
              </w:rPr>
              <w:t>产品无法上市</w:t>
            </w:r>
          </w:p>
        </w:tc>
        <w:tc>
          <w:tcPr>
            <w:tcW w:type="dxa" w:w="3700"/>
          </w:tcPr>
          <w:p>
            <w:r>
              <w:rPr>
                <w:rFonts w:eastAsia="思源黑体" w:ascii="Times New Roman" w:hAnsi="Times New Roman" w:cs="Times New Roman"/>
              </w:rPr>
              <w:t>严格限定 470–510 MHz、≤50 mW e.r.p、单次发射 &lt; 1 s、保留 CAD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附录 A  帧示例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A.1  上行周期帧（节点 0x0001，平均强度 42.3 dB，峰值 58.7 dB）</w:t>
      </w:r>
    </w:p>
    <w:p>
      <w:pPr>
        <w:spacing w:after="120"/>
      </w:pPr>
      <w:r>
        <w:rPr>
          <w:rFonts w:eastAsia="WenQuanYi Micro Hei" w:ascii="Consolas" w:hAnsi="Consolas" w:cs="Consolas"/>
          <w:sz w:val="18"/>
          <w:szCs w:val="18"/>
        </w:rPr>
        <w:t>偏移  字节          含义</w:t>
        <w:br/>
      </w:r>
      <w:r>
        <w:rPr>
          <w:rFonts w:eastAsia="WenQuanYi Micro Hei" w:ascii="Consolas" w:hAnsi="Consolas" w:cs="Consolas"/>
          <w:sz w:val="18"/>
          <w:szCs w:val="18"/>
        </w:rPr>
        <w:t>0-1   AA 55        同步头</w:t>
        <w:br/>
      </w:r>
      <w:r>
        <w:rPr>
          <w:rFonts w:eastAsia="WenQuanYi Micro Hei" w:ascii="Consolas" w:hAnsi="Consolas" w:cs="Consolas"/>
          <w:sz w:val="18"/>
          <w:szCs w:val="18"/>
        </w:rPr>
        <w:t>2     01           协议版本</w:t>
        <w:br/>
      </w:r>
      <w:r>
        <w:rPr>
          <w:rFonts w:eastAsia="WenQuanYi Micro Hei" w:ascii="Consolas" w:hAnsi="Consolas" w:cs="Consolas"/>
          <w:sz w:val="18"/>
          <w:szCs w:val="18"/>
        </w:rPr>
        <w:t>3     01           周期上报</w:t>
        <w:br/>
      </w:r>
      <w:r>
        <w:rPr>
          <w:rFonts w:eastAsia="WenQuanYi Micro Hei" w:ascii="Consolas" w:hAnsi="Consolas" w:cs="Consolas"/>
          <w:sz w:val="18"/>
          <w:szCs w:val="18"/>
        </w:rPr>
        <w:t>4-5   00 01        节点地址 0x0001</w:t>
        <w:br/>
      </w:r>
      <w:r>
        <w:rPr>
          <w:rFonts w:eastAsia="WenQuanYi Micro Hei" w:ascii="Consolas" w:hAnsi="Consolas" w:cs="Consolas"/>
          <w:sz w:val="18"/>
          <w:szCs w:val="18"/>
        </w:rPr>
        <w:t>6-7   00 7B        帧序号 123</w:t>
        <w:br/>
      </w:r>
      <w:r>
        <w:rPr>
          <w:rFonts w:eastAsia="WenQuanYi Micro Hei" w:ascii="Consolas" w:hAnsi="Consolas" w:cs="Consolas"/>
          <w:sz w:val="18"/>
          <w:szCs w:val="18"/>
        </w:rPr>
        <w:t>8-11  68 2A 3F 10  UTC 时间戳</w:t>
        <w:br/>
      </w:r>
      <w:r>
        <w:rPr>
          <w:rFonts w:eastAsia="WenQuanYi Micro Hei" w:ascii="Consolas" w:hAnsi="Consolas" w:cs="Consolas"/>
          <w:sz w:val="18"/>
          <w:szCs w:val="18"/>
        </w:rPr>
        <w:t>12    00           标志位：无报警、传感器正常、电量正常</w:t>
        <w:br/>
      </w:r>
      <w:r>
        <w:rPr>
          <w:rFonts w:eastAsia="WenQuanYi Micro Hei" w:ascii="Consolas" w:hAnsi="Consolas" w:cs="Consolas"/>
          <w:sz w:val="18"/>
          <w:szCs w:val="18"/>
        </w:rPr>
        <w:t>13-14 02 4B        峰值 58.7 dB（587 定标 0.1）</w:t>
        <w:br/>
      </w:r>
      <w:r>
        <w:rPr>
          <w:rFonts w:eastAsia="WenQuanYi Micro Hei" w:ascii="Consolas" w:hAnsi="Consolas" w:cs="Consolas"/>
          <w:sz w:val="18"/>
          <w:szCs w:val="18"/>
        </w:rPr>
        <w:t>15-16 01 A7        均值 42.3 dB（423 定标 0.1）</w:t>
        <w:br/>
      </w:r>
      <w:r>
        <w:rPr>
          <w:rFonts w:eastAsia="WenQuanYi Micro Hei" w:ascii="Consolas" w:hAnsi="Consolas" w:cs="Consolas"/>
          <w:sz w:val="18"/>
          <w:szCs w:val="18"/>
        </w:rPr>
        <w:t>17-18 00 FA        噪声 25.0 dB（250 定标 0.1）</w:t>
        <w:br/>
      </w:r>
      <w:r>
        <w:rPr>
          <w:rFonts w:eastAsia="WenQuanYi Micro Hei" w:ascii="Consolas" w:hAnsi="Consolas" w:cs="Consolas"/>
          <w:sz w:val="18"/>
          <w:szCs w:val="18"/>
        </w:rPr>
        <w:t>19-20 00 0C        脉冲计数 12</w:t>
        <w:br/>
      </w:r>
      <w:r>
        <w:rPr>
          <w:rFonts w:eastAsia="WenQuanYi Micro Hei" w:ascii="Consolas" w:hAnsi="Consolas" w:cs="Consolas"/>
          <w:sz w:val="18"/>
          <w:szCs w:val="18"/>
        </w:rPr>
        <w:t>21    7A           电池 12.2 V</w:t>
        <w:br/>
      </w:r>
      <w:r>
        <w:rPr>
          <w:rFonts w:eastAsia="WenQuanYi Micro Hei" w:ascii="Consolas" w:hAnsi="Consolas" w:cs="Consolas"/>
          <w:sz w:val="18"/>
          <w:szCs w:val="18"/>
        </w:rPr>
        <w:t>22    00           保留</w:t>
        <w:br/>
      </w:r>
      <w:r>
        <w:rPr>
          <w:rFonts w:eastAsia="WenQuanYi Micro Hei" w:ascii="Consolas" w:hAnsi="Consolas" w:cs="Consolas"/>
          <w:sz w:val="18"/>
          <w:szCs w:val="18"/>
        </w:rPr>
        <w:t>23-24 XX XX        CRC16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A.2  下行写配置帧（设置节点 0x0001 报警阈值）</w:t>
      </w:r>
    </w:p>
    <w:p>
      <w:pPr>
        <w:spacing w:after="120"/>
      </w:pPr>
      <w:r>
        <w:rPr>
          <w:rFonts w:eastAsia="WenQuanYi Micro Hei" w:ascii="Consolas" w:hAnsi="Consolas" w:cs="Consolas"/>
          <w:sz w:val="18"/>
          <w:szCs w:val="18"/>
        </w:rPr>
        <w:t>偏移  字节          含义</w:t>
        <w:br/>
      </w:r>
      <w:r>
        <w:rPr>
          <w:rFonts w:eastAsia="WenQuanYi Micro Hei" w:ascii="Consolas" w:hAnsi="Consolas" w:cs="Consolas"/>
          <w:sz w:val="18"/>
          <w:szCs w:val="18"/>
        </w:rPr>
        <w:t>0-1   55 AA        同步头</w:t>
        <w:br/>
      </w:r>
      <w:r>
        <w:rPr>
          <w:rFonts w:eastAsia="WenQuanYi Micro Hei" w:ascii="Consolas" w:hAnsi="Consolas" w:cs="Consolas"/>
          <w:sz w:val="18"/>
          <w:szCs w:val="18"/>
        </w:rPr>
        <w:t>2     01           协议版本</w:t>
        <w:br/>
      </w:r>
      <w:r>
        <w:rPr>
          <w:rFonts w:eastAsia="WenQuanYi Micro Hei" w:ascii="Consolas" w:hAnsi="Consolas" w:cs="Consolas"/>
          <w:sz w:val="18"/>
          <w:szCs w:val="18"/>
        </w:rPr>
        <w:t>3     11           写配置</w:t>
        <w:br/>
      </w:r>
      <w:r>
        <w:rPr>
          <w:rFonts w:eastAsia="WenQuanYi Micro Hei" w:ascii="Consolas" w:hAnsi="Consolas" w:cs="Consolas"/>
          <w:sz w:val="18"/>
          <w:szCs w:val="18"/>
        </w:rPr>
        <w:t>4-5   00 01        目标节点 0x0001</w:t>
        <w:br/>
      </w:r>
      <w:r>
        <w:rPr>
          <w:rFonts w:eastAsia="WenQuanYi Micro Hei" w:ascii="Consolas" w:hAnsi="Consolas" w:cs="Consolas"/>
          <w:sz w:val="18"/>
          <w:szCs w:val="18"/>
        </w:rPr>
        <w:t>6-7   00 05        命令序号 5</w:t>
        <w:br/>
      </w:r>
      <w:r>
        <w:rPr>
          <w:rFonts w:eastAsia="WenQuanYi Micro Hei" w:ascii="Consolas" w:hAnsi="Consolas" w:cs="Consolas"/>
          <w:sz w:val="18"/>
          <w:szCs w:val="18"/>
        </w:rPr>
        <w:t>8     06           载荷长度 6 字节</w:t>
        <w:br/>
      </w:r>
      <w:r>
        <w:rPr>
          <w:rFonts w:eastAsia="WenQuanYi Micro Hei" w:ascii="Consolas" w:hAnsi="Consolas" w:cs="Consolas"/>
          <w:sz w:val="18"/>
          <w:szCs w:val="18"/>
        </w:rPr>
        <w:t>9-10  01 2C        关注阈值 30.0 dB（300）</w:t>
        <w:br/>
      </w:r>
      <w:r>
        <w:rPr>
          <w:rFonts w:eastAsia="WenQuanYi Micro Hei" w:ascii="Consolas" w:hAnsi="Consolas" w:cs="Consolas"/>
          <w:sz w:val="18"/>
          <w:szCs w:val="18"/>
        </w:rPr>
        <w:t>11-12 01 F4        预警阈值 50.0 dB（500）</w:t>
        <w:br/>
      </w:r>
      <w:r>
        <w:rPr>
          <w:rFonts w:eastAsia="WenQuanYi Micro Hei" w:ascii="Consolas" w:hAnsi="Consolas" w:cs="Consolas"/>
          <w:sz w:val="18"/>
          <w:szCs w:val="18"/>
        </w:rPr>
        <w:t>13-14 02 58        报警阈值 60.0 dB（600）</w:t>
        <w:br/>
      </w:r>
      <w:r>
        <w:rPr>
          <w:rFonts w:eastAsia="WenQuanYi Micro Hei" w:ascii="Consolas" w:hAnsi="Consolas" w:cs="Consolas"/>
          <w:sz w:val="18"/>
          <w:szCs w:val="18"/>
        </w:rPr>
        <w:t>15-16 XX XX        CRC16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附录 B  关键测试用例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000"/>
        <w:gridCol w:w="4026"/>
        <w:gridCol w:w="4000"/>
      </w:tblGrid>
      <w:tr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40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用例</w:t>
            </w:r>
          </w:p>
        </w:tc>
        <w:tc>
          <w:tcPr>
            <w:tcW w:type="dxa" w:w="4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预期结果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TC-01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单节点周期上报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表格实时更新，曲线连续无断点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TC-02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连续 3 次超限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触发对应等级报警，弹窗 + 横幅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TC-03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单次超限后恢复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不触发报警（去抖生效），仅记录原始超限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TC-04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节点断电 5 分钟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心跳超时后标记离线，恢复后自动上线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TC-05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上位机断连 10 分钟后重连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自动补传断连期间数据，曲线无缺口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TC-06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CRC 错误帧注入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该帧丢弃并记入通信日志，不影响后续解析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TC-07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粘包 / 半包数据注入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状态机正确切帧，无解析错误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TC-08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50 节点并发轮询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一轮完成时间符合预期，无丢帧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TC-09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连续运行 72 小时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内存无明显增长，无崩溃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TC-10</w:t>
            </w:r>
          </w:p>
        </w:tc>
        <w:tc>
          <w:tcPr>
            <w:tcW w:type="dxa" w:w="4026"/>
          </w:tcPr>
          <w:p>
            <w:r>
              <w:rPr>
                <w:rFonts w:eastAsia="思源黑体" w:ascii="Times New Roman" w:hAnsi="Times New Roman" w:cs="Times New Roman"/>
              </w:rPr>
              <w:t>参数下发并读回校验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节点参数与下发值一致</w:t>
            </w:r>
          </w:p>
        </w:tc>
      </w:tr>
    </w:tbl>
    <w:sectPr w:rsidR="00FC693F" w:rsidRPr="0006063C" w:rsidSect="00034616">
      <w:footerReference w:type="default" r:id="rId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{"Label":"1","ContentProducer":"001191440300708461136T1WFUO","ProduceID":"9de7b45a14e5441b05641b1d1c321921-UJe6","ReservedCode1":"{\"Type\":\" TC260PG\",\"Version\":1,\"Bindings\":[{\"Type\":\"soft\",\"AlgID\":\"sm3\",\"Value\":\"0e0b602ded34cc467761fc2cd2cf8d15373140f0833414fdc63d751c33f5a542\"},{\"Type\":\"hash\",\"AlgID\":\"sm3\",\"Value\":\"9ee9dbbedf12b0e91d05b3bd76b813830649e9f1977e0507dea8a0385f1aed62\"}],\"PubSD\":[{\"Type\":\"DS\",\"AlgID\":\"sm2\",\"TBSData\":{\"Type\":\"Binding\",\"BType\":\"hash\"},\"Signature\":\"304502200ca29684d333642328d0ca2ed97450f4b15f4f855fd21fcb778aaaf664456f1a022100d0f4eccc86ef81ed63208891d7d7a5908f1338177f06fc3bd5a4acd1ef7032cb\"},{\"Type\":\"PubKey\",\"AlgID\":\"sm2\",\"KeyValue\":\"0407f79b28a17a752b3aae4305c98b48978213832729a2571850b1310b2bc9fe8fee039ccf25ebfeac27502414d9fcef792d777183c98893d226171c2f7a3289a2\"}],\"Extension\":{\"Timestamp\":1790731378,\"KeyVersion\":\"v1-TxLeOmf7bqU223\"}}","ContentPropagator":"001191440300708461136T1WFUO","PropagateID":"9de7b45a14e5441b05641b1d1c321921-UJe6","ReservedCode2":"{\"Type\":\" TC260PG\",\"Version\":1,\"Bindings\":[{\"Type\":\"soft\",\"AlgID\":\"sm3\",\"Value\":\"0e0b602ded34cc467761fc2cd2cf8d15373140f0833414fdc63d751c33f5a542\"},{\"Type\":\"hash\",\"AlgID\":\"sm3\",\"Value\":\"9ee9dbbedf12b0e91d05b3bd76b813830649e9f1977e0507dea8a0385f1aed62\"}],\"PubSD\":[{\"Type\":\"DS\",\"AlgID\":\"sm2\",\"TBSData\":{\"Type\":\"Binding\",\"BType\":\"hash\"},\"Signature\":\"3046022100bbdf2c0050b7dcd072000f66d861f29a5bc290133398b9c161410027d9388d390221009aabc1ac52f5649614ab845073a4c6b6a4536dd95a8b192aef0e0fb18cc8ad32\"},{\"Type\":\"PubKey\",\"AlgID\":\"sm2\",\"KeyValue\":\"0407f79b28a17a752b3aae4305c98b48978213832729a2571850b1310b2bc9fe8fee039ccf25ebfeac27502414d9fcef792d777183c98893d226171c2f7a3289a2\"}],\"Extension\":{\"Timestamp\":1790731378,\"KeyVersion\":\"v1-TxLeOmf7bqU223\"}}"}</vt:lpwstr>
  </property>
</Properties>
</file>