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450" w:lineRule="atLeast"/>
        <w:ind w:left="0" w:right="0" w:firstLine="0"/>
        <w:jc w:val="left"/>
        <w:rPr>
          <w:rFonts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lang w:val="en-US" w:eastAsia="zh-CN"/>
        </w:rPr>
        <w:t>说，</w:t>
      </w:r>
      <w:r>
        <w:rPr>
          <w:rFonts w:hint="eastAsia" w:ascii="微软雅黑" w:hAnsi="微软雅黑" w:eastAsia="微软雅黑" w:cs="微软雅黑"/>
          <w:i w:val="0"/>
          <w:caps w:val="0"/>
          <w:color w:val="333333"/>
          <w:spacing w:val="0"/>
          <w:sz w:val="24"/>
          <w:szCs w:val="24"/>
          <w:bdr w:val="none" w:color="auto" w:sz="0" w:space="0"/>
          <w:shd w:val="clear" w:fill="FFFFFF"/>
        </w:rPr>
        <w:t>论说文的一种。源于先秦策士进说献谋的“游说”之辞。为了</w:t>
      </w:r>
      <w:r>
        <w:rPr>
          <w:rFonts w:hint="eastAsia" w:ascii="微软雅黑" w:hAnsi="微软雅黑" w:eastAsia="微软雅黑" w:cs="微软雅黑"/>
          <w:i w:val="0"/>
          <w:caps w:val="0"/>
          <w:color w:val="333333"/>
          <w:spacing w:val="0"/>
          <w:sz w:val="24"/>
          <w:szCs w:val="24"/>
          <w:u w:val="single"/>
          <w:bdr w:val="none" w:color="auto" w:sz="0" w:space="0"/>
          <w:shd w:val="clear" w:fill="FFFFFF"/>
        </w:rPr>
        <w:t>说服人、打动人</w:t>
      </w:r>
      <w:r>
        <w:rPr>
          <w:rFonts w:hint="eastAsia" w:ascii="微软雅黑" w:hAnsi="微软雅黑" w:eastAsia="微软雅黑" w:cs="微软雅黑"/>
          <w:i w:val="0"/>
          <w:caps w:val="0"/>
          <w:color w:val="333333"/>
          <w:spacing w:val="0"/>
          <w:sz w:val="24"/>
          <w:szCs w:val="24"/>
          <w:bdr w:val="none" w:color="auto" w:sz="0" w:space="0"/>
          <w:shd w:val="clear" w:fill="FFFFFF"/>
        </w:rPr>
        <w:t>,这些说辞都</w:t>
      </w:r>
      <w:r>
        <w:rPr>
          <w:rFonts w:hint="eastAsia" w:ascii="微软雅黑" w:hAnsi="微软雅黑" w:eastAsia="微软雅黑" w:cs="微软雅黑"/>
          <w:b/>
          <w:bCs/>
          <w:i w:val="0"/>
          <w:caps w:val="0"/>
          <w:color w:val="333333"/>
          <w:spacing w:val="0"/>
          <w:sz w:val="24"/>
          <w:szCs w:val="24"/>
          <w:bdr w:val="none" w:color="auto" w:sz="0" w:space="0"/>
          <w:shd w:val="clear" w:fill="FFFFFF"/>
        </w:rPr>
        <w:t>注重辞采</w:t>
      </w:r>
      <w:r>
        <w:rPr>
          <w:rFonts w:hint="eastAsia" w:ascii="微软雅黑" w:hAnsi="微软雅黑" w:eastAsia="微软雅黑" w:cs="微软雅黑"/>
          <w:i w:val="0"/>
          <w:caps w:val="0"/>
          <w:color w:val="333333"/>
          <w:spacing w:val="0"/>
          <w:sz w:val="24"/>
          <w:szCs w:val="24"/>
          <w:bdr w:val="none" w:color="auto" w:sz="0" w:space="0"/>
          <w:shd w:val="clear" w:fill="FFFFFF"/>
        </w:rPr>
        <w:t>。汉以后，以“说”名篇的文章，一般是说明、申释事理，相当于今天所谓“说明文”。柳宗元《天说》、韩愈《师说》都是“说”的名篇。</w:t>
      </w:r>
      <w:r>
        <w:rPr>
          <w:rFonts w:hint="eastAsia" w:ascii="微软雅黑" w:hAnsi="微软雅黑" w:eastAsia="微软雅黑" w:cs="微软雅黑"/>
          <w:i w:val="0"/>
          <w:caps w:val="0"/>
          <w:color w:val="333333"/>
          <w:spacing w:val="0"/>
          <w:sz w:val="24"/>
          <w:szCs w:val="24"/>
          <w:u w:val="single"/>
          <w:bdr w:val="none" w:color="auto" w:sz="0" w:space="0"/>
          <w:shd w:val="clear" w:fill="FFFFFF"/>
        </w:rPr>
        <w:t>有的“说”体文带有杂文的性质，或写一时所感，或记一时所见，题目可大可小，行文也较自由随便</w:t>
      </w:r>
      <w:r>
        <w:rPr>
          <w:rFonts w:hint="eastAsia" w:ascii="微软雅黑" w:hAnsi="微软雅黑" w:eastAsia="微软雅黑" w:cs="微软雅黑"/>
          <w:i w:val="0"/>
          <w:caps w:val="0"/>
          <w:color w:val="333333"/>
          <w:spacing w:val="0"/>
          <w:sz w:val="24"/>
          <w:szCs w:val="24"/>
          <w:bdr w:val="none" w:color="auto" w:sz="0" w:space="0"/>
          <w:shd w:val="clear" w:fill="FFFFFF"/>
        </w:rPr>
        <w:t>。如柳宗元《捕蛇者说》、周敦颐《爱莲说》</w:t>
      </w:r>
      <w:r>
        <w:rPr>
          <w:rFonts w:hint="eastAsia" w:ascii="微软雅黑" w:hAnsi="微软雅黑" w:eastAsia="微软雅黑" w:cs="微软雅黑"/>
          <w:i w:val="0"/>
          <w:caps w:val="0"/>
          <w:color w:val="333333"/>
          <w:spacing w:val="0"/>
          <w:sz w:val="24"/>
          <w:szCs w:val="24"/>
          <w:bdr w:val="none" w:color="auto" w:sz="0" w:space="0"/>
          <w:shd w:val="clear" w:fill="FFFFFF"/>
          <w:lang w:val="en-US" w:eastAsia="zh-CN"/>
        </w:rPr>
        <w:t xml:space="preserve"> </w:t>
      </w:r>
      <w:r>
        <w:rPr>
          <w:rFonts w:hint="eastAsia" w:ascii="微软雅黑" w:hAnsi="微软雅黑" w:eastAsia="微软雅黑" w:cs="微软雅黑"/>
          <w:i w:val="0"/>
          <w:caps w:val="0"/>
          <w:color w:val="333333"/>
          <w:spacing w:val="0"/>
          <w:sz w:val="24"/>
          <w:szCs w:val="24"/>
          <w:bdr w:val="none" w:color="auto" w:sz="0" w:space="0"/>
          <w:shd w:val="clear" w:fill="FFFFFF"/>
        </w:rPr>
        <w:t>等等。与“论”比较，“说”偏重于说明申释事理，内容、写法和风格都比较灵活多样。</w:t>
      </w:r>
    </w:p>
    <w:p>
      <w:pPr>
        <w:shd w:val="clear"/>
      </w:pPr>
    </w:p>
    <w:p>
      <w:pPr>
        <w:shd w:val="clear"/>
      </w:pPr>
    </w:p>
    <w:p>
      <w:pPr>
        <w:shd w:val="clear"/>
      </w:pPr>
    </w:p>
    <w:p>
      <w:pPr>
        <w:shd w:val="clear"/>
        <w:rPr>
          <w:rFonts w:hint="eastAsia"/>
          <w:lang w:val="en-US" w:eastAsia="zh-CN"/>
        </w:rPr>
      </w:pPr>
      <w:r>
        <w:rPr>
          <w:rFonts w:hint="eastAsia"/>
          <w:lang w:val="en-US" w:eastAsia="zh-CN"/>
        </w:rPr>
        <w:t>师说：</w:t>
      </w:r>
      <w:r>
        <w:rPr>
          <w:rFonts w:ascii="Arial" w:hAnsi="Arial" w:eastAsia="Arial" w:cs="Arial"/>
          <w:i w:val="0"/>
          <w:caps w:val="0"/>
          <w:color w:val="0F0F0F"/>
          <w:spacing w:val="0"/>
          <w:sz w:val="21"/>
          <w:szCs w:val="21"/>
          <w:shd w:val="clear" w:fill="F0EFE2"/>
        </w:rPr>
        <w:t>作者对自己的理论主张高度自信，对事理又有透彻的分析，因而在论述中不但步骤严密，一气旋折，而且常常在行文关键处用极概括而准确的语言将思想的精粹鲜明地表达出来，形成一段乃至一</w:t>
      </w:r>
      <w:bookmarkStart w:id="0" w:name="_GoBack"/>
      <w:bookmarkEnd w:id="0"/>
      <w:r>
        <w:rPr>
          <w:rFonts w:ascii="Arial" w:hAnsi="Arial" w:eastAsia="Arial" w:cs="Arial"/>
          <w:i w:val="0"/>
          <w:caps w:val="0"/>
          <w:color w:val="0F0F0F"/>
          <w:spacing w:val="0"/>
          <w:sz w:val="21"/>
          <w:szCs w:val="21"/>
          <w:shd w:val="clear" w:fill="F0EFE2"/>
        </w:rPr>
        <w:t>篇中的警策，给读者留下强烈深刻的印象</w:t>
      </w:r>
    </w:p>
    <w:p>
      <w:pPr>
        <w:shd w:val="clear"/>
        <w:rPr>
          <w:rFonts w:hint="eastAsia"/>
          <w:lang w:val="en-US" w:eastAsia="zh-CN"/>
        </w:rPr>
      </w:pPr>
    </w:p>
    <w:p>
      <w:pPr>
        <w:shd w:val="clear"/>
        <w:rPr>
          <w:rFonts w:hint="default" w:eastAsia="宋体"/>
          <w:lang w:val="en-US" w:eastAsia="zh-CN"/>
        </w:rPr>
      </w:pPr>
      <w:r>
        <w:rPr>
          <w:rFonts w:ascii="Arial" w:hAnsi="Arial" w:eastAsia="Arial" w:cs="Arial"/>
          <w:i w:val="0"/>
          <w:caps w:val="0"/>
          <w:color w:val="0F0F0F"/>
          <w:spacing w:val="0"/>
          <w:sz w:val="21"/>
          <w:szCs w:val="21"/>
          <w:shd w:val="clear" w:fill="F0EFE2"/>
        </w:rPr>
        <w:t>著名论文</w:t>
      </w:r>
      <w:r>
        <w:rPr>
          <w:rFonts w:hint="eastAsia" w:ascii="Arial" w:hAnsi="Arial" w:eastAsia="宋体" w:cs="Arial"/>
          <w:i w:val="0"/>
          <w:caps w:val="0"/>
          <w:color w:val="0F0F0F"/>
          <w:spacing w:val="0"/>
          <w:sz w:val="21"/>
          <w:szCs w:val="21"/>
          <w:shd w:val="clear" w:fill="F0EFE2"/>
          <w:lang w:val="en-US" w:eastAsia="zh-CN"/>
        </w:rPr>
        <w:t xml:space="preserve">    </w:t>
      </w:r>
      <w:r>
        <w:rPr>
          <w:rFonts w:ascii="Arial" w:hAnsi="Arial" w:eastAsia="Arial" w:cs="Arial"/>
          <w:i w:val="0"/>
          <w:caps w:val="0"/>
          <w:color w:val="0F0F0F"/>
          <w:spacing w:val="0"/>
          <w:sz w:val="21"/>
          <w:szCs w:val="21"/>
          <w:shd w:val="clear" w:fill="F0EFE2"/>
        </w:rPr>
        <w:t>文从字顺、平易畅达</w:t>
      </w:r>
    </w:p>
    <w:p>
      <w:pPr>
        <w:shd w:val="clear"/>
        <w:rPr>
          <w:rFonts w:hint="eastAsia"/>
          <w:lang w:val="en-US" w:eastAsia="zh-CN"/>
        </w:rPr>
      </w:pPr>
    </w:p>
    <w:p>
      <w:pPr>
        <w:widowControl w:val="0"/>
        <w:numPr>
          <w:ilvl w:val="0"/>
          <w:numId w:val="1"/>
        </w:numPr>
        <w:shd w:val="clear"/>
        <w:jc w:val="both"/>
        <w:rPr>
          <w:rFonts w:ascii="Arial" w:hAnsi="Arial" w:eastAsia="Arial" w:cs="Arial"/>
          <w:i w:val="0"/>
          <w:caps w:val="0"/>
          <w:color w:val="0F0F0F"/>
          <w:spacing w:val="0"/>
          <w:sz w:val="21"/>
          <w:szCs w:val="21"/>
          <w:shd w:val="clear" w:fill="F0EFE2"/>
        </w:rPr>
      </w:pPr>
      <w:r>
        <w:rPr>
          <w:rFonts w:hint="eastAsia" w:ascii="Arial" w:hAnsi="Arial" w:eastAsia="宋体" w:cs="Arial"/>
          <w:i w:val="0"/>
          <w:caps w:val="0"/>
          <w:color w:val="0F0F0F"/>
          <w:spacing w:val="0"/>
          <w:sz w:val="21"/>
          <w:szCs w:val="21"/>
          <w:shd w:val="clear" w:fill="F0EFE2"/>
          <w:lang w:val="en-US" w:eastAsia="zh-CN"/>
        </w:rPr>
        <w:t xml:space="preserve">   </w:t>
      </w:r>
      <w:r>
        <w:rPr>
          <w:rFonts w:ascii="Arial" w:hAnsi="Arial" w:eastAsia="Arial" w:cs="Arial"/>
          <w:i w:val="0"/>
          <w:caps w:val="0"/>
          <w:color w:val="0F0F0F"/>
          <w:spacing w:val="0"/>
          <w:sz w:val="21"/>
          <w:szCs w:val="21"/>
          <w:shd w:val="clear" w:fill="F0EFE2"/>
        </w:rPr>
        <w:t>从正面申述中心论点</w:t>
      </w:r>
      <w:r>
        <w:rPr>
          <w:rFonts w:hint="eastAsia" w:ascii="Arial" w:hAnsi="Arial" w:eastAsia="宋体" w:cs="Arial"/>
          <w:i w:val="0"/>
          <w:caps w:val="0"/>
          <w:color w:val="0F0F0F"/>
          <w:spacing w:val="0"/>
          <w:sz w:val="21"/>
          <w:szCs w:val="21"/>
          <w:shd w:val="clear" w:fill="F0EFE2"/>
          <w:lang w:eastAsia="zh-CN"/>
        </w:rPr>
        <w:t>；</w:t>
      </w:r>
      <w:r>
        <w:rPr>
          <w:rFonts w:ascii="Arial" w:hAnsi="Arial" w:eastAsia="Arial" w:cs="Arial"/>
          <w:i w:val="0"/>
          <w:caps w:val="0"/>
          <w:color w:val="0F0F0F"/>
          <w:spacing w:val="0"/>
          <w:sz w:val="21"/>
          <w:szCs w:val="21"/>
          <w:shd w:val="clear" w:fill="F0EFE2"/>
        </w:rPr>
        <w:t>反面申述中心论点</w:t>
      </w:r>
    </w:p>
    <w:p>
      <w:pPr>
        <w:widowControl w:val="0"/>
        <w:numPr>
          <w:numId w:val="0"/>
        </w:numPr>
        <w:shd w:val="clear"/>
        <w:jc w:val="both"/>
        <w:rPr>
          <w:rFonts w:hint="eastAsia" w:ascii="Arial" w:hAnsi="Arial" w:eastAsia="Arial" w:cs="Arial"/>
          <w:i w:val="0"/>
          <w:caps w:val="0"/>
          <w:color w:val="0F0F0F"/>
          <w:spacing w:val="0"/>
          <w:sz w:val="21"/>
          <w:szCs w:val="21"/>
          <w:shd w:val="clear" w:fill="F0EFE2"/>
          <w:lang w:val="en-US" w:eastAsia="zh-CN"/>
        </w:rPr>
      </w:pPr>
    </w:p>
    <w:p>
      <w:pPr>
        <w:widowControl w:val="0"/>
        <w:numPr>
          <w:numId w:val="0"/>
        </w:numPr>
        <w:shd w:val="clear"/>
        <w:jc w:val="both"/>
        <w:rPr>
          <w:rFonts w:hint="eastAsia" w:ascii="Arial" w:hAnsi="Arial" w:eastAsia="Arial" w:cs="Arial"/>
          <w:i w:val="0"/>
          <w:caps w:val="0"/>
          <w:color w:val="0F0F0F"/>
          <w:spacing w:val="0"/>
          <w:sz w:val="21"/>
          <w:szCs w:val="21"/>
          <w:shd w:val="clear" w:fill="F0EFE2"/>
          <w:lang w:val="en-US" w:eastAsia="zh-CN"/>
        </w:rPr>
      </w:pPr>
    </w:p>
    <w:p>
      <w:pPr>
        <w:widowControl w:val="0"/>
        <w:numPr>
          <w:numId w:val="0"/>
        </w:numPr>
        <w:shd w:val="clear"/>
        <w:jc w:val="both"/>
        <w:rPr>
          <w:rFonts w:hint="eastAsia" w:ascii="Arial" w:hAnsi="Arial" w:eastAsia="Arial" w:cs="Arial"/>
          <w:i w:val="0"/>
          <w:caps w:val="0"/>
          <w:color w:val="0F0F0F"/>
          <w:spacing w:val="0"/>
          <w:sz w:val="21"/>
          <w:szCs w:val="21"/>
          <w:shd w:val="clear" w:fill="F0EFE2"/>
          <w:lang w:val="en-US" w:eastAsia="zh-CN"/>
        </w:rPr>
      </w:pPr>
      <w:r>
        <w:rPr>
          <w:rFonts w:ascii="Arial" w:hAnsi="Arial" w:eastAsia="Arial" w:cs="Arial"/>
          <w:i w:val="0"/>
          <w:caps w:val="0"/>
          <w:color w:val="0F0F0F"/>
          <w:spacing w:val="0"/>
          <w:sz w:val="21"/>
          <w:szCs w:val="21"/>
          <w:shd w:val="clear" w:fill="F0EFE2"/>
        </w:rPr>
        <w:t>第2段</w:t>
      </w:r>
      <w:r>
        <w:rPr>
          <w:rFonts w:hint="eastAsia" w:ascii="Arial" w:hAnsi="Arial" w:eastAsia="宋体" w:cs="Arial"/>
          <w:i w:val="0"/>
          <w:caps w:val="0"/>
          <w:color w:val="0F0F0F"/>
          <w:spacing w:val="0"/>
          <w:sz w:val="21"/>
          <w:szCs w:val="21"/>
          <w:shd w:val="clear" w:fill="F0EFE2"/>
          <w:lang w:val="en-US" w:eastAsia="zh-CN"/>
        </w:rPr>
        <w:t xml:space="preserve">   </w:t>
      </w:r>
      <w:r>
        <w:rPr>
          <w:rFonts w:ascii="Arial" w:hAnsi="Arial" w:eastAsia="Arial" w:cs="Arial"/>
          <w:i w:val="0"/>
          <w:caps w:val="0"/>
          <w:color w:val="0F0F0F"/>
          <w:spacing w:val="0"/>
          <w:sz w:val="21"/>
          <w:szCs w:val="21"/>
          <w:shd w:val="clear" w:fill="F0EFE2"/>
        </w:rPr>
        <w:t>对比的方法分三层论述。</w:t>
      </w:r>
    </w:p>
    <w:p>
      <w:pPr>
        <w:shd w:val="clear"/>
        <w:rPr>
          <w:rFonts w:hint="eastAsia"/>
          <w:lang w:val="en-US" w:eastAsia="zh-CN"/>
        </w:rPr>
      </w:pPr>
    </w:p>
    <w:p>
      <w:pPr>
        <w:shd w:val="clear"/>
        <w:rPr>
          <w:rFonts w:ascii="Arial" w:hAnsi="Arial" w:eastAsia="Arial" w:cs="Arial"/>
          <w:i w:val="0"/>
          <w:caps w:val="0"/>
          <w:color w:val="0F0F0F"/>
          <w:spacing w:val="0"/>
          <w:sz w:val="21"/>
          <w:szCs w:val="21"/>
          <w:shd w:val="clear" w:fill="F0EFE2"/>
        </w:rPr>
      </w:pPr>
      <w:r>
        <w:rPr>
          <w:rFonts w:ascii="Arial" w:hAnsi="Arial" w:eastAsia="Arial" w:cs="Arial"/>
          <w:i w:val="0"/>
          <w:caps w:val="0"/>
          <w:color w:val="0F0F0F"/>
          <w:spacing w:val="0"/>
          <w:sz w:val="21"/>
          <w:szCs w:val="21"/>
          <w:shd w:val="clear" w:fill="F0EFE2"/>
        </w:rPr>
        <w:t>连续用了三个对比</w:t>
      </w:r>
    </w:p>
    <w:p>
      <w:pPr>
        <w:numPr>
          <w:ilvl w:val="0"/>
          <w:numId w:val="2"/>
        </w:numPr>
        <w:shd w:val="clear"/>
        <w:rPr>
          <w:rFonts w:ascii="Arial" w:hAnsi="Arial" w:eastAsia="Arial" w:cs="Arial"/>
          <w:i w:val="0"/>
          <w:caps w:val="0"/>
          <w:color w:val="0F0F0F"/>
          <w:spacing w:val="0"/>
          <w:sz w:val="21"/>
          <w:szCs w:val="21"/>
          <w:shd w:val="clear" w:fill="F0EFE2"/>
        </w:rPr>
      </w:pPr>
      <w:r>
        <w:rPr>
          <w:rFonts w:ascii="Arial" w:hAnsi="Arial" w:eastAsia="Arial" w:cs="Arial"/>
          <w:i w:val="0"/>
          <w:caps w:val="0"/>
          <w:color w:val="0F0F0F"/>
          <w:spacing w:val="0"/>
          <w:sz w:val="21"/>
          <w:szCs w:val="21"/>
          <w:shd w:val="clear" w:fill="F0EFE2"/>
        </w:rPr>
        <w:t>古今对比</w:t>
      </w:r>
      <w:r>
        <w:rPr>
          <w:rFonts w:hint="eastAsia" w:ascii="Arial" w:hAnsi="Arial" w:eastAsia="宋体" w:cs="Arial"/>
          <w:i w:val="0"/>
          <w:caps w:val="0"/>
          <w:color w:val="0F0F0F"/>
          <w:spacing w:val="0"/>
          <w:sz w:val="21"/>
          <w:szCs w:val="21"/>
          <w:shd w:val="clear" w:fill="F0EFE2"/>
          <w:lang w:eastAsia="zh-CN"/>
        </w:rPr>
        <w:t>：</w:t>
      </w:r>
      <w:r>
        <w:rPr>
          <w:rFonts w:ascii="Arial" w:hAnsi="Arial" w:eastAsia="Arial" w:cs="Arial"/>
          <w:i w:val="0"/>
          <w:caps w:val="0"/>
          <w:color w:val="0F0F0F"/>
          <w:spacing w:val="0"/>
          <w:sz w:val="21"/>
          <w:szCs w:val="21"/>
          <w:shd w:val="clear" w:fill="F0EFE2"/>
        </w:rPr>
        <w:t>阐明耻学于师违背圣人之道，其后果只能是更加愚昧。</w:t>
      </w:r>
    </w:p>
    <w:p>
      <w:pPr>
        <w:numPr>
          <w:ilvl w:val="0"/>
          <w:numId w:val="2"/>
        </w:numPr>
        <w:shd w:val="clear"/>
        <w:ind w:left="0" w:leftChars="0" w:firstLine="0" w:firstLineChars="0"/>
        <w:rPr>
          <w:rFonts w:ascii="Arial" w:hAnsi="Arial" w:eastAsia="Arial" w:cs="Arial"/>
          <w:i w:val="0"/>
          <w:caps w:val="0"/>
          <w:color w:val="0F0F0F"/>
          <w:spacing w:val="0"/>
          <w:sz w:val="21"/>
          <w:szCs w:val="21"/>
          <w:shd w:val="clear" w:fill="F0EFE2"/>
        </w:rPr>
      </w:pPr>
      <w:r>
        <w:rPr>
          <w:rFonts w:ascii="Arial" w:hAnsi="Arial" w:eastAsia="Arial" w:cs="Arial"/>
          <w:i w:val="0"/>
          <w:caps w:val="0"/>
          <w:color w:val="0F0F0F"/>
          <w:spacing w:val="0"/>
          <w:sz w:val="21"/>
          <w:szCs w:val="21"/>
          <w:shd w:val="clear" w:fill="F0EFE2"/>
        </w:rPr>
        <w:t>将同一个人既明于择师教子的必要，却又不明于自己从师的必要，把这两种完全矛盾的做法加以对比，以子之矛攻子之盾，揭示那些人确实糊涂不通道理。</w:t>
      </w:r>
    </w:p>
    <w:p>
      <w:pPr>
        <w:numPr>
          <w:ilvl w:val="0"/>
          <w:numId w:val="2"/>
        </w:numPr>
        <w:shd w:val="clear"/>
        <w:ind w:left="0" w:leftChars="0" w:firstLine="0" w:firstLineChars="0"/>
        <w:rPr>
          <w:rFonts w:ascii="Arial" w:hAnsi="Arial" w:eastAsia="Arial" w:cs="Arial"/>
          <w:i w:val="0"/>
          <w:caps w:val="0"/>
          <w:color w:val="0F0F0F"/>
          <w:spacing w:val="0"/>
          <w:sz w:val="21"/>
          <w:szCs w:val="21"/>
          <w:shd w:val="clear" w:fill="F0EFE2"/>
        </w:rPr>
      </w:pPr>
      <w:r>
        <w:rPr>
          <w:rFonts w:ascii="Arial" w:hAnsi="Arial" w:eastAsia="Arial" w:cs="Arial"/>
          <w:i w:val="0"/>
          <w:caps w:val="0"/>
          <w:color w:val="0F0F0F"/>
          <w:spacing w:val="0"/>
          <w:sz w:val="21"/>
          <w:szCs w:val="21"/>
          <w:shd w:val="clear" w:fill="F0EFE2"/>
        </w:rPr>
        <w:t>巫医、乐师、百工之人与士大夫之族的对比，进一步道出士大夫的错误心理，发人深省地指出两种人的地位与智能的反差，更令人幡然醒晤。</w:t>
      </w:r>
    </w:p>
    <w:p>
      <w:pPr>
        <w:widowControl w:val="0"/>
        <w:numPr>
          <w:ilvl w:val="0"/>
          <w:numId w:val="0"/>
        </w:numPr>
        <w:shd w:val="clear"/>
        <w:jc w:val="both"/>
        <w:rPr>
          <w:rFonts w:hint="eastAsia" w:ascii="Arial" w:hAnsi="Arial" w:eastAsia="Arial" w:cs="Arial"/>
          <w:i w:val="0"/>
          <w:caps w:val="0"/>
          <w:color w:val="0F0F0F"/>
          <w:spacing w:val="0"/>
          <w:sz w:val="21"/>
          <w:szCs w:val="21"/>
          <w:shd w:val="clear" w:fill="F0EFE2"/>
          <w:lang w:val="en-US" w:eastAsia="zh-CN"/>
        </w:rPr>
      </w:pPr>
    </w:p>
    <w:p>
      <w:pPr>
        <w:numPr>
          <w:numId w:val="0"/>
        </w:numPr>
        <w:shd w:val="clear"/>
        <w:ind w:leftChars="0"/>
        <w:rPr>
          <w:rFonts w:ascii="Arial" w:hAnsi="Arial" w:eastAsia="Arial" w:cs="Arial"/>
          <w:i w:val="0"/>
          <w:caps w:val="0"/>
          <w:color w:val="0F0F0F"/>
          <w:spacing w:val="0"/>
          <w:sz w:val="21"/>
          <w:szCs w:val="21"/>
          <w:shd w:val="clear" w:fill="F0EFE2"/>
        </w:rPr>
      </w:pPr>
      <w:r>
        <w:rPr>
          <w:rFonts w:ascii="Arial" w:hAnsi="Arial" w:eastAsia="Arial" w:cs="Arial"/>
          <w:i w:val="0"/>
          <w:caps w:val="0"/>
          <w:color w:val="0F0F0F"/>
          <w:spacing w:val="0"/>
          <w:sz w:val="21"/>
          <w:szCs w:val="21"/>
          <w:shd w:val="clear" w:fill="F0EFE2"/>
        </w:rPr>
        <w:t>第3段</w:t>
      </w:r>
      <w:r>
        <w:rPr>
          <w:rFonts w:hint="eastAsia" w:ascii="Arial" w:hAnsi="Arial" w:eastAsia="宋体" w:cs="Arial"/>
          <w:i w:val="0"/>
          <w:caps w:val="0"/>
          <w:color w:val="0F0F0F"/>
          <w:spacing w:val="0"/>
          <w:sz w:val="21"/>
          <w:szCs w:val="21"/>
          <w:shd w:val="clear" w:fill="F0EFE2"/>
          <w:lang w:val="en-US" w:eastAsia="zh-CN"/>
        </w:rPr>
        <w:t xml:space="preserve">  </w:t>
      </w:r>
      <w:r>
        <w:rPr>
          <w:rFonts w:ascii="Arial" w:hAnsi="Arial" w:eastAsia="Arial" w:cs="Arial"/>
          <w:i w:val="0"/>
          <w:caps w:val="0"/>
          <w:color w:val="0F0F0F"/>
          <w:spacing w:val="0"/>
          <w:sz w:val="21"/>
          <w:szCs w:val="21"/>
          <w:shd w:val="clear" w:fill="F0EFE2"/>
        </w:rPr>
        <w:t>举孔子为例就有代表性，能加强说服力</w:t>
      </w:r>
    </w:p>
    <w:p>
      <w:pPr>
        <w:numPr>
          <w:numId w:val="0"/>
        </w:numPr>
        <w:shd w:val="clear"/>
        <w:ind w:leftChars="0"/>
        <w:rPr>
          <w:rFonts w:ascii="Arial" w:hAnsi="Arial" w:eastAsia="Arial" w:cs="Arial"/>
          <w:i w:val="0"/>
          <w:caps w:val="0"/>
          <w:color w:val="0F0F0F"/>
          <w:spacing w:val="0"/>
          <w:sz w:val="21"/>
          <w:szCs w:val="21"/>
          <w:shd w:val="clear" w:fill="F0EFE2"/>
        </w:rPr>
      </w:pPr>
    </w:p>
    <w:p>
      <w:pPr>
        <w:numPr>
          <w:numId w:val="0"/>
        </w:numPr>
        <w:shd w:val="clear"/>
        <w:ind w:leftChars="0"/>
        <w:rPr>
          <w:rFonts w:ascii="Arial" w:hAnsi="Arial" w:eastAsia="Arial" w:cs="Arial"/>
          <w:i w:val="0"/>
          <w:caps w:val="0"/>
          <w:color w:val="0F0F0F"/>
          <w:spacing w:val="0"/>
          <w:sz w:val="21"/>
          <w:szCs w:val="21"/>
          <w:shd w:val="clear" w:fill="F0EFE2"/>
        </w:rPr>
      </w:pPr>
    </w:p>
    <w:p>
      <w:pPr>
        <w:numPr>
          <w:numId w:val="0"/>
        </w:numPr>
        <w:shd w:val="clear"/>
        <w:ind w:leftChars="0"/>
        <w:rPr>
          <w:rFonts w:ascii="Arial" w:hAnsi="Arial" w:eastAsia="Arial" w:cs="Arial"/>
          <w:i w:val="0"/>
          <w:caps w:val="0"/>
          <w:color w:val="0F0F0F"/>
          <w:spacing w:val="0"/>
          <w:sz w:val="21"/>
          <w:szCs w:val="21"/>
          <w:shd w:val="clear" w:fill="F0EFE2"/>
        </w:rPr>
      </w:pPr>
      <w:r>
        <w:rPr>
          <w:rFonts w:ascii="Arial" w:hAnsi="Arial" w:eastAsia="Arial" w:cs="Arial"/>
          <w:i w:val="0"/>
          <w:caps w:val="0"/>
          <w:color w:val="0F0F0F"/>
          <w:spacing w:val="0"/>
          <w:sz w:val="21"/>
          <w:szCs w:val="21"/>
          <w:shd w:val="clear" w:fill="F0EFE2"/>
        </w:rPr>
        <w:t>第4段</w:t>
      </w:r>
      <w:r>
        <w:rPr>
          <w:rFonts w:hint="eastAsia" w:ascii="Arial" w:hAnsi="Arial" w:eastAsia="宋体" w:cs="Arial"/>
          <w:i w:val="0"/>
          <w:caps w:val="0"/>
          <w:color w:val="0F0F0F"/>
          <w:spacing w:val="0"/>
          <w:sz w:val="21"/>
          <w:szCs w:val="21"/>
          <w:shd w:val="clear" w:fill="F0EFE2"/>
          <w:lang w:val="en-US" w:eastAsia="zh-CN"/>
        </w:rPr>
        <w:t xml:space="preserve"> </w:t>
      </w:r>
      <w:r>
        <w:rPr>
          <w:rFonts w:ascii="Arial" w:hAnsi="Arial" w:eastAsia="Arial" w:cs="Arial"/>
          <w:i w:val="0"/>
          <w:caps w:val="0"/>
          <w:color w:val="0F0F0F"/>
          <w:spacing w:val="0"/>
          <w:sz w:val="21"/>
          <w:szCs w:val="21"/>
          <w:shd w:val="clear" w:fill="F0EFE2"/>
        </w:rPr>
        <w:t>总结全文主旨，点明主题</w:t>
      </w:r>
    </w:p>
    <w:p>
      <w:pPr>
        <w:widowControl w:val="0"/>
        <w:numPr>
          <w:numId w:val="0"/>
        </w:numPr>
        <w:shd w:val="clear"/>
        <w:jc w:val="both"/>
        <w:rPr>
          <w:rFonts w:hint="eastAsia" w:ascii="Arial" w:hAnsi="Arial" w:eastAsia="Arial" w:cs="Arial"/>
          <w:i w:val="0"/>
          <w:caps w:val="0"/>
          <w:color w:val="0F0F0F"/>
          <w:spacing w:val="0"/>
          <w:sz w:val="21"/>
          <w:szCs w:val="21"/>
          <w:shd w:val="clear" w:fill="F0EFE2"/>
          <w:lang w:val="en-US" w:eastAsia="zh-CN"/>
        </w:rPr>
      </w:pPr>
    </w:p>
    <w:p>
      <w:pPr>
        <w:widowControl w:val="0"/>
        <w:numPr>
          <w:numId w:val="0"/>
        </w:numPr>
        <w:shd w:val="clear"/>
        <w:jc w:val="both"/>
        <w:rPr>
          <w:rFonts w:ascii="Arial" w:hAnsi="Arial" w:eastAsia="Arial" w:cs="Arial"/>
          <w:i w:val="0"/>
          <w:caps w:val="0"/>
          <w:color w:val="0F0F0F"/>
          <w:spacing w:val="0"/>
          <w:sz w:val="21"/>
          <w:szCs w:val="21"/>
          <w:shd w:val="clear" w:fill="F0EFE2"/>
        </w:rPr>
      </w:pPr>
      <w:r>
        <w:rPr>
          <w:rFonts w:ascii="Arial" w:hAnsi="Arial" w:eastAsia="Arial" w:cs="Arial"/>
          <w:i w:val="0"/>
          <w:caps w:val="0"/>
          <w:color w:val="0F0F0F"/>
          <w:spacing w:val="0"/>
          <w:sz w:val="21"/>
          <w:szCs w:val="21"/>
          <w:shd w:val="clear" w:fill="F0EFE2"/>
        </w:rPr>
        <w:t>《师说》论点鲜明，结构严谨，正反对比，事实充分，说理透彻，气势磅礴，有极强的说服力和感染力。</w:t>
      </w:r>
    </w:p>
    <w:p>
      <w:pPr>
        <w:widowControl w:val="0"/>
        <w:numPr>
          <w:numId w:val="0"/>
        </w:numPr>
        <w:shd w:val="clear"/>
        <w:jc w:val="both"/>
        <w:rPr>
          <w:rFonts w:ascii="Arial" w:hAnsi="Arial" w:eastAsia="Arial" w:cs="Arial"/>
          <w:i w:val="0"/>
          <w:caps w:val="0"/>
          <w:color w:val="0F0F0F"/>
          <w:spacing w:val="0"/>
          <w:sz w:val="21"/>
          <w:szCs w:val="21"/>
          <w:shd w:val="clear" w:fill="F0EFE2"/>
        </w:rPr>
      </w:pPr>
    </w:p>
    <w:p>
      <w:pPr>
        <w:widowControl w:val="0"/>
        <w:numPr>
          <w:numId w:val="0"/>
        </w:numPr>
        <w:shd w:val="clear"/>
        <w:jc w:val="both"/>
        <w:rPr>
          <w:rFonts w:ascii="Arial" w:hAnsi="Arial" w:eastAsia="Arial" w:cs="Arial"/>
          <w:i w:val="0"/>
          <w:caps w:val="0"/>
          <w:color w:val="0F0F0F"/>
          <w:spacing w:val="0"/>
          <w:sz w:val="21"/>
          <w:szCs w:val="21"/>
          <w:shd w:val="clear" w:fill="F0EFE2"/>
        </w:rPr>
      </w:pPr>
    </w:p>
    <w:p>
      <w:pPr>
        <w:widowControl w:val="0"/>
        <w:numPr>
          <w:numId w:val="0"/>
        </w:numPr>
        <w:shd w:val="clear"/>
        <w:jc w:val="both"/>
        <w:rPr>
          <w:rFonts w:ascii="Arial" w:hAnsi="Arial" w:eastAsia="Arial" w:cs="Arial"/>
          <w:i w:val="0"/>
          <w:caps w:val="0"/>
          <w:color w:val="0F0F0F"/>
          <w:spacing w:val="0"/>
          <w:sz w:val="21"/>
          <w:szCs w:val="21"/>
          <w:shd w:val="clear" w:fill="F0EFE2"/>
        </w:rPr>
      </w:pPr>
    </w:p>
    <w:p>
      <w:pPr>
        <w:widowControl w:val="0"/>
        <w:numPr>
          <w:numId w:val="0"/>
        </w:numPr>
        <w:shd w:val="clear"/>
        <w:jc w:val="both"/>
        <w:rPr>
          <w:rFonts w:hint="eastAsia" w:ascii="Arial" w:hAnsi="Arial" w:eastAsia="Arial" w:cs="Arial"/>
          <w:i w:val="0"/>
          <w:caps w:val="0"/>
          <w:color w:val="0F0F0F"/>
          <w:spacing w:val="0"/>
          <w:sz w:val="21"/>
          <w:szCs w:val="21"/>
          <w:shd w:val="clear" w:fill="F0EFE2"/>
          <w:lang w:val="en-US" w:eastAsia="zh-CN"/>
        </w:rPr>
      </w:pPr>
      <w:r>
        <w:rPr>
          <w:rFonts w:ascii="Arial" w:hAnsi="Arial" w:eastAsia="Arial" w:cs="Arial"/>
          <w:i w:val="0"/>
          <w:caps w:val="0"/>
          <w:color w:val="0F0F0F"/>
          <w:spacing w:val="0"/>
          <w:sz w:val="21"/>
          <w:szCs w:val="21"/>
          <w:shd w:val="clear" w:fill="F0EFE2"/>
        </w:rPr>
        <w:t>三个段落的内容，形式上构成一种回环美（师说——从师——师道/师道——从师——师说），内容上说理更加严密，环环相扣，起于“师说”，结于“师说”。</w:t>
      </w: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7641B8"/>
    <w:multiLevelType w:val="singleLevel"/>
    <w:tmpl w:val="8F7641B8"/>
    <w:lvl w:ilvl="0" w:tentative="0">
      <w:start w:val="1"/>
      <w:numFmt w:val="decimal"/>
      <w:suff w:val="nothing"/>
      <w:lvlText w:val="（%1）"/>
      <w:lvlJc w:val="left"/>
    </w:lvl>
  </w:abstractNum>
  <w:abstractNum w:abstractNumId="1">
    <w:nsid w:val="CADE2A1D"/>
    <w:multiLevelType w:val="singleLevel"/>
    <w:tmpl w:val="CADE2A1D"/>
    <w:lvl w:ilvl="0" w:tentative="0">
      <w:start w:val="1"/>
      <w:numFmt w:val="decimal"/>
      <w:suff w:val="space"/>
      <w:lvlText w:val="第%1段"/>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C388F"/>
    <w:rsid w:val="75FC3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2019-10-21T12:50:00Z</dcterms:created>
  <dc:creator>流星619</dc:creator>
  <cp:lastModifiedBy>流星619</cp:lastModifiedBy>
  <dcterms:modified xsi:type="dcterms:W3CDTF">2019-10-21T13:09:48Z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