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sz w:val="32"/>
        </w:rPr>
        <w:t>Nucleotide composition accounts for the shared component of enhancer activity across unseen cell types</w:t>
      </w:r>
    </w:p>
    <w:p>
      <w:pPr>
        <w:jc w:val="center"/>
      </w:pPr>
      <w:r>
        <w:rPr>
          <w:rFonts w:ascii="Times New Roman" w:hAnsi="Times New Roman"/>
          <w:i/>
          <w:sz w:val="18"/>
        </w:rPr>
        <w:t>Draft manuscript | 19 October 2026</w:t>
      </w:r>
    </w:p>
    <w:p>
      <w:pPr>
        <w:pStyle w:val="Heading1"/>
      </w:pPr>
      <w:r>
        <w:t>Abstract</w:t>
      </w:r>
    </w:p>
    <w:p>
      <w:r>
        <w:rPr>
          <w:b w:val="0"/>
          <w:i w:val="0"/>
        </w:rPr>
        <w:t>Enhancer activity is cell-type specific, yet cross-cell generalisation of sequence models is usually evaluated by holding out cell types while sharing all candidate loci. We combined a cell-type holdout with a locus holdout: 20% of FANTOM5 candidate enhancers were excluded from all development-cell training, three model families were retrained on the remaining 80%, and performance was evaluated in 11 primary cell types never used in training. A 21-parameter logistic nucleotide-composition model reached a 5.66-fold lift over prevalence on unseen loci; a 307,265-parameter from-scratch convolutional network did not exceed it (5.06-fold). A 50-million-parameter pretrained Nucleotide Transformer with low-rank adaptation reached 8.35-fold and exceeded the logistic composition model. This comparison depended on the composition readout: an XGBoost model trained on the same 20 composition features reached 0.243 AUPRC on unseen development-active loci, compared with 0.161 for logistic composition and 0.241 for the transformer; the transformer was indistinguishable from composition-XGBoost (−0.0011; 95% CI −0.0358 to +0.0365; better in 6 of 11 cell types). Adding 879 JASPAR motif counts did not improve on composition-XGBoost. The transformer retained an advantage only on retained development-active loci (+0.0389; 95% CI 0.0155 to 0.0614), consistent with a locus-specific rather than a transferable signal, and no model improved on composition-XGBoost for loci inactive in all development cells. Nucleotide composition therefore accounts for the shared component of enhancer activity across unseen cell types; comparisons with linear composition alone overstate the transferable advantage of pretrained sequence models.</w:t>
      </w:r>
    </w:p>
    <w:p>
      <w:r>
        <w:rPr>
          <w:b/>
          <w:i w:val="0"/>
        </w:rPr>
        <w:t>Keywords:</w:t>
      </w:r>
      <w:r>
        <w:rPr>
          <w:b w:val="0"/>
          <w:i w:val="0"/>
        </w:rPr>
        <w:t xml:space="preserve"> enhancer RNA; CAGE; cross-cell generalisation; nucleotide composition; pretrained sequence models; locus holdout</w:t>
      </w:r>
    </w:p>
    <w:p>
      <w:pPr>
        <w:pStyle w:val="Heading1"/>
      </w:pPr>
      <w:r>
        <w:t>1. Introduction</w:t>
      </w:r>
    </w:p>
    <w:p>
      <w:r>
        <w:rPr>
          <w:b w:val="0"/>
          <w:i w:val="0"/>
        </w:rPr>
        <w:t>Enhancers are regulatory DNA elements whose activity depends on the sequence of the locus and on the state of the cell [1]; super-enhancers are composite domains that combine classical enhancers and facilitators [2]. Bidirectional transcription initiation is a recurrent feature of active enhancers, and cap analysis of gene expression (CAGE) has made enhancer transcription measurable across large collections of human cell types and tissues [3] [4] [5]. Nascent-transcription assays, including PRO-seq [8], show that initiation at enhancers and promoters shares architectural features [6] [7]. CAGE-defined enhancer activity is therefore an operational readout of regulatory activity, without implying that transcription is the only definition of enhancer function [9].</w:t>
      </w:r>
    </w:p>
    <w:p>
      <w:r>
        <w:rPr>
          <w:b w:val="0"/>
          <w:i w:val="0"/>
        </w:rPr>
        <w:t>Chromatin accessibility supplies a complementary view; ATAC-seq protocols [10] and the ENCODE catalogue [11] provide the standard measurements that are paired with sequence models; H3K27 acetylation marks a further active state [12]. Sequence-based prediction has been pursued with convolutional models [13] [14], feature-based and k-mer approaches [15], long-context architectures [16] [17], and sequence-to-function models that predict regulatory activity genome-wide [18] [19]. Reviews of the field [20] [21] and of genomic language models [22] summarise these developments. Multimodal studies have combined sequence with accessibility or related epigenomic measurements [23] [24] [25] [26]. Pretrained genomic language models provide transferable sequence representations [27] [28] that can be adapted parameter-efficiently [29].</w:t>
      </w:r>
    </w:p>
    <w:p>
      <w:r>
        <w:rPr>
          <w:b w:val="0"/>
          <w:i w:val="0"/>
        </w:rPr>
        <w:t>Two features of the prevailing evaluation practice leave the central question open. First, cross-cell generalisation is usually tested by holding out cell types while keeping every candidate locus in training. A model with enough capacity can then recognise a locus seen during development rather than learn a sequence rule that transfers to new loci [30]. Second, sequence models are usually compared with other sequence models rather than with an explicit nucleotide-composition baseline, even though composition is itself a sequence property and a strong candidate explanation for any transferable signal.</w:t>
      </w:r>
    </w:p>
    <w:p>
      <w:r>
        <w:rPr>
          <w:b w:val="0"/>
          <w:i w:val="0"/>
        </w:rPr>
        <w:t>Here we ask two questions together. Does a pretrained sequence model outperform an explicit composition baseline in cell types that were never used in training? And does any such advantage survive when the candidate loci themselves are held out, and does it reflect a shared or a cell-specific component of enhancer activity? We address them with an 11-cell-type held-out design in which 20% of FANTOM5 candidate loci were excluded from all development-cell training, and with three model families spanning more than five orders of magnitude in parameter count: a 21-parameter composition model, a 307,265-parameter from-scratch convolutional network, and a 50-million-parameter pretrained Nucleotide Transformer with rank-8 low-rank adaptation.</w:t>
      </w:r>
    </w:p>
    <w:p>
      <w:r>
        <w:rPr>
          <w:b w:val="0"/>
          <w:i w:val="0"/>
        </w:rPr>
        <w:t>Composition alone transferred strongly to unseen loci (5.66-fold over prevalence), and the from-scratch network did not exceed it (5.06-fold). The pretrained model exceeded a logistic composition model (+0.0175 AUPRC over all unseen loci; +0.0810 within development-active loci), but the same 20 composition features modelled nonlinearly with XGBoost reached a higher AUPRC than the pretrained model on unseen development-active loci (0.243 versus 0.241). The difference between the transformer and composition-XGBoost was −0.0011 (95% confidence interval −0.0358 to +0.0365), and the transformer was better in only 6 of 11 cell types. Motif counts did not improve on composition-XGBoost, and no model improved on the strongest composition baseline for loci that were never active in any development cell. The transferable signal is therefore concentrated in a shared activity component captured by nucleotide composition; the apparent advantage of the pretrained model over the logistic baseline does not survive a nonlinear readout of the same composition features.</w:t>
      </w:r>
    </w:p>
    <w:p>
      <w:pPr>
        <w:pStyle w:val="Heading1"/>
      </w:pPr>
      <w:r>
        <w:t>2. Results</w:t>
      </w:r>
    </w:p>
    <w:p>
      <w:pPr>
        <w:pStyle w:val="Heading2"/>
      </w:pPr>
      <w:r>
        <w:t>2.1 A locus-held-out, cell-held-out design</w:t>
      </w:r>
    </w:p>
    <w:p>
      <w:r>
        <w:rPr>
          <w:b w:val="0"/>
          <w:i w:val="0"/>
        </w:rPr>
        <w:t>The candidate universe was the FANTOM5 hg38 enhancer atlas (63,285 loci). We held out 20% of loci (12,360 of 61,752 quality-passing loci), stratified by chromosome and GC content, and excluded them from every development-cell training, validation and test partition. The remaining 80% contributed 108,252 training, 12,621 validation and 24,247 test records across K562, HepG2 and GM12878 (Table 1). All three model families were retrained on this reduced set (Fig. 1). The holdout removes loci, not their sequence neighborhoods: 29.2% of candidate loci share at least part of their 2 kb window with another candidate locus (Methods 4.12).</w:t>
      </w:r>
    </w:p>
    <w:p>
      <w:pPr>
        <w:keepNext/>
        <w:spacing w:before="120" w:after="60"/>
        <w:jc w:val="center"/>
      </w:pPr>
      <w:r>
        <w:drawing>
          <wp:inline xmlns:a="http://schemas.openxmlformats.org/drawingml/2006/main" xmlns:pic="http://schemas.openxmlformats.org/drawingml/2006/picture">
            <wp:extent cx="5806440" cy="3971728"/>
            <wp:docPr id="1" name="Picture 1" descr="Design of the locus-held-out, cell-held-out experiment." title="Design of the locus-held-out, cell-held-out experiment."/>
            <wp:cNvGraphicFramePr>
              <a:graphicFrameLocks noChangeAspect="1"/>
            </wp:cNvGraphicFramePr>
            <a:graphic>
              <a:graphicData uri="http://schemas.openxmlformats.org/drawingml/2006/picture">
                <pic:pic>
                  <pic:nvPicPr>
                    <pic:cNvPr id="0" name="fig1_design.png"/>
                    <pic:cNvPicPr/>
                  </pic:nvPicPr>
                  <pic:blipFill>
                    <a:blip r:embed="rId10"/>
                    <a:stretch>
                      <a:fillRect/>
                    </a:stretch>
                  </pic:blipFill>
                  <pic:spPr>
                    <a:xfrm>
                      <a:off x="0" y="0"/>
                      <a:ext cx="5806440" cy="3971728"/>
                    </a:xfrm>
                    <a:prstGeom prst="rect"/>
                  </pic:spPr>
                </pic:pic>
              </a:graphicData>
            </a:graphic>
          </wp:inline>
        </w:drawing>
      </w:r>
    </w:p>
    <w:p>
      <w:pPr>
        <w:keepLines/>
        <w:spacing w:after="200" w:line="264" w:lineRule="auto"/>
      </w:pPr>
      <w:r>
        <w:rPr>
          <w:b/>
          <w:i w:val="0"/>
          <w:sz w:val="17"/>
        </w:rPr>
        <w:t>Fig. 1 |</w:t>
      </w:r>
      <w:r>
        <w:rPr>
          <w:b w:val="0"/>
          <w:i w:val="0"/>
          <w:sz w:val="17"/>
        </w:rPr>
        <w:t xml:space="preserve"> A genomic locus anchors the locus-held-out, cell-held-out design. (a) A representative FANTOM5 enhancer; ATAC tracks are shown for context only and are not model inputs. The locus is ATAC-open in all three development cells and CAGE-active only in K562. (b) Activity of 24 loci across 14 cell types, split into retained and held-out loci. (c) The three model families compared on identical inputs and splits. (d) The four evaluation strata.</w:t>
      </w:r>
    </w:p>
    <w:p>
      <w:r>
        <w:rPr>
          <w:b w:val="0"/>
          <w:i w:val="0"/>
        </w:rPr>
        <w:t>Evaluation used 11 primary cell types that were never used in training; their labels were read only after all models had been frozen. Each held-out cell type contributed 58,045 to 61,891 label-eligible loci and 191 to 1,742 positives (prevalence 0.31% to 2.90%). For each cell type we report performance separately on the 20% unseen loci and on the 80% retained loci, and, within each, on loci that were active in at least one development cell ("development-active") or in none ("development-inactive").</w:t>
      </w:r>
    </w:p>
    <w:p>
      <w:pPr>
        <w:pStyle w:val="Heading2"/>
      </w:pPr>
      <w:r>
        <w:t>2.2 Nucleotide composition is a strong transferable baseline</w:t>
      </w:r>
    </w:p>
    <w:p>
      <w:r>
        <w:rPr>
          <w:b w:val="0"/>
          <w:i w:val="0"/>
        </w:rPr>
        <w:t>The 21-parameter composition model (four mononucleotide and sixteen dinucleotide frequencies, logistic regression, no cell-identity input) reached a 5.66-fold lift over prevalence on unseen loci and 6.21-fold on retained loci. Within development-active loci it reached 3.96-fold (unseen) and 5.70-fold (retained); within development-inactive loci it reached 2.74-fold and 2.70-fold.</w:t>
      </w:r>
    </w:p>
    <w:p>
      <w:r>
        <w:rPr>
          <w:b w:val="0"/>
          <w:i w:val="0"/>
        </w:rPr>
        <w:t>Composition is therefore a strong transferable signal in its own right, on loci that the model has never seen. It is a necessary reference; the nonlinear composition readout below is the stronger one.</w:t>
      </w:r>
    </w:p>
    <w:p>
      <w:pPr>
        <w:pStyle w:val="Heading2"/>
      </w:pPr>
      <w:r>
        <w:t>2.3 A from-scratch convolutional network does not exceed composition</w:t>
      </w:r>
    </w:p>
    <w:p>
      <w:r>
        <w:rPr>
          <w:b w:val="0"/>
          <w:i w:val="0"/>
        </w:rPr>
        <w:t>The 307,265-parameter DNA convolutional network with FiLM cell conditioning (five-seed ensemble) reached 5.06-fold on unseen loci and 5.61-fold on retained loci. Within development-active loci it reached 3.69-fold and 4.96-fold; within development-inactive loci, 2.55-fold and 2.46-fold. At no stratum did it exceed the composition baseline.</w:t>
      </w:r>
    </w:p>
    <w:p>
      <w:pPr>
        <w:pStyle w:val="Heading2"/>
      </w:pPr>
      <w:r>
        <w:t>2.4 A pretrained model exceeds the logistic composition baseline on unseen loci</w:t>
      </w:r>
    </w:p>
    <w:p>
      <w:r>
        <w:rPr>
          <w:b w:val="0"/>
          <w:i w:val="0"/>
        </w:rPr>
        <w:t>The pretrained Nucleotide Transformer v2 50M with rank-8 low-rank adaptation (five-seed ensemble) reached 8.35-fold on unseen loci and 9.49-fold on retained loci. The paired gain over the logistic composition model was +0.0175 AUPRC on unseen loci (95% confidence interval 0.0101 to 0.0291) and +0.0487 on retained development-active loci (0.0203 to 0.0747; Table 2).</w:t>
      </w:r>
    </w:p>
    <w:p>
      <w:r>
        <w:rPr>
          <w:b w:val="0"/>
          <w:i w:val="0"/>
        </w:rPr>
        <w:t>Within unseen development-active loci the gain was +0.0810 (0.0501 to 0.1219), and the per-cell point estimate was positive in all 11 held-out cell types (range +0.0280 to +0.1719); per-cell 95% intervals excluded zero in 6 of 11. The per-seed NT−composition difference ranged from +0.078 to +0.095, so the five-seed ensemble did not create the gain. The NT model therefore adds information beyond a linear readout of nucleotide composition, and this contrast remains positive on loci that were never seen during training. The next sections test whether the gain survives a nonlinear readout of the same composition features.</w:t>
      </w:r>
    </w:p>
    <w:p>
      <w:pPr>
        <w:pStyle w:val="Heading2"/>
      </w:pPr>
      <w:r>
        <w:t>2.5 The logistic-baseline advantage is present on unseen loci</w:t>
      </w:r>
    </w:p>
    <w:p>
      <w:r>
        <w:rPr>
          <w:b w:val="0"/>
          <w:i w:val="0"/>
        </w:rPr>
        <w:t>Relative to the logistic composition baseline, the gain was present on unseen development-active loci (+0.0810; 95% CI 0.0501 to 0.1219), so the contrast is not limited to the loci used in training. The unseen-minus-retained difference was +0.032 (95% CI −0.004 to +0.077; bootstrap p = 0.074), which does not resolve whether the gain is larger on unseen loci. This contrast alone therefore does not establish that the gain is free of locus-level memory; the nonlinear baseline below provides the stronger test.</w:t>
      </w:r>
    </w:p>
    <w:p>
      <w:pPr>
        <w:keepNext/>
        <w:spacing w:before="120" w:after="60"/>
        <w:jc w:val="center"/>
      </w:pPr>
      <w:r>
        <w:drawing>
          <wp:inline xmlns:a="http://schemas.openxmlformats.org/drawingml/2006/main" xmlns:pic="http://schemas.openxmlformats.org/drawingml/2006/picture">
            <wp:extent cx="5806440" cy="4182871"/>
            <wp:docPr id="2" name="Picture 2" descr="Macro AUPRC for five composition, motif and NT models across four locus strata." title="Macro AUPRC for five composition, motif and NT models across four locus strata."/>
            <wp:cNvGraphicFramePr>
              <a:graphicFrameLocks noChangeAspect="1"/>
            </wp:cNvGraphicFramePr>
            <a:graphic>
              <a:graphicData uri="http://schemas.openxmlformats.org/drawingml/2006/picture">
                <pic:pic>
                  <pic:nvPicPr>
                    <pic:cNvPr id="0" name="fig2_four_strata.png"/>
                    <pic:cNvPicPr/>
                  </pic:nvPicPr>
                  <pic:blipFill>
                    <a:blip r:embed="rId11"/>
                    <a:stretch>
                      <a:fillRect/>
                    </a:stretch>
                  </pic:blipFill>
                  <pic:spPr>
                    <a:xfrm>
                      <a:off x="0" y="0"/>
                      <a:ext cx="5806440" cy="4182871"/>
                    </a:xfrm>
                    <a:prstGeom prst="rect"/>
                  </pic:spPr>
                </pic:pic>
              </a:graphicData>
            </a:graphic>
          </wp:inline>
        </w:drawing>
      </w:r>
    </w:p>
    <w:p>
      <w:pPr>
        <w:keepLines/>
        <w:spacing w:after="200" w:line="264" w:lineRule="auto"/>
      </w:pPr>
      <w:r>
        <w:rPr>
          <w:b/>
          <w:i w:val="0"/>
          <w:sz w:val="17"/>
        </w:rPr>
        <w:t>Fig. 2 |</w:t>
      </w:r>
      <w:r>
        <w:rPr>
          <w:b w:val="0"/>
          <w:i w:val="0"/>
          <w:sz w:val="17"/>
        </w:rPr>
        <w:t xml:space="preserve"> Stronger composition baselines remove the apparent NT advantage. Macro AUPRC for logistic composition, composition-XGBoost, motif-XGBoost, composition+motif-XGBoost and NT-LoRA across four locus strata. Δ is the macro NT − composition-XGBoost difference with its 95% paired block-bootstrap interval.</w:t>
      </w:r>
    </w:p>
    <w:p>
      <w:pPr>
        <w:pStyle w:val="Heading2"/>
      </w:pPr>
      <w:r>
        <w:t>2.6 A nonlinear composition baseline removes the NT advantage over logistic composition</w:t>
      </w:r>
    </w:p>
    <w:p>
      <w:r>
        <w:rPr>
          <w:b w:val="0"/>
          <w:i w:val="0"/>
        </w:rPr>
        <w:t>The comparison above used a logistic composition model. To test whether the NT gain reflected sequence information beyond composition, we trained XGBoost on the same 20 composition features (composition-XGBoost), a motif-only model on 879 JASPAR 2024 vertebrate motifs [36] (motif-XGBoost), and a combined model on composition plus motif counts (composition+motif-XGBoost).</w:t>
      </w:r>
    </w:p>
    <w:p>
      <w:r>
        <w:rPr>
          <w:b w:val="0"/>
          <w:i w:val="0"/>
        </w:rPr>
        <w:t>On unseen development-active loci, composition-XGBoost reached 0.243 AUPRC (Table 3), compared with 0.161 for logistic composition and 0.241 for NT. The NT was indistinguishable from composition-XGBoost (−0.0011; 95% CI −0.0358 to +0.0365), and was better in 6 of 11 cell types. On all unseen loci, the NT retained a small advantage over composition-XGBoost (+0.0106; 0.0030 to 0.0216), but this did not extend to development-active loci. Motif-only was lower than composition in every stratum (0.103 versus 0.161 on unseen development-active), and adding motif counts to composition-XGBoost did not improve it (0.212 versus 0.243). On retained development-active loci, the NT exceeded composition-XGBoost (+0.0389; 0.0155 to 0.0614), consistent with a locus-specific component that does not transfer to unseen loci. On unseen development-inactive loci, neither the NT nor the motif model improved on composition-XGBoost (NT − composition-XGBoost −0.0020, 95% CI −0.0138 to +0.0007), although composition-XGBoost itself was slightly above logistic composition (0.0117 versus 0.0103). This is the central comparison: the apparent NT advantage over logistic composition does not survive a nonlinear readout of the same 20 composition features, and the advantage that remains on retained loci is consistent with locus-specific signal rather than transferable sequence grammar.</w:t>
      </w:r>
    </w:p>
    <w:p>
      <w:pPr>
        <w:pStyle w:val="Heading2"/>
      </w:pPr>
      <w:r>
        <w:t>2.7 No advantage is detected in the cell-specific component</w:t>
      </w:r>
    </w:p>
    <w:p>
      <w:r>
        <w:rPr>
          <w:b w:val="0"/>
          <w:i w:val="0"/>
        </w:rPr>
        <w:t>The development-active and development-inactive subsets behaved differently. On unseen development-inactive loci, where activity in the held-out cell has no counterpart in any development cell, we did not detect an improvement of the NT model over logistic composition (−0.0007; 95% confidence interval −0.0073 to 0.0013) and reached 2.22-fold versus 2.74-fold for logistic composition. Both models remained above chance. A nonlinear composition model showed the same pattern: composition-XGBoost reached 0.0117 AUPRC versus 0.0103 for logistic composition, and the NT did not exceed composition-XGBoost (−0.0020; 95% CI −0.0138 to +0.0007).</w:t>
      </w:r>
    </w:p>
    <w:p>
      <w:r>
        <w:rPr>
          <w:b w:val="0"/>
          <w:i w:val="0"/>
        </w:rPr>
        <w:t>The transferable sequence signal is therefore consistent with a shared activity component: it predicts activity at loci that are active in at least one development cell, and a nonlinear composition model ranks that component as well as the NT. For the cell-specific component, represented by loci that are inactive in all development cells but active in the held-out cell, neither model showed a detectable improvement over the strongest composition baseline.</w:t>
      </w:r>
    </w:p>
    <w:p>
      <w:pPr>
        <w:keepNext/>
        <w:spacing w:before="120" w:after="60"/>
        <w:jc w:val="center"/>
      </w:pPr>
      <w:r>
        <w:drawing>
          <wp:inline xmlns:a="http://schemas.openxmlformats.org/drawingml/2006/main" xmlns:pic="http://schemas.openxmlformats.org/drawingml/2006/picture">
            <wp:extent cx="5806440" cy="2903220"/>
            <wp:docPr id="3" name="Picture 3" descr="Per-cell scatter and macro forest plot of NT-LoRA versus composition-XGBoost." title="Per-cell scatter and macro forest plot of NT-LoRA versus composition-XGBoost."/>
            <wp:cNvGraphicFramePr>
              <a:graphicFrameLocks noChangeAspect="1"/>
            </wp:cNvGraphicFramePr>
            <a:graphic>
              <a:graphicData uri="http://schemas.openxmlformats.org/drawingml/2006/picture">
                <pic:pic>
                  <pic:nvPicPr>
                    <pic:cNvPr id="0" name="fig3_per_cell.png"/>
                    <pic:cNvPicPr/>
                  </pic:nvPicPr>
                  <pic:blipFill>
                    <a:blip r:embed="rId12"/>
                    <a:stretch>
                      <a:fillRect/>
                    </a:stretch>
                  </pic:blipFill>
                  <pic:spPr>
                    <a:xfrm>
                      <a:off x="0" y="0"/>
                      <a:ext cx="5806440" cy="2903220"/>
                    </a:xfrm>
                    <a:prstGeom prst="rect"/>
                  </pic:spPr>
                </pic:pic>
              </a:graphicData>
            </a:graphic>
          </wp:inline>
        </w:drawing>
      </w:r>
    </w:p>
    <w:p>
      <w:pPr>
        <w:keepLines/>
        <w:spacing w:after="200" w:line="264" w:lineRule="auto"/>
      </w:pPr>
      <w:r>
        <w:rPr>
          <w:b/>
          <w:i w:val="0"/>
          <w:sz w:val="17"/>
        </w:rPr>
        <w:t>Fig. 3 |</w:t>
      </w:r>
      <w:r>
        <w:rPr>
          <w:b w:val="0"/>
          <w:i w:val="0"/>
          <w:sz w:val="17"/>
        </w:rPr>
        <w:t xml:space="preserve"> The NT is indistinguishable from composition-XGBoost on unseen development-active loci. (a) Per-cell paired AUPRC; x is composition-XGBoost and y is NT-LoRA; the dashed diagonal marks equal performance. (b) Macro NT − composition-XGBoost ΔAUPRC with 95% paired block-bootstrap intervals across four strata; the dashed line marks zero.</w:t>
      </w:r>
    </w:p>
    <w:p>
      <w:pPr>
        <w:pStyle w:val="Heading2"/>
      </w:pPr>
      <w:r>
        <w:t>2.8 Chromosome-level splits are low-powered and unstable</w:t>
      </w:r>
    </w:p>
    <w:p>
      <w:r>
        <w:rPr>
          <w:b w:val="0"/>
          <w:i w:val="0"/>
        </w:rPr>
        <w:t>As a sensitivity analysis we split development-active loci by chromosome provenance. On retained loci the gain was +0.0562 on training chromosomes and +0.0151 on held-out chromosomes; on unseen loci it was +0.0835 and +0.1307, respectively (the held-out-chromosome subset contained about 14 positives per cell in the unseen stratum and about 46 per cell in the retained stratum). The magnitude varied substantially across the locus subsets, and the held-out-chromosome subsets are too small to support a primary claim. Chromosome-level holdouts are reported as a sensitivity analysis; the locus-level holdout is the primary generalisation test. The chromosome-level results are shown in Supplementary Fig. S1.</w:t>
      </w:r>
    </w:p>
    <w:p>
      <w:pPr>
        <w:pStyle w:val="Heading2"/>
      </w:pPr>
      <w:r>
        <w:t>2.9 In the logistic comparison, the unseen-locus contrast requires pretrained initialization under this budget</w:t>
      </w:r>
    </w:p>
    <w:p>
      <w:r>
        <w:rPr>
          <w:b w:val="0"/>
          <w:i w:val="0"/>
        </w:rPr>
        <w:t>To test whether the NT gain reflected pretrained weights rather than architecture or capacity, we trained the same NT configuration from random initialisation with the same tokenizer, LoRA modules, data, optimizer and four-epoch schedule (five seeds). On retained development-active loci, the random-init ensemble reached 6.75-fold (AUPRC 0.258), close to the 6.77-fold (AUPRC 0.273) of the pretrained ensemble (Δ +0.0153; 95% CI −0.0147 to +0.0465). On unseen development-active loci, it fell to 2.82-fold (AUPRC 0.114), compared with 5.94-fold (AUPRC 0.241) for the pretrained ensemble and 3.96-fold (AUPRC 0.161) for logistic composition. The pretrained-minus-random-init difference was +0.1275 (95% CI +0.0917 to +0.1812) and was positive in 11 of 11 cell types; the random-init model did not improve on logistic composition (−0.0465; 95% CI −0.0723 to −0.0303). The retained-to-unseen dissociation is consistent with locus-level memorization in the random-init model and a pretraining-dependent contrast against logistic composition under this training budget (Fig. 4). It does not establish an advantage over composition-XGBoost.</w:t>
      </w:r>
    </w:p>
    <w:p>
      <w:r>
        <w:rPr>
          <w:b w:val="0"/>
          <w:i w:val="0"/>
        </w:rPr>
        <w:t>A cell-free control, in which the cell index was set to UNK for every training record (five seeds), gave a similar gain over logistic composition on unseen development-active loci (+0.0842; 95% CI 0.0551 to 0.1243), so the gain over the logistic baseline is not explained by cell conditioning. This control does not change the comparison with composition-XGBoost, against which no gain was detected (Supplementary Table S8).</w:t>
      </w:r>
    </w:p>
    <w:p>
      <w:pPr>
        <w:keepNext/>
        <w:spacing w:before="120" w:after="60"/>
        <w:jc w:val="center"/>
      </w:pPr>
      <w:r>
        <w:drawing>
          <wp:inline xmlns:a="http://schemas.openxmlformats.org/drawingml/2006/main" xmlns:pic="http://schemas.openxmlformats.org/drawingml/2006/picture">
            <wp:extent cx="5806440" cy="2099305"/>
            <wp:docPr id="4" name="Picture 4" descr="Pretraining versus random initialization on retained and unseen loci." title="Pretraining versus random initialization on retained and unseen loci."/>
            <wp:cNvGraphicFramePr>
              <a:graphicFrameLocks noChangeAspect="1"/>
            </wp:cNvGraphicFramePr>
            <a:graphic>
              <a:graphicData uri="http://schemas.openxmlformats.org/drawingml/2006/picture">
                <pic:pic>
                  <pic:nvPicPr>
                    <pic:cNvPr id="0" name="fig4_control.png"/>
                    <pic:cNvPicPr/>
                  </pic:nvPicPr>
                  <pic:blipFill>
                    <a:blip r:embed="rId13"/>
                    <a:stretch>
                      <a:fillRect/>
                    </a:stretch>
                  </pic:blipFill>
                  <pic:spPr>
                    <a:xfrm>
                      <a:off x="0" y="0"/>
                      <a:ext cx="5806440" cy="2099305"/>
                    </a:xfrm>
                    <a:prstGeom prst="rect"/>
                  </pic:spPr>
                </pic:pic>
              </a:graphicData>
            </a:graphic>
          </wp:inline>
        </w:drawing>
      </w:r>
    </w:p>
    <w:p>
      <w:pPr>
        <w:keepLines/>
        <w:spacing w:after="200" w:line="264" w:lineRule="auto"/>
      </w:pPr>
      <w:r>
        <w:rPr>
          <w:b/>
          <w:i w:val="0"/>
          <w:sz w:val="17"/>
        </w:rPr>
        <w:t>Fig. 4 |</w:t>
      </w:r>
      <w:r>
        <w:rPr>
          <w:b w:val="0"/>
          <w:i w:val="0"/>
          <w:sz w:val="17"/>
        </w:rPr>
        <w:t xml:space="preserve"> Pretrained initialization is required for the logistic-baseline contrast on unseen loci under this budget. (a) Macro AUPRC on retained and unseen development-active loci; thin lines are individual cell types. (b) Per-cell difference between pretrained and random-init NT on retained (x) and unseen (y) loci; all 11 cells lie above the diagonal. n = 11; exact intervals in Table S4.</w:t>
      </w:r>
    </w:p>
    <w:p>
      <w:pPr>
        <w:pStyle w:val="Heading2"/>
      </w:pPr>
      <w:r>
        <w:t>2.10 The logistic-baseline contrast survives a sequence-disjoint sensitivity analysis</w:t>
      </w:r>
    </w:p>
    <w:p>
      <w:r>
        <w:rPr>
          <w:b w:val="0"/>
          <w:i w:val="0"/>
        </w:rPr>
        <w:t>Because the locus holdout removes annotated loci rather than their sequence neighborhoods, we repeated the comparison after removing held-out loci whose 2 kb windows overlapped a retained window (Methods 4.12). Of the 12,360 held-out loci, 3,028 (24.5%) overlapped a retained window, and 445 of 1,142 unseen positives (39.0%) did so. Removing every overlapping held-out locus attenuated the development-active gain over logistic composition from +0.0810 to +0.0667 (95% CI 0.0208 to 0.1131); removing loci with at least 500 bp of overlap gave +0.0543 (0.0065 to 0.0997). The gain over logistic composition on all unseen loci was essentially unchanged (+0.0184, 0.0092 to 0.0324; with the 500 bp rule, +0.0175, 0.0084 to 0.0317), and no gain was detected on development-inactive loci under either rule (+0.0002, −0.0033 to 0.0021 for the 500 bp rule; 7 cell types). The NT advantage over logistic composition therefore persists when shared sequence neighborhoods are removed, but up to about one third of the development-active effect is attributable to loci whose input windows overlap training sequence (Supplementary Fig. S3 and Table S6). The NT advantage over logistic composition therefore persists when shared sequence neighborhoods are removed, but this sensitivity analysis addresses the overlap caveat only for the logistic comparison. It does not change the comparison with composition-XGBoost, which remains the primary test of transferable sequence information.</w:t>
      </w:r>
    </w:p>
    <w:p>
      <w:pPr>
        <w:pStyle w:val="Heading1"/>
        <w:pageBreakBefore w:val="0"/>
      </w:pPr>
      <w:r>
        <w:t>Tables</w:t>
      </w:r>
    </w:p>
    <w:p>
      <w:pPr>
        <w:keepNext/>
        <w:spacing w:before="120" w:after="80" w:line="276" w:lineRule="auto"/>
      </w:pPr>
      <w:r>
        <w:rPr>
          <w:b/>
          <w:i w:val="0"/>
          <w:sz w:val="18"/>
        </w:rPr>
        <w:t>Table 1 | Cohort and label counts.</w:t>
      </w:r>
      <w:r>
        <w:rPr>
          <w:b w:val="0"/>
          <w:i w:val="0"/>
          <w:sz w:val="18"/>
        </w:rPr>
        <w:t xml:space="preserve"> Development cells after the 20% locus holdout, and the 11 held-out primary cell types.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sz="0" w:space="0" w:color="000000"/>
          <w:right w:val="nil" w:sz="0" w:space="0" w:color="000000"/>
          <w:insideH w:val="nil" w:sz="0" w:space="0" w:color="000000"/>
          <w:insideV w:val="nil" w:sz="0" w:space="0" w:color="000000"/>
        </w:tblBorders>
        <w:tblCellMar>
          <w:top w:w="60" w:type="dxa"/>
          <w:left w:w="60" w:type="dxa"/>
          <w:bottom w:w="60" w:type="dxa"/>
          <w:right w:w="60" w:type="dxa"/>
        </w:tblCellMar>
      </w:tblPr>
      <w:tblGrid>
        <w:gridCol w:w="1312"/>
        <w:gridCol w:w="1312"/>
        <w:gridCol w:w="1312"/>
        <w:gridCol w:w="1312"/>
        <w:gridCol w:w="1312"/>
        <w:gridCol w:w="1312"/>
        <w:gridCol w:w="1312"/>
      </w:tblGrid>
      <w:tr>
        <w:trPr>
          <w:tblHeader w:val="true"/>
        </w:trPr>
        <w:tc>
          <w:tcPr>
            <w:tcW w:type="dxa" w:w="1928"/>
            <w:tcBorders>
              <w:top w:val="single" w:sz="8" w:space="0" w:color="000000"/>
              <w:bottom w:val="single" w:sz="6" w:space="0" w:color="000000"/>
            </w:tcBorders>
          </w:tcPr>
          <w:p>
            <w:pPr>
              <w:spacing w:before="40" w:after="40" w:line="240" w:lineRule="auto"/>
              <w:jc w:val="center"/>
            </w:pPr>
            <w:r>
              <w:rPr>
                <w:b/>
                <w:color w:val="000000"/>
                <w:sz w:val="15"/>
              </w:rPr>
              <w:t>Cell type</w:t>
            </w:r>
          </w:p>
        </w:tc>
        <w:tc>
          <w:tcPr>
            <w:tcW w:type="dxa" w:w="1361"/>
            <w:tcBorders>
              <w:top w:val="single" w:sz="8" w:space="0" w:color="000000"/>
              <w:bottom w:val="single" w:sz="6" w:space="0" w:color="000000"/>
            </w:tcBorders>
          </w:tcPr>
          <w:p>
            <w:pPr>
              <w:spacing w:before="40" w:after="40" w:line="240" w:lineRule="auto"/>
              <w:jc w:val="center"/>
            </w:pPr>
            <w:r>
              <w:rPr>
                <w:b/>
                <w:color w:val="000000"/>
                <w:sz w:val="15"/>
              </w:rPr>
              <w:t>Split</w:t>
            </w:r>
          </w:p>
        </w:tc>
        <w:tc>
          <w:tcPr>
            <w:tcW w:type="dxa" w:w="1020"/>
            <w:tcBorders>
              <w:top w:val="single" w:sz="8" w:space="0" w:color="000000"/>
              <w:bottom w:val="single" w:sz="6" w:space="0" w:color="000000"/>
            </w:tcBorders>
          </w:tcPr>
          <w:p>
            <w:pPr>
              <w:spacing w:before="40" w:after="40" w:line="240" w:lineRule="auto"/>
              <w:jc w:val="center"/>
            </w:pPr>
            <w:r>
              <w:rPr>
                <w:b/>
                <w:color w:val="000000"/>
                <w:sz w:val="15"/>
              </w:rPr>
              <w:t>Libraries</w:t>
            </w:r>
          </w:p>
        </w:tc>
        <w:tc>
          <w:tcPr>
            <w:tcW w:type="dxa" w:w="1020"/>
            <w:tcBorders>
              <w:top w:val="single" w:sz="8" w:space="0" w:color="000000"/>
              <w:bottom w:val="single" w:sz="6" w:space="0" w:color="000000"/>
            </w:tcBorders>
          </w:tcPr>
          <w:p>
            <w:pPr>
              <w:spacing w:before="40" w:after="40" w:line="240" w:lineRule="auto"/>
              <w:jc w:val="center"/>
            </w:pPr>
            <w:r>
              <w:rPr>
                <w:b/>
                <w:color w:val="000000"/>
                <w:sz w:val="15"/>
              </w:rPr>
              <w:t>Threshold</w:t>
            </w:r>
          </w:p>
        </w:tc>
        <w:tc>
          <w:tcPr>
            <w:tcW w:type="dxa" w:w="1020"/>
            <w:tcBorders>
              <w:top w:val="single" w:sz="8" w:space="0" w:color="000000"/>
              <w:bottom w:val="single" w:sz="6" w:space="0" w:color="000000"/>
            </w:tcBorders>
          </w:tcPr>
          <w:p>
            <w:pPr>
              <w:spacing w:before="40" w:after="40" w:line="240" w:lineRule="auto"/>
              <w:jc w:val="center"/>
            </w:pPr>
            <w:r>
              <w:rPr>
                <w:b/>
                <w:color w:val="000000"/>
                <w:sz w:val="15"/>
              </w:rPr>
              <w:t>Positives</w:t>
            </w:r>
          </w:p>
        </w:tc>
        <w:tc>
          <w:tcPr>
            <w:tcW w:type="dxa" w:w="1020"/>
            <w:tcBorders>
              <w:top w:val="single" w:sz="8" w:space="0" w:color="000000"/>
              <w:bottom w:val="single" w:sz="6" w:space="0" w:color="000000"/>
            </w:tcBorders>
          </w:tcPr>
          <w:p>
            <w:pPr>
              <w:spacing w:before="40" w:after="40" w:line="240" w:lineRule="auto"/>
              <w:jc w:val="center"/>
            </w:pPr>
            <w:r>
              <w:rPr>
                <w:b/>
                <w:color w:val="000000"/>
                <w:sz w:val="15"/>
              </w:rPr>
              <w:t>Negatives</w:t>
            </w:r>
          </w:p>
        </w:tc>
        <w:tc>
          <w:tcPr>
            <w:tcW w:type="dxa" w:w="1247"/>
            <w:tcBorders>
              <w:top w:val="single" w:sz="8" w:space="0" w:color="000000"/>
              <w:bottom w:val="single" w:sz="6" w:space="0" w:color="000000"/>
            </w:tcBorders>
          </w:tcPr>
          <w:p>
            <w:pPr>
              <w:spacing w:before="40" w:after="40" w:line="240" w:lineRule="auto"/>
              <w:jc w:val="center"/>
            </w:pPr>
            <w:r>
              <w:rPr>
                <w:b/>
                <w:color w:val="000000"/>
                <w:sz w:val="15"/>
              </w:rPr>
              <w:t>Prevalence</w:t>
            </w:r>
          </w:p>
        </w:tc>
      </w:tr>
      <w:tr>
        <w:tc>
          <w:tcPr>
            <w:tcW w:type="dxa" w:w="9184"/>
            <w:gridSpan w:val="7"/>
          </w:tcPr>
          <w:p>
            <w:pPr>
              <w:spacing w:before="140" w:after="40" w:line="240" w:lineRule="auto"/>
            </w:pPr>
            <w:r>
              <w:rPr>
                <w:b/>
                <w:sz w:val="15"/>
              </w:rPr>
              <w:t>Development cells (after 20% locus holdout)</w:t>
            </w:r>
          </w:p>
        </w:tc>
      </w:tr>
      <w:tr>
        <w:tc>
          <w:tcPr>
            <w:tcW w:type="dxa" w:w="1928"/>
          </w:tcPr>
          <w:p>
            <w:pPr>
              <w:spacing w:before="20" w:after="20" w:line="240" w:lineRule="auto"/>
              <w:jc w:val="left"/>
            </w:pPr>
            <w:r>
              <w:rPr>
                <w:sz w:val="14"/>
              </w:rPr>
              <w:t>K562</w:t>
            </w:r>
          </w:p>
        </w:tc>
        <w:tc>
          <w:tcPr>
            <w:tcW w:type="dxa" w:w="1361"/>
          </w:tcPr>
          <w:p>
            <w:pPr>
              <w:spacing w:before="20" w:after="20" w:line="240" w:lineRule="auto"/>
              <w:jc w:val="center"/>
            </w:pPr>
            <w:r>
              <w:rPr>
                <w:sz w:val="14"/>
              </w:rPr>
              <w:t>train</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582</w:t>
            </w:r>
          </w:p>
        </w:tc>
        <w:tc>
          <w:tcPr>
            <w:tcW w:type="dxa" w:w="1020"/>
          </w:tcPr>
          <w:p>
            <w:pPr>
              <w:spacing w:before="20" w:after="20" w:line="240" w:lineRule="auto"/>
              <w:jc w:val="center"/>
            </w:pPr>
            <w:r>
              <w:rPr>
                <w:sz w:val="14"/>
              </w:rPr>
              <w:t>35614</w:t>
            </w:r>
          </w:p>
        </w:tc>
        <w:tc>
          <w:tcPr>
            <w:tcW w:type="dxa" w:w="1247"/>
          </w:tcPr>
          <w:p>
            <w:pPr>
              <w:spacing w:before="20" w:after="20" w:line="240" w:lineRule="auto"/>
              <w:jc w:val="center"/>
            </w:pPr>
            <w:r>
              <w:rPr>
                <w:sz w:val="14"/>
              </w:rPr>
              <w:t>1.61%</w:t>
            </w:r>
          </w:p>
        </w:tc>
      </w:tr>
      <w:tr>
        <w:tc>
          <w:tcPr>
            <w:tcW w:type="dxa" w:w="1928"/>
          </w:tcPr>
          <w:p>
            <w:pPr>
              <w:spacing w:before="20" w:after="20" w:line="240" w:lineRule="auto"/>
              <w:jc w:val="left"/>
            </w:pPr>
            <w:r>
              <w:rPr>
                <w:sz w:val="14"/>
              </w:rPr>
              <w:t>K562</w:t>
            </w:r>
          </w:p>
        </w:tc>
        <w:tc>
          <w:tcPr>
            <w:tcW w:type="dxa" w:w="1361"/>
          </w:tcPr>
          <w:p>
            <w:pPr>
              <w:spacing w:before="20" w:after="20" w:line="240" w:lineRule="auto"/>
              <w:jc w:val="center"/>
            </w:pPr>
            <w:r>
              <w:rPr>
                <w:sz w:val="14"/>
              </w:rPr>
              <w:t>validation</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87</w:t>
            </w:r>
          </w:p>
        </w:tc>
        <w:tc>
          <w:tcPr>
            <w:tcW w:type="dxa" w:w="1020"/>
          </w:tcPr>
          <w:p>
            <w:pPr>
              <w:spacing w:before="20" w:after="20" w:line="240" w:lineRule="auto"/>
              <w:jc w:val="center"/>
            </w:pPr>
            <w:r>
              <w:rPr>
                <w:sz w:val="14"/>
              </w:rPr>
              <w:t>4126</w:t>
            </w:r>
          </w:p>
        </w:tc>
        <w:tc>
          <w:tcPr>
            <w:tcW w:type="dxa" w:w="1247"/>
          </w:tcPr>
          <w:p>
            <w:pPr>
              <w:spacing w:before="20" w:after="20" w:line="240" w:lineRule="auto"/>
              <w:jc w:val="center"/>
            </w:pPr>
            <w:r>
              <w:rPr>
                <w:sz w:val="14"/>
              </w:rPr>
              <w:t>2.07%</w:t>
            </w:r>
          </w:p>
        </w:tc>
      </w:tr>
      <w:tr>
        <w:tc>
          <w:tcPr>
            <w:tcW w:type="dxa" w:w="1928"/>
          </w:tcPr>
          <w:p>
            <w:pPr>
              <w:spacing w:before="20" w:after="20" w:line="240" w:lineRule="auto"/>
              <w:jc w:val="left"/>
            </w:pPr>
            <w:r>
              <w:rPr>
                <w:sz w:val="14"/>
              </w:rPr>
              <w:t>K562</w:t>
            </w:r>
          </w:p>
        </w:tc>
        <w:tc>
          <w:tcPr>
            <w:tcW w:type="dxa" w:w="1361"/>
          </w:tcPr>
          <w:p>
            <w:pPr>
              <w:spacing w:before="20" w:after="20" w:line="240" w:lineRule="auto"/>
              <w:jc w:val="center"/>
            </w:pPr>
            <w:r>
              <w:rPr>
                <w:sz w:val="14"/>
              </w:rPr>
              <w:t>test</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134</w:t>
            </w:r>
          </w:p>
        </w:tc>
        <w:tc>
          <w:tcPr>
            <w:tcW w:type="dxa" w:w="1020"/>
          </w:tcPr>
          <w:p>
            <w:pPr>
              <w:spacing w:before="20" w:after="20" w:line="240" w:lineRule="auto"/>
              <w:jc w:val="center"/>
            </w:pPr>
            <w:r>
              <w:rPr>
                <w:sz w:val="14"/>
              </w:rPr>
              <w:t>7974</w:t>
            </w:r>
          </w:p>
        </w:tc>
        <w:tc>
          <w:tcPr>
            <w:tcW w:type="dxa" w:w="1247"/>
          </w:tcPr>
          <w:p>
            <w:pPr>
              <w:spacing w:before="20" w:after="20" w:line="240" w:lineRule="auto"/>
              <w:jc w:val="center"/>
            </w:pPr>
            <w:r>
              <w:rPr>
                <w:sz w:val="14"/>
              </w:rPr>
              <w:t>1.65%</w:t>
            </w:r>
          </w:p>
        </w:tc>
      </w:tr>
      <w:tr>
        <w:tc>
          <w:tcPr>
            <w:tcW w:type="dxa" w:w="1928"/>
          </w:tcPr>
          <w:p>
            <w:pPr>
              <w:spacing w:before="20" w:after="20" w:line="240" w:lineRule="auto"/>
              <w:jc w:val="left"/>
            </w:pPr>
            <w:r>
              <w:rPr>
                <w:sz w:val="14"/>
              </w:rPr>
              <w:t>HepG2</w:t>
            </w:r>
          </w:p>
        </w:tc>
        <w:tc>
          <w:tcPr>
            <w:tcW w:type="dxa" w:w="1361"/>
          </w:tcPr>
          <w:p>
            <w:pPr>
              <w:spacing w:before="20" w:after="20" w:line="240" w:lineRule="auto"/>
              <w:jc w:val="center"/>
            </w:pPr>
            <w:r>
              <w:rPr>
                <w:sz w:val="14"/>
              </w:rPr>
              <w:t>train</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1115</w:t>
            </w:r>
          </w:p>
        </w:tc>
        <w:tc>
          <w:tcPr>
            <w:tcW w:type="dxa" w:w="1020"/>
          </w:tcPr>
          <w:p>
            <w:pPr>
              <w:spacing w:before="20" w:after="20" w:line="240" w:lineRule="auto"/>
              <w:jc w:val="center"/>
            </w:pPr>
            <w:r>
              <w:rPr>
                <w:sz w:val="14"/>
              </w:rPr>
              <w:t>35029</w:t>
            </w:r>
          </w:p>
        </w:tc>
        <w:tc>
          <w:tcPr>
            <w:tcW w:type="dxa" w:w="1247"/>
          </w:tcPr>
          <w:p>
            <w:pPr>
              <w:spacing w:before="20" w:after="20" w:line="240" w:lineRule="auto"/>
              <w:jc w:val="center"/>
            </w:pPr>
            <w:r>
              <w:rPr>
                <w:sz w:val="14"/>
              </w:rPr>
              <w:t>3.08%</w:t>
            </w:r>
          </w:p>
        </w:tc>
      </w:tr>
      <w:tr>
        <w:tc>
          <w:tcPr>
            <w:tcW w:type="dxa" w:w="1928"/>
          </w:tcPr>
          <w:p>
            <w:pPr>
              <w:spacing w:before="20" w:after="20" w:line="240" w:lineRule="auto"/>
              <w:jc w:val="left"/>
            </w:pPr>
            <w:r>
              <w:rPr>
                <w:sz w:val="14"/>
              </w:rPr>
              <w:t>HepG2</w:t>
            </w:r>
          </w:p>
        </w:tc>
        <w:tc>
          <w:tcPr>
            <w:tcW w:type="dxa" w:w="1361"/>
          </w:tcPr>
          <w:p>
            <w:pPr>
              <w:spacing w:before="20" w:after="20" w:line="240" w:lineRule="auto"/>
              <w:jc w:val="center"/>
            </w:pPr>
            <w:r>
              <w:rPr>
                <w:sz w:val="14"/>
              </w:rPr>
              <w:t>validation</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155</w:t>
            </w:r>
          </w:p>
        </w:tc>
        <w:tc>
          <w:tcPr>
            <w:tcW w:type="dxa" w:w="1020"/>
          </w:tcPr>
          <w:p>
            <w:pPr>
              <w:spacing w:before="20" w:after="20" w:line="240" w:lineRule="auto"/>
              <w:jc w:val="center"/>
            </w:pPr>
            <w:r>
              <w:rPr>
                <w:sz w:val="14"/>
              </w:rPr>
              <w:t>4061</w:t>
            </w:r>
          </w:p>
        </w:tc>
        <w:tc>
          <w:tcPr>
            <w:tcW w:type="dxa" w:w="1247"/>
          </w:tcPr>
          <w:p>
            <w:pPr>
              <w:spacing w:before="20" w:after="20" w:line="240" w:lineRule="auto"/>
              <w:jc w:val="center"/>
            </w:pPr>
            <w:r>
              <w:rPr>
                <w:sz w:val="14"/>
              </w:rPr>
              <w:t>3.68%</w:t>
            </w:r>
          </w:p>
        </w:tc>
      </w:tr>
      <w:tr>
        <w:tc>
          <w:tcPr>
            <w:tcW w:type="dxa" w:w="1928"/>
          </w:tcPr>
          <w:p>
            <w:pPr>
              <w:spacing w:before="20" w:after="20" w:line="240" w:lineRule="auto"/>
              <w:jc w:val="left"/>
            </w:pPr>
            <w:r>
              <w:rPr>
                <w:sz w:val="14"/>
              </w:rPr>
              <w:t>HepG2</w:t>
            </w:r>
          </w:p>
        </w:tc>
        <w:tc>
          <w:tcPr>
            <w:tcW w:type="dxa" w:w="1361"/>
          </w:tcPr>
          <w:p>
            <w:pPr>
              <w:spacing w:before="20" w:after="20" w:line="240" w:lineRule="auto"/>
              <w:jc w:val="center"/>
            </w:pPr>
            <w:r>
              <w:rPr>
                <w:sz w:val="14"/>
              </w:rPr>
              <w:t>test</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197</w:t>
            </w:r>
          </w:p>
        </w:tc>
        <w:tc>
          <w:tcPr>
            <w:tcW w:type="dxa" w:w="1020"/>
          </w:tcPr>
          <w:p>
            <w:pPr>
              <w:spacing w:before="20" w:after="20" w:line="240" w:lineRule="auto"/>
              <w:jc w:val="center"/>
            </w:pPr>
            <w:r>
              <w:rPr>
                <w:sz w:val="14"/>
              </w:rPr>
              <w:t>7917</w:t>
            </w:r>
          </w:p>
        </w:tc>
        <w:tc>
          <w:tcPr>
            <w:tcW w:type="dxa" w:w="1247"/>
          </w:tcPr>
          <w:p>
            <w:pPr>
              <w:spacing w:before="20" w:after="20" w:line="240" w:lineRule="auto"/>
              <w:jc w:val="center"/>
            </w:pPr>
            <w:r>
              <w:rPr>
                <w:sz w:val="14"/>
              </w:rPr>
              <w:t>2.43%</w:t>
            </w:r>
          </w:p>
        </w:tc>
      </w:tr>
      <w:tr>
        <w:tc>
          <w:tcPr>
            <w:tcW w:type="dxa" w:w="1928"/>
          </w:tcPr>
          <w:p>
            <w:pPr>
              <w:spacing w:before="20" w:after="20" w:line="240" w:lineRule="auto"/>
              <w:jc w:val="left"/>
            </w:pPr>
            <w:r>
              <w:rPr>
                <w:sz w:val="14"/>
              </w:rPr>
              <w:t>GM12878</w:t>
            </w:r>
          </w:p>
        </w:tc>
        <w:tc>
          <w:tcPr>
            <w:tcW w:type="dxa" w:w="1361"/>
          </w:tcPr>
          <w:p>
            <w:pPr>
              <w:spacing w:before="20" w:after="20" w:line="240" w:lineRule="auto"/>
              <w:jc w:val="center"/>
            </w:pPr>
            <w:r>
              <w:rPr>
                <w:sz w:val="14"/>
              </w:rPr>
              <w:t>train</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2389</w:t>
            </w:r>
          </w:p>
        </w:tc>
        <w:tc>
          <w:tcPr>
            <w:tcW w:type="dxa" w:w="1020"/>
          </w:tcPr>
          <w:p>
            <w:pPr>
              <w:spacing w:before="20" w:after="20" w:line="240" w:lineRule="auto"/>
              <w:jc w:val="center"/>
            </w:pPr>
            <w:r>
              <w:rPr>
                <w:sz w:val="14"/>
              </w:rPr>
              <w:t>33523</w:t>
            </w:r>
          </w:p>
        </w:tc>
        <w:tc>
          <w:tcPr>
            <w:tcW w:type="dxa" w:w="1247"/>
          </w:tcPr>
          <w:p>
            <w:pPr>
              <w:spacing w:before="20" w:after="20" w:line="240" w:lineRule="auto"/>
              <w:jc w:val="center"/>
            </w:pPr>
            <w:r>
              <w:rPr>
                <w:sz w:val="14"/>
              </w:rPr>
              <w:t>6.65%</w:t>
            </w:r>
          </w:p>
        </w:tc>
      </w:tr>
      <w:tr>
        <w:tc>
          <w:tcPr>
            <w:tcW w:type="dxa" w:w="1928"/>
          </w:tcPr>
          <w:p>
            <w:pPr>
              <w:spacing w:before="20" w:after="20" w:line="240" w:lineRule="auto"/>
              <w:jc w:val="left"/>
            </w:pPr>
            <w:r>
              <w:rPr>
                <w:sz w:val="14"/>
              </w:rPr>
              <w:t>GM12878</w:t>
            </w:r>
          </w:p>
        </w:tc>
        <w:tc>
          <w:tcPr>
            <w:tcW w:type="dxa" w:w="1361"/>
          </w:tcPr>
          <w:p>
            <w:pPr>
              <w:spacing w:before="20" w:after="20" w:line="240" w:lineRule="auto"/>
              <w:jc w:val="center"/>
            </w:pPr>
            <w:r>
              <w:rPr>
                <w:sz w:val="14"/>
              </w:rPr>
              <w:t>validation</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340</w:t>
            </w:r>
          </w:p>
        </w:tc>
        <w:tc>
          <w:tcPr>
            <w:tcW w:type="dxa" w:w="1020"/>
          </w:tcPr>
          <w:p>
            <w:pPr>
              <w:spacing w:before="20" w:after="20" w:line="240" w:lineRule="auto"/>
              <w:jc w:val="center"/>
            </w:pPr>
            <w:r>
              <w:rPr>
                <w:sz w:val="14"/>
              </w:rPr>
              <w:t>3852</w:t>
            </w:r>
          </w:p>
        </w:tc>
        <w:tc>
          <w:tcPr>
            <w:tcW w:type="dxa" w:w="1247"/>
          </w:tcPr>
          <w:p>
            <w:pPr>
              <w:spacing w:before="20" w:after="20" w:line="240" w:lineRule="auto"/>
              <w:jc w:val="center"/>
            </w:pPr>
            <w:r>
              <w:rPr>
                <w:sz w:val="14"/>
              </w:rPr>
              <w:t>8.11%</w:t>
            </w:r>
          </w:p>
        </w:tc>
      </w:tr>
      <w:tr>
        <w:tc>
          <w:tcPr>
            <w:tcW w:type="dxa" w:w="1928"/>
          </w:tcPr>
          <w:p>
            <w:pPr>
              <w:spacing w:before="20" w:after="20" w:line="240" w:lineRule="auto"/>
              <w:jc w:val="left"/>
            </w:pPr>
            <w:r>
              <w:rPr>
                <w:sz w:val="14"/>
              </w:rPr>
              <w:t>GM12878</w:t>
            </w:r>
          </w:p>
        </w:tc>
        <w:tc>
          <w:tcPr>
            <w:tcW w:type="dxa" w:w="1361"/>
          </w:tcPr>
          <w:p>
            <w:pPr>
              <w:spacing w:before="20" w:after="20" w:line="240" w:lineRule="auto"/>
              <w:jc w:val="center"/>
            </w:pPr>
            <w:r>
              <w:rPr>
                <w:sz w:val="14"/>
              </w:rPr>
              <w:t>test</w:t>
            </w:r>
          </w:p>
        </w:tc>
        <w:tc>
          <w:tcPr>
            <w:tcW w:type="dxa" w:w="1020"/>
          </w:tcPr>
          <w:p>
            <w:pPr>
              <w:spacing w:before="20" w:after="20" w:line="240" w:lineRule="auto"/>
              <w:jc w:val="center"/>
            </w:pPr>
            <w:r>
              <w:rPr>
                <w:sz w:val="14"/>
              </w:rPr>
              <w:t>3</w:t>
            </w:r>
          </w:p>
        </w:tc>
        <w:tc>
          <w:tcPr>
            <w:tcW w:type="dxa" w:w="1020"/>
          </w:tcPr>
          <w:p>
            <w:pPr>
              <w:spacing w:before="20" w:after="20" w:line="240" w:lineRule="auto"/>
              <w:jc w:val="center"/>
            </w:pPr>
            <w:r>
              <w:rPr>
                <w:sz w:val="14"/>
              </w:rPr>
              <w:t>2/3</w:t>
            </w:r>
          </w:p>
        </w:tc>
        <w:tc>
          <w:tcPr>
            <w:tcW w:type="dxa" w:w="1020"/>
          </w:tcPr>
          <w:p>
            <w:pPr>
              <w:spacing w:before="20" w:after="20" w:line="240" w:lineRule="auto"/>
              <w:jc w:val="center"/>
            </w:pPr>
            <w:r>
              <w:rPr>
                <w:sz w:val="14"/>
              </w:rPr>
              <w:t>456</w:t>
            </w:r>
          </w:p>
        </w:tc>
        <w:tc>
          <w:tcPr>
            <w:tcW w:type="dxa" w:w="1020"/>
          </w:tcPr>
          <w:p>
            <w:pPr>
              <w:spacing w:before="20" w:after="20" w:line="240" w:lineRule="auto"/>
              <w:jc w:val="center"/>
            </w:pPr>
            <w:r>
              <w:rPr>
                <w:sz w:val="14"/>
              </w:rPr>
              <w:t>7569</w:t>
            </w:r>
          </w:p>
        </w:tc>
        <w:tc>
          <w:tcPr>
            <w:tcW w:type="dxa" w:w="1247"/>
          </w:tcPr>
          <w:p>
            <w:pPr>
              <w:spacing w:before="20" w:after="20" w:line="240" w:lineRule="auto"/>
              <w:jc w:val="center"/>
            </w:pPr>
            <w:r>
              <w:rPr>
                <w:sz w:val="14"/>
              </w:rPr>
              <w:t>5.68%</w:t>
            </w:r>
          </w:p>
        </w:tc>
      </w:tr>
      <w:tr>
        <w:tc>
          <w:tcPr>
            <w:tcW w:type="dxa" w:w="9184"/>
            <w:gridSpan w:val="7"/>
          </w:tcPr>
          <w:p>
            <w:pPr>
              <w:spacing w:before="140" w:after="40" w:line="240" w:lineRule="auto"/>
            </w:pPr>
            <w:r>
              <w:rPr>
                <w:b/>
                <w:sz w:val="15"/>
              </w:rPr>
              <w:t>Held-out primary cell types (labels read once)</w:t>
            </w:r>
          </w:p>
        </w:tc>
      </w:tr>
      <w:tr>
        <w:tc>
          <w:tcPr>
            <w:tcW w:type="dxa" w:w="1928"/>
          </w:tcPr>
          <w:p>
            <w:pPr>
              <w:spacing w:before="20" w:after="20" w:line="240" w:lineRule="auto"/>
              <w:jc w:val="left"/>
            </w:pPr>
            <w:r>
              <w:rPr>
                <w:sz w:val="14"/>
              </w:rPr>
              <w:t>mature adipocyte</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4</w:t>
            </w:r>
          </w:p>
        </w:tc>
        <w:tc>
          <w:tcPr>
            <w:tcW w:type="dxa" w:w="1020"/>
          </w:tcPr>
          <w:p>
            <w:pPr>
              <w:spacing w:before="20" w:after="20" w:line="240" w:lineRule="auto"/>
              <w:jc w:val="center"/>
            </w:pPr>
            <w:r>
              <w:rPr>
                <w:sz w:val="14"/>
              </w:rPr>
              <w:t>3/4</w:t>
            </w:r>
          </w:p>
        </w:tc>
        <w:tc>
          <w:tcPr>
            <w:tcW w:type="dxa" w:w="1020"/>
          </w:tcPr>
          <w:p>
            <w:pPr>
              <w:spacing w:before="20" w:after="20" w:line="240" w:lineRule="auto"/>
              <w:jc w:val="center"/>
            </w:pPr>
            <w:r>
              <w:rPr>
                <w:sz w:val="14"/>
              </w:rPr>
              <w:t>1742</w:t>
            </w:r>
          </w:p>
        </w:tc>
        <w:tc>
          <w:tcPr>
            <w:tcW w:type="dxa" w:w="1020"/>
          </w:tcPr>
          <w:p>
            <w:pPr>
              <w:spacing w:before="20" w:after="20" w:line="240" w:lineRule="auto"/>
              <w:jc w:val="center"/>
            </w:pPr>
            <w:r>
              <w:rPr>
                <w:sz w:val="14"/>
              </w:rPr>
              <w:t>58232</w:t>
            </w:r>
          </w:p>
        </w:tc>
        <w:tc>
          <w:tcPr>
            <w:tcW w:type="dxa" w:w="1247"/>
          </w:tcPr>
          <w:p>
            <w:pPr>
              <w:spacing w:before="20" w:after="20" w:line="240" w:lineRule="auto"/>
              <w:jc w:val="center"/>
            </w:pPr>
            <w:r>
              <w:rPr>
                <w:sz w:val="14"/>
              </w:rPr>
              <w:t>2.90%</w:t>
            </w:r>
          </w:p>
        </w:tc>
      </w:tr>
      <w:tr>
        <w:tc>
          <w:tcPr>
            <w:tcW w:type="dxa" w:w="1928"/>
          </w:tcPr>
          <w:p>
            <w:pPr>
              <w:spacing w:before="20" w:after="20" w:line="240" w:lineRule="auto"/>
              <w:jc w:val="left"/>
            </w:pPr>
            <w:r>
              <w:rPr>
                <w:sz w:val="14"/>
              </w:rPr>
              <w:t>Endothelial Cells - Aortic</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4</w:t>
            </w:r>
          </w:p>
        </w:tc>
        <w:tc>
          <w:tcPr>
            <w:tcW w:type="dxa" w:w="1020"/>
          </w:tcPr>
          <w:p>
            <w:pPr>
              <w:spacing w:before="20" w:after="20" w:line="240" w:lineRule="auto"/>
              <w:jc w:val="center"/>
            </w:pPr>
            <w:r>
              <w:rPr>
                <w:sz w:val="14"/>
              </w:rPr>
              <w:t>3/4</w:t>
            </w:r>
          </w:p>
        </w:tc>
        <w:tc>
          <w:tcPr>
            <w:tcW w:type="dxa" w:w="1020"/>
          </w:tcPr>
          <w:p>
            <w:pPr>
              <w:spacing w:before="20" w:after="20" w:line="240" w:lineRule="auto"/>
              <w:jc w:val="center"/>
            </w:pPr>
            <w:r>
              <w:rPr>
                <w:sz w:val="14"/>
              </w:rPr>
              <w:t>461</w:t>
            </w:r>
          </w:p>
        </w:tc>
        <w:tc>
          <w:tcPr>
            <w:tcW w:type="dxa" w:w="1020"/>
          </w:tcPr>
          <w:p>
            <w:pPr>
              <w:spacing w:before="20" w:after="20" w:line="240" w:lineRule="auto"/>
              <w:jc w:val="center"/>
            </w:pPr>
            <w:r>
              <w:rPr>
                <w:sz w:val="14"/>
              </w:rPr>
              <w:t>59951</w:t>
            </w:r>
          </w:p>
        </w:tc>
        <w:tc>
          <w:tcPr>
            <w:tcW w:type="dxa" w:w="1247"/>
          </w:tcPr>
          <w:p>
            <w:pPr>
              <w:spacing w:before="20" w:after="20" w:line="240" w:lineRule="auto"/>
              <w:jc w:val="center"/>
            </w:pPr>
            <w:r>
              <w:rPr>
                <w:sz w:val="14"/>
              </w:rPr>
              <w:t>0.76%</w:t>
            </w:r>
          </w:p>
        </w:tc>
      </w:tr>
      <w:tr>
        <w:tc>
          <w:tcPr>
            <w:tcW w:type="dxa" w:w="1928"/>
          </w:tcPr>
          <w:p>
            <w:pPr>
              <w:spacing w:before="20" w:after="20" w:line="240" w:lineRule="auto"/>
              <w:jc w:val="left"/>
            </w:pPr>
            <w:r>
              <w:rPr>
                <w:sz w:val="14"/>
              </w:rPr>
              <w:t>Bronchial Epithelial Cell</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7</w:t>
            </w:r>
          </w:p>
        </w:tc>
        <w:tc>
          <w:tcPr>
            <w:tcW w:type="dxa" w:w="1020"/>
          </w:tcPr>
          <w:p>
            <w:pPr>
              <w:spacing w:before="20" w:after="20" w:line="240" w:lineRule="auto"/>
              <w:jc w:val="center"/>
            </w:pPr>
            <w:r>
              <w:rPr>
                <w:sz w:val="14"/>
              </w:rPr>
              <w:t>5/7</w:t>
            </w:r>
          </w:p>
        </w:tc>
        <w:tc>
          <w:tcPr>
            <w:tcW w:type="dxa" w:w="1020"/>
          </w:tcPr>
          <w:p>
            <w:pPr>
              <w:spacing w:before="20" w:after="20" w:line="240" w:lineRule="auto"/>
              <w:jc w:val="center"/>
            </w:pPr>
            <w:r>
              <w:rPr>
                <w:sz w:val="14"/>
              </w:rPr>
              <w:t>195</w:t>
            </w:r>
          </w:p>
        </w:tc>
        <w:tc>
          <w:tcPr>
            <w:tcW w:type="dxa" w:w="1020"/>
          </w:tcPr>
          <w:p>
            <w:pPr>
              <w:spacing w:before="20" w:after="20" w:line="240" w:lineRule="auto"/>
              <w:jc w:val="center"/>
            </w:pPr>
            <w:r>
              <w:rPr>
                <w:sz w:val="14"/>
              </w:rPr>
              <w:t>60162</w:t>
            </w:r>
          </w:p>
        </w:tc>
        <w:tc>
          <w:tcPr>
            <w:tcW w:type="dxa" w:w="1247"/>
          </w:tcPr>
          <w:p>
            <w:pPr>
              <w:spacing w:before="20" w:after="20" w:line="240" w:lineRule="auto"/>
              <w:jc w:val="center"/>
            </w:pPr>
            <w:r>
              <w:rPr>
                <w:sz w:val="14"/>
              </w:rPr>
              <w:t>0.32%</w:t>
            </w:r>
          </w:p>
        </w:tc>
      </w:tr>
      <w:tr>
        <w:tc>
          <w:tcPr>
            <w:tcW w:type="dxa" w:w="1928"/>
          </w:tcPr>
          <w:p>
            <w:pPr>
              <w:spacing w:before="20" w:after="20" w:line="240" w:lineRule="auto"/>
              <w:jc w:val="left"/>
            </w:pPr>
            <w:r>
              <w:rPr>
                <w:sz w:val="14"/>
              </w:rPr>
              <w:t>Olfactory epithelial cells</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4</w:t>
            </w:r>
          </w:p>
        </w:tc>
        <w:tc>
          <w:tcPr>
            <w:tcW w:type="dxa" w:w="1020"/>
          </w:tcPr>
          <w:p>
            <w:pPr>
              <w:spacing w:before="20" w:after="20" w:line="240" w:lineRule="auto"/>
              <w:jc w:val="center"/>
            </w:pPr>
            <w:r>
              <w:rPr>
                <w:sz w:val="14"/>
              </w:rPr>
              <w:t>3/4</w:t>
            </w:r>
          </w:p>
        </w:tc>
        <w:tc>
          <w:tcPr>
            <w:tcW w:type="dxa" w:w="1020"/>
          </w:tcPr>
          <w:p>
            <w:pPr>
              <w:spacing w:before="20" w:after="20" w:line="240" w:lineRule="auto"/>
              <w:jc w:val="center"/>
            </w:pPr>
            <w:r>
              <w:rPr>
                <w:sz w:val="14"/>
              </w:rPr>
              <w:t>409</w:t>
            </w:r>
          </w:p>
        </w:tc>
        <w:tc>
          <w:tcPr>
            <w:tcW w:type="dxa" w:w="1020"/>
          </w:tcPr>
          <w:p>
            <w:pPr>
              <w:spacing w:before="20" w:after="20" w:line="240" w:lineRule="auto"/>
              <w:jc w:val="center"/>
            </w:pPr>
            <w:r>
              <w:rPr>
                <w:sz w:val="14"/>
              </w:rPr>
              <w:t>61482</w:t>
            </w:r>
          </w:p>
        </w:tc>
        <w:tc>
          <w:tcPr>
            <w:tcW w:type="dxa" w:w="1247"/>
          </w:tcPr>
          <w:p>
            <w:pPr>
              <w:spacing w:before="20" w:after="20" w:line="240" w:lineRule="auto"/>
              <w:jc w:val="center"/>
            </w:pPr>
            <w:r>
              <w:rPr>
                <w:sz w:val="14"/>
              </w:rPr>
              <w:t>0.66%</w:t>
            </w:r>
          </w:p>
        </w:tc>
      </w:tr>
      <w:tr>
        <w:tc>
          <w:tcPr>
            <w:tcW w:type="dxa" w:w="1928"/>
          </w:tcPr>
          <w:p>
            <w:pPr>
              <w:spacing w:before="20" w:after="20" w:line="240" w:lineRule="auto"/>
              <w:jc w:val="left"/>
            </w:pPr>
            <w:r>
              <w:rPr>
                <w:sz w:val="14"/>
              </w:rPr>
              <w:t>Fibroblast - Cardiac</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6</w:t>
            </w:r>
          </w:p>
        </w:tc>
        <w:tc>
          <w:tcPr>
            <w:tcW w:type="dxa" w:w="1020"/>
          </w:tcPr>
          <w:p>
            <w:pPr>
              <w:spacing w:before="20" w:after="20" w:line="240" w:lineRule="auto"/>
              <w:jc w:val="center"/>
            </w:pPr>
            <w:r>
              <w:rPr>
                <w:sz w:val="14"/>
              </w:rPr>
              <w:t>4/6</w:t>
            </w:r>
          </w:p>
        </w:tc>
        <w:tc>
          <w:tcPr>
            <w:tcW w:type="dxa" w:w="1020"/>
          </w:tcPr>
          <w:p>
            <w:pPr>
              <w:spacing w:before="20" w:after="20" w:line="240" w:lineRule="auto"/>
              <w:jc w:val="center"/>
            </w:pPr>
            <w:r>
              <w:rPr>
                <w:sz w:val="14"/>
              </w:rPr>
              <w:t>296</w:t>
            </w:r>
          </w:p>
        </w:tc>
        <w:tc>
          <w:tcPr>
            <w:tcW w:type="dxa" w:w="1020"/>
          </w:tcPr>
          <w:p>
            <w:pPr>
              <w:spacing w:before="20" w:after="20" w:line="240" w:lineRule="auto"/>
              <w:jc w:val="center"/>
            </w:pPr>
            <w:r>
              <w:rPr>
                <w:sz w:val="14"/>
              </w:rPr>
              <w:t>59530</w:t>
            </w:r>
          </w:p>
        </w:tc>
        <w:tc>
          <w:tcPr>
            <w:tcW w:type="dxa" w:w="1247"/>
          </w:tcPr>
          <w:p>
            <w:pPr>
              <w:spacing w:before="20" w:after="20" w:line="240" w:lineRule="auto"/>
              <w:jc w:val="center"/>
            </w:pPr>
            <w:r>
              <w:rPr>
                <w:sz w:val="14"/>
              </w:rPr>
              <w:t>0.49%</w:t>
            </w:r>
          </w:p>
        </w:tc>
      </w:tr>
      <w:tr>
        <w:tc>
          <w:tcPr>
            <w:tcW w:type="dxa" w:w="1928"/>
          </w:tcPr>
          <w:p>
            <w:pPr>
              <w:spacing w:before="20" w:after="20" w:line="240" w:lineRule="auto"/>
              <w:jc w:val="left"/>
            </w:pPr>
            <w:r>
              <w:rPr>
                <w:sz w:val="14"/>
              </w:rPr>
              <w:t>Fibroblast - Gingival</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13</w:t>
            </w:r>
          </w:p>
        </w:tc>
        <w:tc>
          <w:tcPr>
            <w:tcW w:type="dxa" w:w="1020"/>
          </w:tcPr>
          <w:p>
            <w:pPr>
              <w:spacing w:before="20" w:after="20" w:line="240" w:lineRule="auto"/>
              <w:jc w:val="center"/>
            </w:pPr>
            <w:r>
              <w:rPr>
                <w:sz w:val="14"/>
              </w:rPr>
              <w:t>9/13</w:t>
            </w:r>
          </w:p>
        </w:tc>
        <w:tc>
          <w:tcPr>
            <w:tcW w:type="dxa" w:w="1020"/>
          </w:tcPr>
          <w:p>
            <w:pPr>
              <w:spacing w:before="20" w:after="20" w:line="240" w:lineRule="auto"/>
              <w:jc w:val="center"/>
            </w:pPr>
            <w:r>
              <w:rPr>
                <w:sz w:val="14"/>
              </w:rPr>
              <w:t>353</w:t>
            </w:r>
          </w:p>
        </w:tc>
        <w:tc>
          <w:tcPr>
            <w:tcW w:type="dxa" w:w="1020"/>
          </w:tcPr>
          <w:p>
            <w:pPr>
              <w:spacing w:before="20" w:after="20" w:line="240" w:lineRule="auto"/>
              <w:jc w:val="center"/>
            </w:pPr>
            <w:r>
              <w:rPr>
                <w:sz w:val="14"/>
              </w:rPr>
              <w:t>57692</w:t>
            </w:r>
          </w:p>
        </w:tc>
        <w:tc>
          <w:tcPr>
            <w:tcW w:type="dxa" w:w="1247"/>
          </w:tcPr>
          <w:p>
            <w:pPr>
              <w:spacing w:before="20" w:after="20" w:line="240" w:lineRule="auto"/>
              <w:jc w:val="center"/>
            </w:pPr>
            <w:r>
              <w:rPr>
                <w:sz w:val="14"/>
              </w:rPr>
              <w:t>0.61%</w:t>
            </w:r>
          </w:p>
        </w:tc>
      </w:tr>
      <w:tr>
        <w:tc>
          <w:tcPr>
            <w:tcW w:type="dxa" w:w="1928"/>
          </w:tcPr>
          <w:p>
            <w:pPr>
              <w:spacing w:before="20" w:after="20" w:line="240" w:lineRule="auto"/>
              <w:jc w:val="left"/>
            </w:pPr>
            <w:r>
              <w:rPr>
                <w:sz w:val="14"/>
              </w:rPr>
              <w:t>CD19+ B Cells (pluriselect)</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8</w:t>
            </w:r>
          </w:p>
        </w:tc>
        <w:tc>
          <w:tcPr>
            <w:tcW w:type="dxa" w:w="1020"/>
          </w:tcPr>
          <w:p>
            <w:pPr>
              <w:spacing w:before="20" w:after="20" w:line="240" w:lineRule="auto"/>
              <w:jc w:val="center"/>
            </w:pPr>
            <w:r>
              <w:rPr>
                <w:sz w:val="14"/>
              </w:rPr>
              <w:t>6/8</w:t>
            </w:r>
          </w:p>
        </w:tc>
        <w:tc>
          <w:tcPr>
            <w:tcW w:type="dxa" w:w="1020"/>
          </w:tcPr>
          <w:p>
            <w:pPr>
              <w:spacing w:before="20" w:after="20" w:line="240" w:lineRule="auto"/>
              <w:jc w:val="center"/>
            </w:pPr>
            <w:r>
              <w:rPr>
                <w:sz w:val="14"/>
              </w:rPr>
              <w:t>906</w:t>
            </w:r>
          </w:p>
        </w:tc>
        <w:tc>
          <w:tcPr>
            <w:tcW w:type="dxa" w:w="1020"/>
          </w:tcPr>
          <w:p>
            <w:pPr>
              <w:spacing w:before="20" w:after="20" w:line="240" w:lineRule="auto"/>
              <w:jc w:val="center"/>
            </w:pPr>
            <w:r>
              <w:rPr>
                <w:sz w:val="14"/>
              </w:rPr>
              <w:t>59385</w:t>
            </w:r>
          </w:p>
        </w:tc>
        <w:tc>
          <w:tcPr>
            <w:tcW w:type="dxa" w:w="1247"/>
          </w:tcPr>
          <w:p>
            <w:pPr>
              <w:spacing w:before="20" w:after="20" w:line="240" w:lineRule="auto"/>
              <w:jc w:val="center"/>
            </w:pPr>
            <w:r>
              <w:rPr>
                <w:sz w:val="14"/>
              </w:rPr>
              <w:t>1.50%</w:t>
            </w:r>
          </w:p>
        </w:tc>
      </w:tr>
      <w:tr>
        <w:tc>
          <w:tcPr>
            <w:tcW w:type="dxa" w:w="1928"/>
          </w:tcPr>
          <w:p>
            <w:pPr>
              <w:spacing w:before="20" w:after="20" w:line="240" w:lineRule="auto"/>
              <w:jc w:val="left"/>
            </w:pPr>
            <w:r>
              <w:rPr>
                <w:sz w:val="14"/>
              </w:rPr>
              <w:t>CD8+ T Cells (pluriselect)</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8</w:t>
            </w:r>
          </w:p>
        </w:tc>
        <w:tc>
          <w:tcPr>
            <w:tcW w:type="dxa" w:w="1020"/>
          </w:tcPr>
          <w:p>
            <w:pPr>
              <w:spacing w:before="20" w:after="20" w:line="240" w:lineRule="auto"/>
              <w:jc w:val="center"/>
            </w:pPr>
            <w:r>
              <w:rPr>
                <w:sz w:val="14"/>
              </w:rPr>
              <w:t>6/8</w:t>
            </w:r>
          </w:p>
        </w:tc>
        <w:tc>
          <w:tcPr>
            <w:tcW w:type="dxa" w:w="1020"/>
          </w:tcPr>
          <w:p>
            <w:pPr>
              <w:spacing w:before="20" w:after="20" w:line="240" w:lineRule="auto"/>
              <w:jc w:val="center"/>
            </w:pPr>
            <w:r>
              <w:rPr>
                <w:sz w:val="14"/>
              </w:rPr>
              <w:t>803</w:t>
            </w:r>
          </w:p>
        </w:tc>
        <w:tc>
          <w:tcPr>
            <w:tcW w:type="dxa" w:w="1020"/>
          </w:tcPr>
          <w:p>
            <w:pPr>
              <w:spacing w:before="20" w:after="20" w:line="240" w:lineRule="auto"/>
              <w:jc w:val="center"/>
            </w:pPr>
            <w:r>
              <w:rPr>
                <w:sz w:val="14"/>
              </w:rPr>
              <w:t>58168</w:t>
            </w:r>
          </w:p>
        </w:tc>
        <w:tc>
          <w:tcPr>
            <w:tcW w:type="dxa" w:w="1247"/>
          </w:tcPr>
          <w:p>
            <w:pPr>
              <w:spacing w:before="20" w:after="20" w:line="240" w:lineRule="auto"/>
              <w:jc w:val="center"/>
            </w:pPr>
            <w:r>
              <w:rPr>
                <w:sz w:val="14"/>
              </w:rPr>
              <w:t>1.36%</w:t>
            </w:r>
          </w:p>
        </w:tc>
      </w:tr>
      <w:tr>
        <w:tc>
          <w:tcPr>
            <w:tcW w:type="dxa" w:w="1928"/>
          </w:tcPr>
          <w:p>
            <w:pPr>
              <w:spacing w:before="20" w:after="20" w:line="240" w:lineRule="auto"/>
              <w:jc w:val="left"/>
            </w:pPr>
            <w:r>
              <w:rPr>
                <w:sz w:val="14"/>
              </w:rPr>
              <w:t>Skeletal Muscle Cells</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6</w:t>
            </w:r>
          </w:p>
        </w:tc>
        <w:tc>
          <w:tcPr>
            <w:tcW w:type="dxa" w:w="1020"/>
          </w:tcPr>
          <w:p>
            <w:pPr>
              <w:spacing w:before="20" w:after="20" w:line="240" w:lineRule="auto"/>
              <w:jc w:val="center"/>
            </w:pPr>
            <w:r>
              <w:rPr>
                <w:sz w:val="14"/>
              </w:rPr>
              <w:t>4/6</w:t>
            </w:r>
          </w:p>
        </w:tc>
        <w:tc>
          <w:tcPr>
            <w:tcW w:type="dxa" w:w="1020"/>
          </w:tcPr>
          <w:p>
            <w:pPr>
              <w:spacing w:before="20" w:after="20" w:line="240" w:lineRule="auto"/>
              <w:jc w:val="center"/>
            </w:pPr>
            <w:r>
              <w:rPr>
                <w:sz w:val="14"/>
              </w:rPr>
              <w:t>513</w:t>
            </w:r>
          </w:p>
        </w:tc>
        <w:tc>
          <w:tcPr>
            <w:tcW w:type="dxa" w:w="1020"/>
          </w:tcPr>
          <w:p>
            <w:pPr>
              <w:spacing w:before="20" w:after="20" w:line="240" w:lineRule="auto"/>
              <w:jc w:val="center"/>
            </w:pPr>
            <w:r>
              <w:rPr>
                <w:sz w:val="14"/>
              </w:rPr>
              <w:t>59059</w:t>
            </w:r>
          </w:p>
        </w:tc>
        <w:tc>
          <w:tcPr>
            <w:tcW w:type="dxa" w:w="1247"/>
          </w:tcPr>
          <w:p>
            <w:pPr>
              <w:spacing w:before="20" w:after="20" w:line="240" w:lineRule="auto"/>
              <w:jc w:val="center"/>
            </w:pPr>
            <w:r>
              <w:rPr>
                <w:sz w:val="14"/>
              </w:rPr>
              <w:t>0.86%</w:t>
            </w:r>
          </w:p>
        </w:tc>
      </w:tr>
      <w:tr>
        <w:tc>
          <w:tcPr>
            <w:tcW w:type="dxa" w:w="1928"/>
          </w:tcPr>
          <w:p>
            <w:pPr>
              <w:spacing w:before="20" w:after="20" w:line="240" w:lineRule="auto"/>
              <w:jc w:val="left"/>
            </w:pPr>
            <w:r>
              <w:rPr>
                <w:sz w:val="14"/>
              </w:rPr>
              <w:t>Smooth Muscle Cells - Aortic</w:t>
            </w:r>
          </w:p>
        </w:tc>
        <w:tc>
          <w:tcPr>
            <w:tcW w:type="dxa" w:w="1361"/>
          </w:tcPr>
          <w:p>
            <w:pPr>
              <w:spacing w:before="20" w:after="20" w:line="240" w:lineRule="auto"/>
              <w:jc w:val="center"/>
            </w:pPr>
            <w:r>
              <w:rPr>
                <w:sz w:val="14"/>
              </w:rPr>
              <w:t>held-out</w:t>
            </w:r>
          </w:p>
        </w:tc>
        <w:tc>
          <w:tcPr>
            <w:tcW w:type="dxa" w:w="1020"/>
          </w:tcPr>
          <w:p>
            <w:pPr>
              <w:spacing w:before="20" w:after="20" w:line="240" w:lineRule="auto"/>
              <w:jc w:val="center"/>
            </w:pPr>
            <w:r>
              <w:rPr>
                <w:sz w:val="14"/>
              </w:rPr>
              <w:t>4</w:t>
            </w:r>
          </w:p>
        </w:tc>
        <w:tc>
          <w:tcPr>
            <w:tcW w:type="dxa" w:w="1020"/>
          </w:tcPr>
          <w:p>
            <w:pPr>
              <w:spacing w:before="20" w:after="20" w:line="240" w:lineRule="auto"/>
              <w:jc w:val="center"/>
            </w:pPr>
            <w:r>
              <w:rPr>
                <w:sz w:val="14"/>
              </w:rPr>
              <w:t>3/4</w:t>
            </w:r>
          </w:p>
        </w:tc>
        <w:tc>
          <w:tcPr>
            <w:tcW w:type="dxa" w:w="1020"/>
          </w:tcPr>
          <w:p>
            <w:pPr>
              <w:spacing w:before="20" w:after="20" w:line="240" w:lineRule="auto"/>
              <w:jc w:val="center"/>
            </w:pPr>
            <w:r>
              <w:rPr>
                <w:sz w:val="14"/>
              </w:rPr>
              <w:t>288</w:t>
            </w:r>
          </w:p>
        </w:tc>
        <w:tc>
          <w:tcPr>
            <w:tcW w:type="dxa" w:w="1020"/>
          </w:tcPr>
          <w:p>
            <w:pPr>
              <w:spacing w:before="20" w:after="20" w:line="240" w:lineRule="auto"/>
              <w:jc w:val="center"/>
            </w:pPr>
            <w:r>
              <w:rPr>
                <w:sz w:val="14"/>
              </w:rPr>
              <w:t>60760</w:t>
            </w:r>
          </w:p>
        </w:tc>
        <w:tc>
          <w:tcPr>
            <w:tcW w:type="dxa" w:w="1247"/>
          </w:tcPr>
          <w:p>
            <w:pPr>
              <w:spacing w:before="20" w:after="20" w:line="240" w:lineRule="auto"/>
              <w:jc w:val="center"/>
            </w:pPr>
            <w:r>
              <w:rPr>
                <w:sz w:val="14"/>
              </w:rPr>
              <w:t>0.47%</w:t>
            </w:r>
          </w:p>
        </w:tc>
      </w:tr>
      <w:tr>
        <w:tc>
          <w:tcPr>
            <w:tcW w:type="dxa" w:w="1928"/>
            <w:tcBorders>
              <w:bottom w:val="single" w:sz="8" w:space="0" w:color="000000"/>
            </w:tcBorders>
          </w:tcPr>
          <w:p>
            <w:pPr>
              <w:spacing w:before="20" w:after="20" w:line="240" w:lineRule="auto"/>
              <w:jc w:val="left"/>
            </w:pPr>
            <w:r>
              <w:rPr>
                <w:sz w:val="14"/>
              </w:rPr>
              <w:t>Mesenchymal Stem Cells - bone marrow</w:t>
            </w:r>
          </w:p>
        </w:tc>
        <w:tc>
          <w:tcPr>
            <w:tcW w:type="dxa" w:w="1361"/>
            <w:tcBorders>
              <w:bottom w:val="single" w:sz="8" w:space="0" w:color="000000"/>
            </w:tcBorders>
          </w:tcPr>
          <w:p>
            <w:pPr>
              <w:spacing w:before="20" w:after="20" w:line="240" w:lineRule="auto"/>
              <w:jc w:val="center"/>
            </w:pPr>
            <w:r>
              <w:rPr>
                <w:sz w:val="14"/>
              </w:rPr>
              <w:t>held-out</w:t>
            </w:r>
          </w:p>
        </w:tc>
        <w:tc>
          <w:tcPr>
            <w:tcW w:type="dxa" w:w="1020"/>
            <w:tcBorders>
              <w:bottom w:val="single" w:sz="8" w:space="0" w:color="000000"/>
            </w:tcBorders>
          </w:tcPr>
          <w:p>
            <w:pPr>
              <w:spacing w:before="20" w:after="20" w:line="240" w:lineRule="auto"/>
              <w:jc w:val="center"/>
            </w:pPr>
            <w:r>
              <w:rPr>
                <w:sz w:val="14"/>
              </w:rPr>
              <w:t>4</w:t>
            </w:r>
          </w:p>
        </w:tc>
        <w:tc>
          <w:tcPr>
            <w:tcW w:type="dxa" w:w="1020"/>
            <w:tcBorders>
              <w:bottom w:val="single" w:sz="8" w:space="0" w:color="000000"/>
            </w:tcBorders>
          </w:tcPr>
          <w:p>
            <w:pPr>
              <w:spacing w:before="20" w:after="20" w:line="240" w:lineRule="auto"/>
              <w:jc w:val="center"/>
            </w:pPr>
            <w:r>
              <w:rPr>
                <w:sz w:val="14"/>
              </w:rPr>
              <w:t>3/4</w:t>
            </w:r>
          </w:p>
        </w:tc>
        <w:tc>
          <w:tcPr>
            <w:tcW w:type="dxa" w:w="1020"/>
            <w:tcBorders>
              <w:bottom w:val="single" w:sz="8" w:space="0" w:color="000000"/>
            </w:tcBorders>
          </w:tcPr>
          <w:p>
            <w:pPr>
              <w:spacing w:before="20" w:after="20" w:line="240" w:lineRule="auto"/>
              <w:jc w:val="center"/>
            </w:pPr>
            <w:r>
              <w:rPr>
                <w:sz w:val="14"/>
              </w:rPr>
              <w:t>191</w:t>
            </w:r>
          </w:p>
        </w:tc>
        <w:tc>
          <w:tcPr>
            <w:tcW w:type="dxa" w:w="1020"/>
            <w:tcBorders>
              <w:bottom w:val="single" w:sz="8" w:space="0" w:color="000000"/>
            </w:tcBorders>
          </w:tcPr>
          <w:p>
            <w:pPr>
              <w:spacing w:before="20" w:after="20" w:line="240" w:lineRule="auto"/>
              <w:jc w:val="center"/>
            </w:pPr>
            <w:r>
              <w:rPr>
                <w:sz w:val="14"/>
              </w:rPr>
              <w:t>61447</w:t>
            </w:r>
          </w:p>
        </w:tc>
        <w:tc>
          <w:tcPr>
            <w:tcW w:type="dxa" w:w="1247"/>
            <w:tcBorders>
              <w:bottom w:val="single" w:sz="8" w:space="0" w:color="000000"/>
            </w:tcBorders>
          </w:tcPr>
          <w:p>
            <w:pPr>
              <w:spacing w:before="20" w:after="20" w:line="240" w:lineRule="auto"/>
              <w:jc w:val="center"/>
            </w:pPr>
            <w:r>
              <w:rPr>
                <w:sz w:val="14"/>
              </w:rPr>
              <w:t>0.31%</w:t>
            </w:r>
          </w:p>
        </w:tc>
      </w:tr>
    </w:tbl>
    <w:p>
      <w:pPr>
        <w:spacing w:after="40"/>
      </w:pPr>
    </w:p>
    <w:p>
      <w:pPr>
        <w:keepNext/>
        <w:spacing w:before="120" w:after="80" w:line="276" w:lineRule="auto"/>
      </w:pPr>
      <w:r>
        <w:rPr>
          <w:b/>
          <w:i w:val="0"/>
          <w:sz w:val="18"/>
        </w:rPr>
        <w:t>Table 2 | Four-stratum performance.</w:t>
      </w:r>
      <w:r>
        <w:rPr>
          <w:b w:val="0"/>
          <w:i w:val="0"/>
          <w:sz w:val="18"/>
        </w:rPr>
        <w:t xml:space="preserve"> AUPRC with mean per-cell lift in parentheses; n and positives are per-cell means, and the unseen-inactive row uses the 9 cell types with at least 10 positives; Δ is the NT-LoRA minus logistic composition point estimate with 95% CI.</w:t>
      </w:r>
    </w:p>
    <w:tbl>
      <w:tblPr>
        <w:tblW w:type="auto" w:w="0"/>
        <w:jc w:val="center"/>
        <w:tblLayout w:type="fixed"/>
        <w:tblLook w:firstColumn="1" w:firstRow="1" w:lastColumn="0" w:lastRow="0" w:noHBand="0" w:noVBand="1" w:val="04A0"/>
        <w:tblBorders>
          <w:top w:val="single" w:sz="8" w:space="0" w:color="000000"/>
          <w:bottom w:val="single" w:sz="8" w:space="0" w:color="000000"/>
          <w:left w:val="nil" w:sz="0" w:space="0" w:color="000000"/>
          <w:right w:val="nil" w:sz="0" w:space="0" w:color="000000"/>
          <w:insideH w:val="nil" w:sz="0" w:space="0" w:color="000000"/>
          <w:insideV w:val="nil" w:sz="0" w:space="0" w:color="000000"/>
        </w:tblBorders>
        <w:tblCellMar>
          <w:top w:w="60" w:type="dxa"/>
          <w:left w:w="60" w:type="dxa"/>
          <w:bottom w:w="60" w:type="dxa"/>
          <w:right w:w="60" w:type="dxa"/>
        </w:tblCellMar>
      </w:tblPr>
      <w:tblGrid>
        <w:gridCol w:w="1312"/>
        <w:gridCol w:w="1312"/>
        <w:gridCol w:w="1312"/>
        <w:gridCol w:w="1312"/>
        <w:gridCol w:w="1312"/>
        <w:gridCol w:w="1312"/>
        <w:gridCol w:w="1312"/>
      </w:tblGrid>
      <w:tr>
        <w:trPr>
          <w:tblHeader w:val="true"/>
        </w:trPr>
        <w:tc>
          <w:tcPr>
            <w:tcW w:type="dxa" w:w="1020"/>
            <w:tcBorders>
              <w:top w:val="single" w:sz="8" w:space="0" w:color="000000"/>
              <w:bottom w:val="single" w:sz="6" w:space="0" w:color="000000"/>
            </w:tcBorders>
          </w:tcPr>
          <w:p>
            <w:pPr>
              <w:spacing w:before="60" w:after="60" w:line="240" w:lineRule="auto"/>
              <w:jc w:val="center"/>
            </w:pPr>
            <w:r>
              <w:rPr>
                <w:b/>
                <w:color w:val="000000"/>
                <w:sz w:val="15"/>
              </w:rPr>
              <w:t>Locus set</w:t>
            </w:r>
          </w:p>
        </w:tc>
        <w:tc>
          <w:tcPr>
            <w:tcW w:type="dxa" w:w="1304"/>
            <w:tcBorders>
              <w:top w:val="single" w:sz="8" w:space="0" w:color="000000"/>
              <w:bottom w:val="single" w:sz="6" w:space="0" w:color="000000"/>
            </w:tcBorders>
          </w:tcPr>
          <w:p>
            <w:pPr>
              <w:spacing w:before="60" w:after="60" w:line="240" w:lineRule="auto"/>
              <w:jc w:val="center"/>
            </w:pPr>
            <w:r>
              <w:rPr>
                <w:b/>
                <w:color w:val="000000"/>
                <w:sz w:val="15"/>
              </w:rPr>
              <w:t>Development activity</w:t>
            </w:r>
          </w:p>
        </w:tc>
        <w:tc>
          <w:tcPr>
            <w:tcW w:type="dxa" w:w="1191"/>
            <w:tcBorders>
              <w:top w:val="single" w:sz="8" w:space="0" w:color="000000"/>
              <w:bottom w:val="single" w:sz="6" w:space="0" w:color="000000"/>
            </w:tcBorders>
          </w:tcPr>
          <w:p>
            <w:pPr>
              <w:spacing w:before="60" w:after="60" w:line="240" w:lineRule="auto"/>
              <w:jc w:val="center"/>
            </w:pPr>
            <w:r>
              <w:rPr>
                <w:b/>
                <w:color w:val="000000"/>
                <w:sz w:val="15"/>
              </w:rPr>
              <w:t>n / positives</w:t>
            </w:r>
          </w:p>
        </w:tc>
        <w:tc>
          <w:tcPr>
            <w:tcW w:type="dxa" w:w="1247"/>
            <w:tcBorders>
              <w:top w:val="single" w:sz="8" w:space="0" w:color="000000"/>
              <w:bottom w:val="single" w:sz="6" w:space="0" w:color="000000"/>
            </w:tcBorders>
          </w:tcPr>
          <w:p>
            <w:pPr>
              <w:spacing w:before="60" w:after="60" w:line="240" w:lineRule="auto"/>
              <w:jc w:val="center"/>
            </w:pPr>
            <w:r>
              <w:rPr>
                <w:b/>
                <w:color w:val="000000"/>
                <w:sz w:val="15"/>
              </w:rPr>
              <w:t>Composition (logistic)</w:t>
            </w:r>
          </w:p>
        </w:tc>
        <w:tc>
          <w:tcPr>
            <w:tcW w:type="dxa" w:w="1247"/>
            <w:tcBorders>
              <w:top w:val="single" w:sz="8" w:space="0" w:color="000000"/>
              <w:bottom w:val="single" w:sz="6" w:space="0" w:color="000000"/>
            </w:tcBorders>
          </w:tcPr>
          <w:p>
            <w:pPr>
              <w:spacing w:before="60" w:after="60" w:line="240" w:lineRule="auto"/>
              <w:jc w:val="center"/>
            </w:pPr>
            <w:r>
              <w:rPr>
                <w:b/>
                <w:color w:val="000000"/>
                <w:sz w:val="15"/>
              </w:rPr>
              <w:t>DNA-CNN</w:t>
            </w:r>
          </w:p>
        </w:tc>
        <w:tc>
          <w:tcPr>
            <w:tcW w:type="dxa" w:w="1247"/>
            <w:tcBorders>
              <w:top w:val="single" w:sz="8" w:space="0" w:color="000000"/>
              <w:bottom w:val="single" w:sz="6" w:space="0" w:color="000000"/>
            </w:tcBorders>
          </w:tcPr>
          <w:p>
            <w:pPr>
              <w:spacing w:before="60" w:after="60" w:line="240" w:lineRule="auto"/>
              <w:jc w:val="center"/>
            </w:pPr>
            <w:r>
              <w:rPr>
                <w:b/>
                <w:color w:val="000000"/>
                <w:sz w:val="15"/>
              </w:rPr>
              <w:t>NT-LoRA</w:t>
            </w:r>
          </w:p>
        </w:tc>
        <w:tc>
          <w:tcPr>
            <w:tcW w:type="dxa" w:w="1701"/>
            <w:tcBorders>
              <w:top w:val="single" w:sz="8" w:space="0" w:color="000000"/>
              <w:bottom w:val="single" w:sz="6" w:space="0" w:color="000000"/>
            </w:tcBorders>
          </w:tcPr>
          <w:p>
            <w:pPr>
              <w:spacing w:before="60" w:after="60" w:line="240" w:lineRule="auto"/>
              <w:jc w:val="center"/>
            </w:pPr>
            <w:r>
              <w:rPr>
                <w:b/>
                <w:color w:val="000000"/>
                <w:sz w:val="15"/>
              </w:rPr>
              <w:t>Δ AUPRC (95% CI)</w:t>
            </w:r>
          </w:p>
        </w:tc>
      </w:tr>
      <w:tr>
        <w:tc>
          <w:tcPr>
            <w:tcW w:type="dxa" w:w="1020"/>
          </w:tcPr>
          <w:p>
            <w:pPr>
              <w:spacing w:before="40" w:after="40" w:line="240" w:lineRule="auto"/>
              <w:jc w:val="left"/>
            </w:pPr>
            <w:r>
              <w:rPr>
                <w:sz w:val="15"/>
              </w:rPr>
              <w:t>Unseen</w:t>
            </w:r>
          </w:p>
        </w:tc>
        <w:tc>
          <w:tcPr>
            <w:tcW w:type="dxa" w:w="1304"/>
          </w:tcPr>
          <w:p>
            <w:pPr>
              <w:spacing w:before="40" w:after="40" w:line="240" w:lineRule="auto"/>
              <w:jc w:val="left"/>
            </w:pPr>
            <w:r>
              <w:rPr>
                <w:sz w:val="15"/>
              </w:rPr>
              <w:t>All</w:t>
            </w:r>
          </w:p>
        </w:tc>
        <w:tc>
          <w:tcPr>
            <w:tcW w:type="dxa" w:w="1191"/>
          </w:tcPr>
          <w:p>
            <w:pPr>
              <w:spacing w:before="40" w:after="40" w:line="240" w:lineRule="auto"/>
              <w:jc w:val="center"/>
            </w:pPr>
            <w:r>
              <w:rPr>
                <w:sz w:val="15"/>
              </w:rPr>
              <w:t>11,752 / 104</w:t>
            </w:r>
          </w:p>
        </w:tc>
        <w:tc>
          <w:tcPr>
            <w:tcW w:type="dxa" w:w="1247"/>
          </w:tcPr>
          <w:p>
            <w:pPr>
              <w:spacing w:before="40" w:after="40" w:line="240" w:lineRule="auto"/>
              <w:jc w:val="center"/>
            </w:pPr>
            <w:r>
              <w:rPr>
                <w:sz w:val="15"/>
              </w:rPr>
              <w:t>0.037 (5.66×)</w:t>
            </w:r>
          </w:p>
        </w:tc>
        <w:tc>
          <w:tcPr>
            <w:tcW w:type="dxa" w:w="1247"/>
          </w:tcPr>
          <w:p>
            <w:pPr>
              <w:spacing w:before="40" w:after="40" w:line="240" w:lineRule="auto"/>
              <w:jc w:val="center"/>
            </w:pPr>
            <w:r>
              <w:rPr>
                <w:sz w:val="15"/>
              </w:rPr>
              <w:t>0.034 (5.06×)</w:t>
            </w:r>
          </w:p>
        </w:tc>
        <w:tc>
          <w:tcPr>
            <w:tcW w:type="dxa" w:w="1247"/>
          </w:tcPr>
          <w:p>
            <w:pPr>
              <w:spacing w:before="40" w:after="40" w:line="240" w:lineRule="auto"/>
              <w:jc w:val="center"/>
            </w:pPr>
            <w:r>
              <w:rPr>
                <w:sz w:val="15"/>
              </w:rPr>
              <w:t>0.054 (8.35×)</w:t>
            </w:r>
          </w:p>
        </w:tc>
        <w:tc>
          <w:tcPr>
            <w:tcW w:type="dxa" w:w="1701"/>
          </w:tcPr>
          <w:p>
            <w:pPr>
              <w:spacing w:before="40" w:after="40" w:line="240" w:lineRule="auto"/>
              <w:jc w:val="center"/>
            </w:pPr>
            <w:r>
              <w:rPr>
                <w:sz w:val="15"/>
              </w:rPr>
              <w:t>+0.0175 (+0.0101, +0.0291)</w:t>
            </w:r>
          </w:p>
        </w:tc>
      </w:tr>
      <w:tr>
        <w:tc>
          <w:tcPr>
            <w:tcW w:type="dxa" w:w="1020"/>
          </w:tcPr>
          <w:p>
            <w:pPr>
              <w:spacing w:before="40" w:after="40" w:line="240" w:lineRule="auto"/>
              <w:jc w:val="left"/>
            </w:pPr>
            <w:r>
              <w:rPr>
                <w:b/>
                <w:sz w:val="15"/>
              </w:rPr>
              <w:t>Unseen</w:t>
            </w:r>
          </w:p>
        </w:tc>
        <w:tc>
          <w:tcPr>
            <w:tcW w:type="dxa" w:w="1304"/>
          </w:tcPr>
          <w:p>
            <w:pPr>
              <w:spacing w:before="40" w:after="40" w:line="240" w:lineRule="auto"/>
              <w:jc w:val="left"/>
            </w:pPr>
            <w:r>
              <w:rPr>
                <w:b/>
                <w:sz w:val="15"/>
              </w:rPr>
              <w:t>Active</w:t>
            </w:r>
          </w:p>
        </w:tc>
        <w:tc>
          <w:tcPr>
            <w:tcW w:type="dxa" w:w="1191"/>
          </w:tcPr>
          <w:p>
            <w:pPr>
              <w:spacing w:before="40" w:after="40" w:line="240" w:lineRule="auto"/>
              <w:jc w:val="center"/>
            </w:pPr>
            <w:r>
              <w:rPr>
                <w:b/>
                <w:sz w:val="15"/>
              </w:rPr>
              <w:t>931 / 43</w:t>
            </w:r>
          </w:p>
        </w:tc>
        <w:tc>
          <w:tcPr>
            <w:tcW w:type="dxa" w:w="1247"/>
          </w:tcPr>
          <w:p>
            <w:pPr>
              <w:spacing w:before="40" w:after="40" w:line="240" w:lineRule="auto"/>
              <w:jc w:val="center"/>
            </w:pPr>
            <w:r>
              <w:rPr>
                <w:b/>
                <w:sz w:val="15"/>
              </w:rPr>
              <w:t>0.161 (3.96×)</w:t>
            </w:r>
          </w:p>
        </w:tc>
        <w:tc>
          <w:tcPr>
            <w:tcW w:type="dxa" w:w="1247"/>
          </w:tcPr>
          <w:p>
            <w:pPr>
              <w:spacing w:before="40" w:after="40" w:line="240" w:lineRule="auto"/>
              <w:jc w:val="center"/>
            </w:pPr>
            <w:r>
              <w:rPr>
                <w:b/>
                <w:sz w:val="15"/>
              </w:rPr>
              <w:t>0.153 (3.69×)</w:t>
            </w:r>
          </w:p>
        </w:tc>
        <w:tc>
          <w:tcPr>
            <w:tcW w:type="dxa" w:w="1247"/>
          </w:tcPr>
          <w:p>
            <w:pPr>
              <w:spacing w:before="40" w:after="40" w:line="240" w:lineRule="auto"/>
              <w:jc w:val="center"/>
            </w:pPr>
            <w:r>
              <w:rPr>
                <w:b/>
                <w:sz w:val="15"/>
              </w:rPr>
              <w:t>0.241 (5.94×)</w:t>
            </w:r>
          </w:p>
        </w:tc>
        <w:tc>
          <w:tcPr>
            <w:tcW w:type="dxa" w:w="1701"/>
          </w:tcPr>
          <w:p>
            <w:pPr>
              <w:spacing w:before="40" w:after="40" w:line="240" w:lineRule="auto"/>
              <w:jc w:val="center"/>
            </w:pPr>
            <w:r>
              <w:rPr>
                <w:b/>
                <w:sz w:val="15"/>
              </w:rPr>
              <w:t>+0.0810 (+0.0501, +0.1219)</w:t>
            </w:r>
          </w:p>
        </w:tc>
      </w:tr>
      <w:tr>
        <w:tc>
          <w:tcPr>
            <w:tcW w:type="dxa" w:w="1020"/>
          </w:tcPr>
          <w:p>
            <w:pPr>
              <w:spacing w:before="40" w:after="40" w:line="240" w:lineRule="auto"/>
              <w:jc w:val="left"/>
            </w:pPr>
            <w:r>
              <w:rPr>
                <w:sz w:val="15"/>
              </w:rPr>
              <w:t>Retained</w:t>
            </w:r>
          </w:p>
        </w:tc>
        <w:tc>
          <w:tcPr>
            <w:tcW w:type="dxa" w:w="1304"/>
          </w:tcPr>
          <w:p>
            <w:pPr>
              <w:spacing w:before="40" w:after="40" w:line="240" w:lineRule="auto"/>
              <w:jc w:val="left"/>
            </w:pPr>
            <w:r>
              <w:rPr>
                <w:sz w:val="15"/>
              </w:rPr>
              <w:t>Active</w:t>
            </w:r>
          </w:p>
        </w:tc>
        <w:tc>
          <w:tcPr>
            <w:tcW w:type="dxa" w:w="1191"/>
          </w:tcPr>
          <w:p>
            <w:pPr>
              <w:spacing w:before="40" w:after="40" w:line="240" w:lineRule="auto"/>
              <w:jc w:val="center"/>
            </w:pPr>
            <w:r>
              <w:rPr>
                <w:sz w:val="15"/>
              </w:rPr>
              <w:t>3,715 / 181</w:t>
            </w:r>
          </w:p>
        </w:tc>
        <w:tc>
          <w:tcPr>
            <w:tcW w:type="dxa" w:w="1247"/>
          </w:tcPr>
          <w:p>
            <w:pPr>
              <w:spacing w:before="40" w:after="40" w:line="240" w:lineRule="auto"/>
              <w:jc w:val="center"/>
            </w:pPr>
            <w:r>
              <w:rPr>
                <w:sz w:val="15"/>
              </w:rPr>
              <w:t>0.224 (5.70×)</w:t>
            </w:r>
          </w:p>
        </w:tc>
        <w:tc>
          <w:tcPr>
            <w:tcW w:type="dxa" w:w="1247"/>
          </w:tcPr>
          <w:p>
            <w:pPr>
              <w:spacing w:before="40" w:after="40" w:line="240" w:lineRule="auto"/>
              <w:jc w:val="center"/>
            </w:pPr>
            <w:r>
              <w:rPr>
                <w:sz w:val="15"/>
              </w:rPr>
              <w:t>0.199 (4.96×)</w:t>
            </w:r>
          </w:p>
        </w:tc>
        <w:tc>
          <w:tcPr>
            <w:tcW w:type="dxa" w:w="1247"/>
          </w:tcPr>
          <w:p>
            <w:pPr>
              <w:spacing w:before="40" w:after="40" w:line="240" w:lineRule="auto"/>
              <w:jc w:val="center"/>
            </w:pPr>
            <w:r>
              <w:rPr>
                <w:sz w:val="15"/>
              </w:rPr>
              <w:t>0.273 (6.77×)</w:t>
            </w:r>
          </w:p>
        </w:tc>
        <w:tc>
          <w:tcPr>
            <w:tcW w:type="dxa" w:w="1701"/>
          </w:tcPr>
          <w:p>
            <w:pPr>
              <w:spacing w:before="40" w:after="40" w:line="240" w:lineRule="auto"/>
              <w:jc w:val="center"/>
            </w:pPr>
            <w:r>
              <w:rPr>
                <w:sz w:val="15"/>
              </w:rPr>
              <w:t>+0.0487 (+0.0203, +0.0747)</w:t>
            </w:r>
          </w:p>
        </w:tc>
      </w:tr>
      <w:tr>
        <w:tc>
          <w:tcPr>
            <w:tcW w:type="dxa" w:w="1020"/>
            <w:tcBorders>
              <w:bottom w:val="single" w:sz="8" w:space="0" w:color="000000"/>
            </w:tcBorders>
          </w:tcPr>
          <w:p>
            <w:pPr>
              <w:spacing w:before="40" w:after="40" w:line="240" w:lineRule="auto"/>
              <w:jc w:val="left"/>
            </w:pPr>
            <w:r>
              <w:rPr>
                <w:sz w:val="15"/>
              </w:rPr>
              <w:t>Unseen</w:t>
            </w:r>
          </w:p>
        </w:tc>
        <w:tc>
          <w:tcPr>
            <w:tcW w:type="dxa" w:w="1304"/>
            <w:tcBorders>
              <w:bottom w:val="single" w:sz="8" w:space="0" w:color="000000"/>
            </w:tcBorders>
          </w:tcPr>
          <w:p>
            <w:pPr>
              <w:spacing w:before="40" w:after="40" w:line="240" w:lineRule="auto"/>
              <w:jc w:val="left"/>
            </w:pPr>
            <w:r>
              <w:rPr>
                <w:sz w:val="15"/>
              </w:rPr>
              <w:t>Inactive</w:t>
            </w:r>
          </w:p>
        </w:tc>
        <w:tc>
          <w:tcPr>
            <w:tcW w:type="dxa" w:w="1191"/>
            <w:tcBorders>
              <w:bottom w:val="single" w:sz="8" w:space="0" w:color="000000"/>
            </w:tcBorders>
          </w:tcPr>
          <w:p>
            <w:pPr>
              <w:spacing w:before="40" w:after="40" w:line="240" w:lineRule="auto"/>
              <w:jc w:val="center"/>
            </w:pPr>
            <w:r>
              <w:rPr>
                <w:sz w:val="15"/>
              </w:rPr>
              <w:t>10,198 / 54</w:t>
            </w:r>
          </w:p>
        </w:tc>
        <w:tc>
          <w:tcPr>
            <w:tcW w:type="dxa" w:w="1247"/>
            <w:tcBorders>
              <w:bottom w:val="single" w:sz="8" w:space="0" w:color="000000"/>
            </w:tcBorders>
          </w:tcPr>
          <w:p>
            <w:pPr>
              <w:spacing w:before="40" w:after="40" w:line="240" w:lineRule="auto"/>
              <w:jc w:val="center"/>
            </w:pPr>
            <w:r>
              <w:rPr>
                <w:sz w:val="15"/>
              </w:rPr>
              <w:t>0.010 (2.74×)</w:t>
            </w:r>
          </w:p>
        </w:tc>
        <w:tc>
          <w:tcPr>
            <w:tcW w:type="dxa" w:w="1247"/>
            <w:tcBorders>
              <w:bottom w:val="single" w:sz="8" w:space="0" w:color="000000"/>
            </w:tcBorders>
          </w:tcPr>
          <w:p>
            <w:pPr>
              <w:spacing w:before="40" w:after="40" w:line="240" w:lineRule="auto"/>
              <w:jc w:val="center"/>
            </w:pPr>
            <w:r>
              <w:rPr>
                <w:sz w:val="15"/>
              </w:rPr>
              <w:t>0.010 (2.55×)</w:t>
            </w:r>
          </w:p>
        </w:tc>
        <w:tc>
          <w:tcPr>
            <w:tcW w:type="dxa" w:w="1247"/>
            <w:tcBorders>
              <w:bottom w:val="single" w:sz="8" w:space="0" w:color="000000"/>
            </w:tcBorders>
          </w:tcPr>
          <w:p>
            <w:pPr>
              <w:spacing w:before="40" w:after="40" w:line="240" w:lineRule="auto"/>
              <w:jc w:val="center"/>
            </w:pPr>
            <w:r>
              <w:rPr>
                <w:sz w:val="15"/>
              </w:rPr>
              <w:t>0.010 (2.22×)</w:t>
            </w:r>
          </w:p>
        </w:tc>
        <w:tc>
          <w:tcPr>
            <w:tcW w:type="dxa" w:w="1701"/>
            <w:tcBorders>
              <w:bottom w:val="single" w:sz="8" w:space="0" w:color="000000"/>
            </w:tcBorders>
          </w:tcPr>
          <w:p>
            <w:pPr>
              <w:spacing w:before="40" w:after="40" w:line="240" w:lineRule="auto"/>
              <w:jc w:val="center"/>
            </w:pPr>
            <w:r>
              <w:rPr>
                <w:sz w:val="15"/>
              </w:rPr>
              <w:t>-0.0007 (-0.0073, +0.0013)</w:t>
            </w:r>
          </w:p>
        </w:tc>
      </w:tr>
    </w:tbl>
    <w:p>
      <w:pPr>
        <w:keepNext/>
        <w:pageBreakBefore w:val="0"/>
        <w:spacing w:before="120" w:after="80" w:line="276" w:lineRule="auto"/>
      </w:pPr>
      <w:r>
        <w:rPr>
          <w:b/>
          <w:i w:val="0"/>
          <w:sz w:val="18"/>
        </w:rPr>
        <w:t>Table 3 | Stronger composition and motif baselines.</w:t>
      </w:r>
      <w:r>
        <w:rPr>
          <w:b w:val="0"/>
          <w:i w:val="0"/>
          <w:sz w:val="18"/>
        </w:rPr>
        <w:t xml:space="preserve"> AUPRC for logistic composition, composition-XGBoost, motif-XGBoost, composition+motif-XGBoost and NT-LoRA in the four strata. Δ is the macro NT − composition-XGBoost difference with its 95% CI.</w:t>
      </w:r>
    </w:p>
    <w:tbl>
      <w:tblPr>
        <w:tblW w:type="auto" w:w="0"/>
        <w:jc w:val="center"/>
        <w:tblLayout w:type="fixed"/>
        <w:tblLook w:firstColumn="1" w:firstRow="1" w:lastColumn="0" w:lastRow="0" w:noHBand="0" w:noVBand="1" w:val="04A0"/>
        <w:tblBorders>
          <w:top w:val="single" w:sz="8" w:space="0" w:color="000000"/>
          <w:bottom w:val="single" w:sz="8" w:space="0" w:color="000000"/>
          <w:left w:val="nil" w:sz="0" w:space="0" w:color="000000"/>
          <w:right w:val="nil" w:sz="0" w:space="0" w:color="000000"/>
          <w:insideH w:val="nil" w:sz="0" w:space="0" w:color="000000"/>
          <w:insideV w:val="nil" w:sz="0" w:space="0" w:color="000000"/>
        </w:tblBorders>
        <w:tblCellMar>
          <w:top w:w="60" w:type="dxa"/>
          <w:left w:w="60" w:type="dxa"/>
          <w:bottom w:w="60" w:type="dxa"/>
          <w:right w:w="60" w:type="dxa"/>
        </w:tblCellMar>
      </w:tblPr>
      <w:tblGrid>
        <w:gridCol w:w="1312"/>
        <w:gridCol w:w="1312"/>
        <w:gridCol w:w="1312"/>
        <w:gridCol w:w="1312"/>
        <w:gridCol w:w="1312"/>
        <w:gridCol w:w="1312"/>
        <w:gridCol w:w="1312"/>
      </w:tblGrid>
      <w:tr>
        <w:trPr>
          <w:tblHeader w:val="true"/>
        </w:trPr>
        <w:tc>
          <w:tcPr>
            <w:tcW w:type="dxa" w:w="1247"/>
            <w:tcBorders>
              <w:top w:val="single" w:sz="8" w:space="0" w:color="000000"/>
              <w:bottom w:val="single" w:sz="6" w:space="0" w:color="000000"/>
            </w:tcBorders>
          </w:tcPr>
          <w:p>
            <w:pPr>
              <w:spacing w:before="60" w:after="60" w:line="240" w:lineRule="auto"/>
              <w:jc w:val="center"/>
            </w:pPr>
            <w:r>
              <w:rPr>
                <w:b/>
                <w:color w:val="000000"/>
                <w:sz w:val="14"/>
              </w:rPr>
              <w:t>Locus set</w:t>
            </w:r>
          </w:p>
        </w:tc>
        <w:tc>
          <w:tcPr>
            <w:tcW w:type="dxa" w:w="1247"/>
            <w:tcBorders>
              <w:top w:val="single" w:sz="8" w:space="0" w:color="000000"/>
              <w:bottom w:val="single" w:sz="6" w:space="0" w:color="000000"/>
            </w:tcBorders>
          </w:tcPr>
          <w:p>
            <w:pPr>
              <w:spacing w:before="60" w:after="60" w:line="240" w:lineRule="auto"/>
              <w:jc w:val="center"/>
            </w:pPr>
            <w:r>
              <w:rPr>
                <w:b/>
                <w:color w:val="000000"/>
                <w:sz w:val="14"/>
              </w:rPr>
              <w:t>Development activity</w:t>
            </w:r>
          </w:p>
        </w:tc>
        <w:tc>
          <w:tcPr>
            <w:tcW w:type="dxa" w:w="1361"/>
            <w:tcBorders>
              <w:top w:val="single" w:sz="8" w:space="0" w:color="000000"/>
              <w:bottom w:val="single" w:sz="6" w:space="0" w:color="000000"/>
            </w:tcBorders>
          </w:tcPr>
          <w:p>
            <w:pPr>
              <w:spacing w:before="60" w:after="60" w:line="240" w:lineRule="auto"/>
              <w:jc w:val="center"/>
            </w:pPr>
            <w:r>
              <w:rPr>
                <w:b/>
                <w:color w:val="000000"/>
                <w:sz w:val="14"/>
              </w:rPr>
              <w:t>Composition (logistic)</w:t>
            </w:r>
          </w:p>
        </w:tc>
        <w:tc>
          <w:tcPr>
            <w:tcW w:type="dxa" w:w="1361"/>
            <w:tcBorders>
              <w:top w:val="single" w:sz="8" w:space="0" w:color="000000"/>
              <w:bottom w:val="single" w:sz="6" w:space="0" w:color="000000"/>
            </w:tcBorders>
          </w:tcPr>
          <w:p>
            <w:pPr>
              <w:spacing w:before="60" w:after="60" w:line="240" w:lineRule="auto"/>
              <w:jc w:val="center"/>
            </w:pPr>
            <w:r>
              <w:rPr>
                <w:b/>
                <w:color w:val="000000"/>
                <w:sz w:val="14"/>
              </w:rPr>
              <w:t>Composition (XGBoost)</w:t>
            </w:r>
          </w:p>
        </w:tc>
        <w:tc>
          <w:tcPr>
            <w:tcW w:type="dxa" w:w="1304"/>
            <w:tcBorders>
              <w:top w:val="single" w:sz="8" w:space="0" w:color="000000"/>
              <w:bottom w:val="single" w:sz="6" w:space="0" w:color="000000"/>
            </w:tcBorders>
          </w:tcPr>
          <w:p>
            <w:pPr>
              <w:spacing w:before="60" w:after="60" w:line="240" w:lineRule="auto"/>
              <w:jc w:val="center"/>
            </w:pPr>
            <w:r>
              <w:rPr>
                <w:b/>
                <w:color w:val="000000"/>
                <w:sz w:val="14"/>
              </w:rPr>
              <w:t>Motif (XGBoost)</w:t>
            </w:r>
          </w:p>
        </w:tc>
        <w:tc>
          <w:tcPr>
            <w:tcW w:type="dxa" w:w="1474"/>
            <w:tcBorders>
              <w:top w:val="single" w:sz="8" w:space="0" w:color="000000"/>
              <w:bottom w:val="single" w:sz="6" w:space="0" w:color="000000"/>
            </w:tcBorders>
          </w:tcPr>
          <w:p>
            <w:pPr>
              <w:spacing w:before="60" w:after="60" w:line="240" w:lineRule="auto"/>
              <w:jc w:val="center"/>
            </w:pPr>
            <w:r>
              <w:rPr>
                <w:b/>
                <w:color w:val="000000"/>
                <w:sz w:val="14"/>
              </w:rPr>
              <w:t>Composition+motif (XGBoost)</w:t>
            </w:r>
          </w:p>
        </w:tc>
        <w:tc>
          <w:tcPr>
            <w:tcW w:type="dxa" w:w="1191"/>
            <w:tcBorders>
              <w:top w:val="single" w:sz="8" w:space="0" w:color="000000"/>
              <w:bottom w:val="single" w:sz="6" w:space="0" w:color="000000"/>
            </w:tcBorders>
          </w:tcPr>
          <w:p>
            <w:pPr>
              <w:spacing w:before="60" w:after="60" w:line="240" w:lineRule="auto"/>
              <w:jc w:val="center"/>
            </w:pPr>
            <w:r>
              <w:rPr>
                <w:b/>
                <w:color w:val="000000"/>
                <w:sz w:val="14"/>
              </w:rPr>
              <w:t>NT-LoRA</w:t>
            </w:r>
          </w:p>
        </w:tc>
      </w:tr>
      <w:tr>
        <w:tc>
          <w:tcPr>
            <w:tcW w:type="dxa" w:w="1247"/>
          </w:tcPr>
          <w:p>
            <w:pPr>
              <w:spacing w:before="40" w:after="40" w:line="240" w:lineRule="auto"/>
              <w:jc w:val="left"/>
            </w:pPr>
            <w:r>
              <w:rPr>
                <w:sz w:val="14"/>
              </w:rPr>
              <w:t>Unseen</w:t>
            </w:r>
          </w:p>
        </w:tc>
        <w:tc>
          <w:tcPr>
            <w:tcW w:type="dxa" w:w="1247"/>
          </w:tcPr>
          <w:p>
            <w:pPr>
              <w:spacing w:before="40" w:after="40" w:line="240" w:lineRule="auto"/>
              <w:jc w:val="left"/>
            </w:pPr>
            <w:r>
              <w:rPr>
                <w:sz w:val="14"/>
              </w:rPr>
              <w:t>All</w:t>
            </w:r>
          </w:p>
        </w:tc>
        <w:tc>
          <w:tcPr>
            <w:tcW w:type="dxa" w:w="1361"/>
          </w:tcPr>
          <w:p>
            <w:pPr>
              <w:spacing w:before="40" w:after="40" w:line="240" w:lineRule="auto"/>
              <w:jc w:val="center"/>
            </w:pPr>
            <w:r>
              <w:rPr>
                <w:sz w:val="14"/>
              </w:rPr>
              <w:t>0.037</w:t>
            </w:r>
          </w:p>
        </w:tc>
        <w:tc>
          <w:tcPr>
            <w:tcW w:type="dxa" w:w="1361"/>
          </w:tcPr>
          <w:p>
            <w:pPr>
              <w:spacing w:before="40" w:after="40" w:line="240" w:lineRule="auto"/>
              <w:jc w:val="center"/>
            </w:pPr>
            <w:r>
              <w:rPr>
                <w:sz w:val="14"/>
              </w:rPr>
              <w:t>0.044</w:t>
            </w:r>
          </w:p>
        </w:tc>
        <w:tc>
          <w:tcPr>
            <w:tcW w:type="dxa" w:w="1304"/>
          </w:tcPr>
          <w:p>
            <w:pPr>
              <w:spacing w:before="40" w:after="40" w:line="240" w:lineRule="auto"/>
              <w:jc w:val="center"/>
            </w:pPr>
            <w:r>
              <w:rPr>
                <w:sz w:val="14"/>
              </w:rPr>
              <w:t>0.022</w:t>
            </w:r>
          </w:p>
        </w:tc>
        <w:tc>
          <w:tcPr>
            <w:tcW w:type="dxa" w:w="1474"/>
          </w:tcPr>
          <w:p>
            <w:pPr>
              <w:spacing w:before="40" w:after="40" w:line="240" w:lineRule="auto"/>
              <w:jc w:val="center"/>
            </w:pPr>
            <w:r>
              <w:rPr>
                <w:sz w:val="14"/>
              </w:rPr>
              <w:t>0.040</w:t>
            </w:r>
          </w:p>
        </w:tc>
        <w:tc>
          <w:tcPr>
            <w:tcW w:type="dxa" w:w="1191"/>
          </w:tcPr>
          <w:p>
            <w:pPr>
              <w:spacing w:before="40" w:after="40" w:line="240" w:lineRule="auto"/>
              <w:jc w:val="center"/>
            </w:pPr>
            <w:r>
              <w:rPr>
                <w:sz w:val="14"/>
              </w:rPr>
              <w:t>0.054</w:t>
            </w:r>
          </w:p>
        </w:tc>
      </w:tr>
      <w:tr>
        <w:tc>
          <w:tcPr>
            <w:tcW w:type="dxa" w:w="1247"/>
          </w:tcPr>
          <w:p>
            <w:pPr>
              <w:spacing w:before="40" w:after="40" w:line="240" w:lineRule="auto"/>
              <w:jc w:val="left"/>
            </w:pPr>
            <w:r>
              <w:rPr>
                <w:b/>
                <w:sz w:val="14"/>
              </w:rPr>
              <w:t>Unseen</w:t>
            </w:r>
          </w:p>
        </w:tc>
        <w:tc>
          <w:tcPr>
            <w:tcW w:type="dxa" w:w="1247"/>
          </w:tcPr>
          <w:p>
            <w:pPr>
              <w:spacing w:before="40" w:after="40" w:line="240" w:lineRule="auto"/>
              <w:jc w:val="left"/>
            </w:pPr>
            <w:r>
              <w:rPr>
                <w:b/>
                <w:sz w:val="14"/>
              </w:rPr>
              <w:t>Active</w:t>
            </w:r>
          </w:p>
        </w:tc>
        <w:tc>
          <w:tcPr>
            <w:tcW w:type="dxa" w:w="1361"/>
          </w:tcPr>
          <w:p>
            <w:pPr>
              <w:spacing w:before="40" w:after="40" w:line="240" w:lineRule="auto"/>
              <w:jc w:val="center"/>
            </w:pPr>
            <w:r>
              <w:rPr>
                <w:b/>
                <w:sz w:val="14"/>
              </w:rPr>
              <w:t>0.161</w:t>
            </w:r>
          </w:p>
        </w:tc>
        <w:tc>
          <w:tcPr>
            <w:tcW w:type="dxa" w:w="1361"/>
          </w:tcPr>
          <w:p>
            <w:pPr>
              <w:spacing w:before="40" w:after="40" w:line="240" w:lineRule="auto"/>
              <w:jc w:val="center"/>
            </w:pPr>
            <w:r>
              <w:rPr>
                <w:b/>
                <w:sz w:val="14"/>
              </w:rPr>
              <w:t>0.243</w:t>
            </w:r>
          </w:p>
        </w:tc>
        <w:tc>
          <w:tcPr>
            <w:tcW w:type="dxa" w:w="1304"/>
          </w:tcPr>
          <w:p>
            <w:pPr>
              <w:spacing w:before="40" w:after="40" w:line="240" w:lineRule="auto"/>
              <w:jc w:val="center"/>
            </w:pPr>
            <w:r>
              <w:rPr>
                <w:b/>
                <w:sz w:val="14"/>
              </w:rPr>
              <w:t>0.103</w:t>
            </w:r>
          </w:p>
        </w:tc>
        <w:tc>
          <w:tcPr>
            <w:tcW w:type="dxa" w:w="1474"/>
          </w:tcPr>
          <w:p>
            <w:pPr>
              <w:spacing w:before="40" w:after="40" w:line="240" w:lineRule="auto"/>
              <w:jc w:val="center"/>
            </w:pPr>
            <w:r>
              <w:rPr>
                <w:b/>
                <w:sz w:val="14"/>
              </w:rPr>
              <w:t>0.211</w:t>
            </w:r>
          </w:p>
        </w:tc>
        <w:tc>
          <w:tcPr>
            <w:tcW w:type="dxa" w:w="1191"/>
          </w:tcPr>
          <w:p>
            <w:pPr>
              <w:spacing w:before="40" w:after="40" w:line="240" w:lineRule="auto"/>
              <w:jc w:val="center"/>
            </w:pPr>
            <w:r>
              <w:rPr>
                <w:b/>
                <w:sz w:val="14"/>
              </w:rPr>
              <w:t>0.241</w:t>
            </w:r>
          </w:p>
        </w:tc>
      </w:tr>
      <w:tr>
        <w:tc>
          <w:tcPr>
            <w:tcW w:type="dxa" w:w="1247"/>
          </w:tcPr>
          <w:p>
            <w:pPr>
              <w:spacing w:before="40" w:after="40" w:line="240" w:lineRule="auto"/>
              <w:jc w:val="left"/>
            </w:pPr>
            <w:r>
              <w:rPr>
                <w:sz w:val="14"/>
              </w:rPr>
              <w:t>Retained</w:t>
            </w:r>
          </w:p>
        </w:tc>
        <w:tc>
          <w:tcPr>
            <w:tcW w:type="dxa" w:w="1247"/>
          </w:tcPr>
          <w:p>
            <w:pPr>
              <w:spacing w:before="40" w:after="40" w:line="240" w:lineRule="auto"/>
              <w:jc w:val="left"/>
            </w:pPr>
            <w:r>
              <w:rPr>
                <w:sz w:val="14"/>
              </w:rPr>
              <w:t>Active</w:t>
            </w:r>
          </w:p>
        </w:tc>
        <w:tc>
          <w:tcPr>
            <w:tcW w:type="dxa" w:w="1361"/>
          </w:tcPr>
          <w:p>
            <w:pPr>
              <w:spacing w:before="40" w:after="40" w:line="240" w:lineRule="auto"/>
              <w:jc w:val="center"/>
            </w:pPr>
            <w:r>
              <w:rPr>
                <w:sz w:val="14"/>
              </w:rPr>
              <w:t>0.224</w:t>
            </w:r>
          </w:p>
        </w:tc>
        <w:tc>
          <w:tcPr>
            <w:tcW w:type="dxa" w:w="1361"/>
          </w:tcPr>
          <w:p>
            <w:pPr>
              <w:spacing w:before="40" w:after="40" w:line="240" w:lineRule="auto"/>
              <w:jc w:val="center"/>
            </w:pPr>
            <w:r>
              <w:rPr>
                <w:sz w:val="14"/>
              </w:rPr>
              <w:t>0.234</w:t>
            </w:r>
          </w:p>
        </w:tc>
        <w:tc>
          <w:tcPr>
            <w:tcW w:type="dxa" w:w="1304"/>
          </w:tcPr>
          <w:p>
            <w:pPr>
              <w:spacing w:before="40" w:after="40" w:line="240" w:lineRule="auto"/>
              <w:jc w:val="center"/>
            </w:pPr>
            <w:r>
              <w:rPr>
                <w:sz w:val="14"/>
              </w:rPr>
              <w:t>0.144</w:t>
            </w:r>
          </w:p>
        </w:tc>
        <w:tc>
          <w:tcPr>
            <w:tcW w:type="dxa" w:w="1474"/>
          </w:tcPr>
          <w:p>
            <w:pPr>
              <w:spacing w:before="40" w:after="40" w:line="240" w:lineRule="auto"/>
              <w:jc w:val="center"/>
            </w:pPr>
            <w:r>
              <w:rPr>
                <w:sz w:val="14"/>
              </w:rPr>
              <w:t>0.207</w:t>
            </w:r>
          </w:p>
        </w:tc>
        <w:tc>
          <w:tcPr>
            <w:tcW w:type="dxa" w:w="1191"/>
          </w:tcPr>
          <w:p>
            <w:pPr>
              <w:spacing w:before="40" w:after="40" w:line="240" w:lineRule="auto"/>
              <w:jc w:val="center"/>
            </w:pPr>
            <w:r>
              <w:rPr>
                <w:sz w:val="14"/>
              </w:rPr>
              <w:t>0.273</w:t>
            </w:r>
          </w:p>
        </w:tc>
      </w:tr>
      <w:tr>
        <w:tc>
          <w:tcPr>
            <w:tcW w:type="dxa" w:w="1247"/>
            <w:tcBorders>
              <w:bottom w:val="single" w:sz="8" w:space="0" w:color="000000"/>
            </w:tcBorders>
          </w:tcPr>
          <w:p>
            <w:pPr>
              <w:spacing w:before="40" w:after="40" w:line="240" w:lineRule="auto"/>
              <w:jc w:val="left"/>
            </w:pPr>
            <w:r>
              <w:rPr>
                <w:sz w:val="14"/>
              </w:rPr>
              <w:t>Unseen</w:t>
            </w:r>
          </w:p>
        </w:tc>
        <w:tc>
          <w:tcPr>
            <w:tcW w:type="dxa" w:w="1247"/>
            <w:tcBorders>
              <w:bottom w:val="single" w:sz="8" w:space="0" w:color="000000"/>
            </w:tcBorders>
          </w:tcPr>
          <w:p>
            <w:pPr>
              <w:spacing w:before="40" w:after="40" w:line="240" w:lineRule="auto"/>
              <w:jc w:val="left"/>
            </w:pPr>
            <w:r>
              <w:rPr>
                <w:sz w:val="14"/>
              </w:rPr>
              <w:t>Inactive</w:t>
            </w:r>
          </w:p>
        </w:tc>
        <w:tc>
          <w:tcPr>
            <w:tcW w:type="dxa" w:w="1361"/>
            <w:tcBorders>
              <w:bottom w:val="single" w:sz="8" w:space="0" w:color="000000"/>
            </w:tcBorders>
          </w:tcPr>
          <w:p>
            <w:pPr>
              <w:spacing w:before="40" w:after="40" w:line="240" w:lineRule="auto"/>
              <w:jc w:val="center"/>
            </w:pPr>
            <w:r>
              <w:rPr>
                <w:sz w:val="14"/>
              </w:rPr>
              <w:t>0.010</w:t>
            </w:r>
          </w:p>
        </w:tc>
        <w:tc>
          <w:tcPr>
            <w:tcW w:type="dxa" w:w="1361"/>
            <w:tcBorders>
              <w:bottom w:val="single" w:sz="8" w:space="0" w:color="000000"/>
            </w:tcBorders>
          </w:tcPr>
          <w:p>
            <w:pPr>
              <w:spacing w:before="40" w:after="40" w:line="240" w:lineRule="auto"/>
              <w:jc w:val="center"/>
            </w:pPr>
            <w:r>
              <w:rPr>
                <w:sz w:val="14"/>
              </w:rPr>
              <w:t>0.012</w:t>
            </w:r>
          </w:p>
        </w:tc>
        <w:tc>
          <w:tcPr>
            <w:tcW w:type="dxa" w:w="1304"/>
            <w:tcBorders>
              <w:bottom w:val="single" w:sz="8" w:space="0" w:color="000000"/>
            </w:tcBorders>
          </w:tcPr>
          <w:p>
            <w:pPr>
              <w:spacing w:before="40" w:after="40" w:line="240" w:lineRule="auto"/>
              <w:jc w:val="center"/>
            </w:pPr>
            <w:r>
              <w:rPr>
                <w:sz w:val="14"/>
              </w:rPr>
              <w:t>0.010</w:t>
            </w:r>
          </w:p>
        </w:tc>
        <w:tc>
          <w:tcPr>
            <w:tcW w:type="dxa" w:w="1474"/>
            <w:tcBorders>
              <w:bottom w:val="single" w:sz="8" w:space="0" w:color="000000"/>
            </w:tcBorders>
          </w:tcPr>
          <w:p>
            <w:pPr>
              <w:spacing w:before="40" w:after="40" w:line="240" w:lineRule="auto"/>
              <w:jc w:val="center"/>
            </w:pPr>
            <w:r>
              <w:rPr>
                <w:sz w:val="14"/>
              </w:rPr>
              <w:t>0.009</w:t>
            </w:r>
          </w:p>
        </w:tc>
        <w:tc>
          <w:tcPr>
            <w:tcW w:type="dxa" w:w="1191"/>
            <w:tcBorders>
              <w:bottom w:val="single" w:sz="8" w:space="0" w:color="000000"/>
            </w:tcBorders>
          </w:tcPr>
          <w:p>
            <w:pPr>
              <w:spacing w:before="40" w:after="40" w:line="240" w:lineRule="auto"/>
              <w:jc w:val="center"/>
            </w:pPr>
            <w:r>
              <w:rPr>
                <w:sz w:val="14"/>
              </w:rPr>
              <w:t>0.010</w:t>
            </w:r>
          </w:p>
        </w:tc>
      </w:tr>
      <w:tr>
        <w:tc>
          <w:tcPr>
            <w:tcW w:type="dxa" w:w="9184"/>
            <w:gridSpan w:val="7"/>
            <w:tcBorders>
              <w:bottom w:val="single" w:sz="8" w:space="0" w:color="000000"/>
            </w:tcBorders>
          </w:tcPr>
          <w:p>
            <w:pPr>
              <w:spacing w:before="80" w:after="80"/>
            </w:pPr>
            <w:r>
              <w:rPr>
                <w:b w:val="0"/>
                <w:i w:val="0"/>
                <w:sz w:val="15"/>
              </w:rPr>
              <w:t>Δ (NT − composition-XGBoost): unseen All: +0.0106 (+0.0030 to +0.0216); unseen Active: -0.0011 (-0.0358 to +0.0365); retained Active: +0.0389 (+0.0155 to +0.0614); unseen Inactive: -0.0020 (-0.0138 to +0.0007)</w:t>
            </w:r>
          </w:p>
        </w:tc>
      </w:tr>
    </w:tbl>
    <w:p>
      <w:pPr>
        <w:pStyle w:val="Heading1"/>
        <w:pageBreakBefore w:val="0"/>
      </w:pPr>
      <w:r>
        <w:t>3. Discussion</w:t>
      </w:r>
    </w:p>
    <w:p>
      <w:r>
        <w:rPr>
          <w:b w:val="0"/>
          <w:i w:val="0"/>
        </w:rPr>
        <w:t>The central result is a baseline effect. Against logistic composition, the pretrained Nucleotide Transformer looked clearly better: +0.0175 AUPRC over all unseen loci and +0.0810 within development-active loci. That comparison, however, used a linear readout of 20 composition features. When the same features were modelled with XGBoost, composition-XGBoost reached 0.243 AUPRC on unseen development-active loci, compared with 0.161 for logistic composition and 0.241 for the NT. The NT was indistinguishable from composition-XGBoost (−0.0011; 95% CI −0.0358 to +0.0365; better in 6 of 11 cell types). The apparent advantage of the pretrained model over logistic composition therefore reflects the linearity of that baseline, not a demonstrated advantage in transferable sequence grammar.</w:t>
      </w:r>
    </w:p>
    <w:p>
      <w:r>
        <w:rPr>
          <w:b w:val="0"/>
          <w:i w:val="0"/>
        </w:rPr>
        <w:t>The shared-versus-cell-specific decomposition locates the signal. On loci that are active in at least one development cell, a flexible function of base and dinucleotide frequencies ranks held-out-cell activity as well as the pretrained transformer. On loci that are inactive in every development cell, neither the NT nor composition-XGBoost improved on the other, and both stayed close to the low prevalence of that stratum (NT − composition-XGBoost −0.0020; 95% CI −0.0138 to +0.0007). The candidate universe contains a large shared component: among sequence-eligible loci, 49% of held-out-cell positives are active in at least one of the three development cells when pooled across cell types (per-cell mean 56%). The remaining cell-specific component is precisely the set of loci that are inactive in all development cells but active in the held-out cell, and no cell-agnostic sequence model in this study captured it.</w:t>
      </w:r>
    </w:p>
    <w:p>
      <w:r>
        <w:rPr>
          <w:b w:val="0"/>
          <w:i w:val="0"/>
        </w:rPr>
        <w:t>Motif counts did not change this picture. A motif-only model was lower than composition in every stratum, and adding 879 JASPAR motifs to composition-XGBoost did not improve it (0.212 versus 0.243 on unseen development-active loci). The shared component is therefore composition-like rather than motif-vocabulary-like at the resolution tested here: a flexible function of short nucleotide frequencies captures it, and adding motif counts does not add measurable transferable information. This is a statement about predictive sufficiency in this benchmark, not a claim that transcription-factor syntax is biologically irrelevant.</w:t>
      </w:r>
    </w:p>
    <w:p>
      <w:r>
        <w:rPr>
          <w:b w:val="0"/>
          <w:i w:val="0"/>
        </w:rPr>
        <w:t>The retained-locus result points in the same direction. The NT retained an advantage on retained development-active loci (+0.0389; 95% CI 0.0155 to 0.0614) but not on unseen loci. That pattern is consistent with a locus-specific component learned during training, rather than a generalisable sequence rule. The unseen-minus-retained difference was +0.032 (95% CI −0.004 to +0.077), so a partial contribution of locus-level memory cannot be excluded. Removing held-out loci whose 2 kb windows overlapped training sequence attenuated the gain over logistic composition from +0.0810 to +0.0667 (any overlap) and +0.0543 (at least 500 bp), but this sensitivity analysis does not create an advantage over composition-XGBoost.</w:t>
      </w:r>
    </w:p>
    <w:p>
      <w:r>
        <w:rPr>
          <w:b w:val="0"/>
          <w:i w:val="0"/>
        </w:rPr>
        <w:t>The random-init control sharpens the interpretation of the logistic comparison. On retained development-active loci, the random-init model was close to the pretrained model (AUPRC 0.258 versus 0.273; Δ +0.015, 95% CI −0.015 to +0.046), but on unseen loci it fell to 0.114 versus 0.241 (Δ +0.127, 95% CI +0.092 to +0.181) and was below logistic composition. Under this training budget, pretrained initialization matters relative to a random-init NT, but it does not establish an advantage over a nonlinear composition model. The cell-free control gives the same lesson: a gain over logistic composition persists when cell identity is removed (+0.0842; 0.0551 to 0.1243), but no gain is detected against composition-XGBoost (Supplementary Table S8).</w:t>
      </w:r>
    </w:p>
    <w:p>
      <w:r>
        <w:rPr>
          <w:b w:val="0"/>
          <w:i w:val="0"/>
        </w:rPr>
        <w:t>The practical implication is methodological. A 21-parameter logistic model required no accelerator and no cell identity and reached 5.66-fold over prevalence on unseen loci; a nonlinear model on the same 20 features reached 0.243 AUPRC on unseen development-active loci. Nucleotide composition should therefore be reported as a standard baseline, and a nonlinear readout of composition should be included before a gain is attributed to sequence grammar. Sequence models evaluated only against other sequence models, or only against a linear composition model, may attribute information captured by base and dinucleotide frequencies to regulatory syntax [20] [30].</w:t>
      </w:r>
    </w:p>
    <w:p>
      <w:r>
        <w:rPr>
          <w:b w:val="0"/>
          <w:i w:val="0"/>
        </w:rPr>
        <w:t>The result also helps explain why cross-cell benchmarks that hold out cell types but share all candidate loci may overstate generalisation. In such designs, models that learn the shared activity component are evaluated largely on loci whose activity they have already seen in another cell type. Holding out loci separates the shared component from the cell-specific component and shows that the advantage over logistic composition is confined to the former, where a nonlinear composition model matches the NT.</w:t>
      </w:r>
    </w:p>
    <w:p>
      <w:r>
        <w:rPr>
          <w:b w:val="0"/>
          <w:i w:val="0"/>
        </w:rPr>
        <w:t>For the cell-specific component, no improvement over the strongest composition baseline was detected. Models that receive cell state (for example, matched chromatin accessibility) are the natural next step, but that comparison lies outside the sequence-only design used here. The result should not be read as evidence that sequence models cannot learn cell-specific regulatory syntax; it shows that the present cross-cell, cell-agnostic evaluation does not demonstrate such learning beyond a nonlinear composition baseline.</w:t>
      </w:r>
    </w:p>
    <w:p>
      <w:r>
        <w:rPr>
          <w:b w:val="0"/>
          <w:i w:val="0"/>
        </w:rPr>
        <w:t>Several limitations constrain these conclusions. The study uses one pretrained backbone, one label resource and one assay; the candidate universe is limited to FANTOM5 loci; windows are fixed at 2 kb; and activity is binary. The development-inactive subset contains about 54 positives per cell, so its interval, although it excludes positive effects above 0.0013, is estimated from a limited number of positives. No experimental validation of predicted loci was performed, and no attribution analysis was used to identify the sequence features driving NT scores. These are scope constraints; the locus holdout is not sequence-disjoint (Methods 4.12), so the comparison is paired but “unseen” means unseen annotated loci rather than unseen sequence neighbourhoods.</w:t>
      </w:r>
    </w:p>
    <w:p>
      <w:pPr>
        <w:pStyle w:val="Heading1"/>
      </w:pPr>
      <w:r>
        <w:t>4. Methods</w:t>
      </w:r>
    </w:p>
    <w:p>
      <w:pPr>
        <w:pStyle w:val="Heading2"/>
      </w:pPr>
      <w:r>
        <w:t>4.1 Data resources</w:t>
      </w:r>
    </w:p>
    <w:p>
      <w:r>
        <w:rPr>
          <w:b w:val="0"/>
          <w:i w:val="0"/>
        </w:rPr>
        <w:t>FANTOM5 hg38 enhancer atlas: F5.hg38.enhancers.bed.gz (63,285 loci), F5.hg38.enhancers.expression.usage.matrix.gz (1,829 libraries) and F5.hg38.enhancers.expression.tpm.matrix.gz. Reference: hg38 primary assembly FASTA and the ENCODE hg38 blacklist v2 (ENCFF356LFX). Inputs were frozen with recorded MD5 and SHA256 (data/raw/metadata.tsv, data/raw/checksums.*). Accessibility data are not an input to any model reported here.</w:t>
      </w:r>
    </w:p>
    <w:p>
      <w:pPr>
        <w:pStyle w:val="Heading2"/>
      </w:pPr>
      <w:r>
        <w:t>4.2 Candidate loci and windows</w:t>
      </w:r>
    </w:p>
    <w:p>
      <w:r>
        <w:rPr>
          <w:b w:val="0"/>
          <w:i w:val="0"/>
        </w:rPr>
        <w:t>All FANTOM5 hg38 loci were candidates; no accessibility filter was applied. Exclusions were: contig outside chr1–chr22; window extending beyond the contig; overlap with an ENCODE blacklist interval; N fraction above 1%. Each retained locus contributed the 2,000 bp window [mid − 1000, mid + 1000) with mid = floor((start + end) / 2), and the SHA256 of the window was recorded.</w:t>
      </w:r>
    </w:p>
    <w:p>
      <w:pPr>
        <w:pStyle w:val="Heading2"/>
      </w:pPr>
      <w:r>
        <w:t>4.3 Activity labels</w:t>
      </w:r>
    </w:p>
    <w:p>
      <w:r>
        <w:rPr>
          <w:b w:val="0"/>
          <w:i w:val="0"/>
        </w:rPr>
        <w:t>For a cell state with N usable CAGE libraries, a locus was labelled positive if at least ⌈2N/3⌉ libraries had usage = 1, negative if all N had usage = 0, and excluded otherwise. Development cell lines have N = 3, giving the 2-of-3 rule; held-out primary cell types have N = 4 to 13, giving thresholds of 3 to 9 libraries. Labelling used only the usage matrix.</w:t>
      </w:r>
    </w:p>
    <w:p>
      <w:pPr>
        <w:pStyle w:val="Heading2"/>
      </w:pPr>
      <w:r>
        <w:t>4.4 Development cells and held-out cells</w:t>
      </w:r>
    </w:p>
    <w:p>
      <w:r>
        <w:rPr>
          <w:b w:val="0"/>
          <w:i w:val="0"/>
        </w:rPr>
        <w:t>Development cells (labels exposed): K562 (CNhs12334–CNhs12336), HepG2 (CNhs12328–CNhs12330) and GM12878 (CNhs12331–CNhs12333). Held-out cells (labels never read during training or selection): 11 primary cell types selected by a metadata-only rule — at least four libraries per cell type; exclusion of disease, tumour, treatment, infection and whole-blood categories and of lineages matching the development cells; within each lineage stratum, the cell type with the most libraries. The set covers adipocyte, endothelial, epithelial (two types), fibroblast (two types), immune (B and T cells), muscle (skeletal and smooth) and bone-marrow mesenchymal stem cells.</w:t>
      </w:r>
    </w:p>
    <w:p>
      <w:r>
        <w:rPr>
          <w:b w:val="0"/>
          <w:i w:val="0"/>
        </w:rPr>
        <w:t>One held-out cell type, CD19+ B cells, shares the B lineage with the GM12878 cell line. GM12878 is an immortalised lymphoblastoid line rather than a primary B-cell sample, so this pair was retained; a sensitivity analysis excluding CD19+ B cells is reported in Supplementary Table S5.</w:t>
      </w:r>
    </w:p>
    <w:p>
      <w:pPr>
        <w:pStyle w:val="Heading2"/>
      </w:pPr>
      <w:r>
        <w:t>4.5 Locus holdout</w:t>
      </w:r>
    </w:p>
    <w:p>
      <w:r>
        <w:rPr>
          <w:b w:val="0"/>
          <w:i w:val="0"/>
        </w:rPr>
        <w:t>Quality-passing loci were grouped by chromosome and sorted by GC content; every fifth locus was assigned to the held-out set (12,360 of 61,752, 20.0%). Held-out loci were excluded from all development-cell training, validation and test partitions. The model-selection chromosomes were unchanged (validation chr18, chr19, chr14; test chr3, chr5, chr11; remaining autosomes for training).</w:t>
      </w:r>
    </w:p>
    <w:p>
      <w:pPr>
        <w:pStyle w:val="Heading2"/>
      </w:pPr>
      <w:r>
        <w:t>4.6 Model families</w:t>
      </w:r>
    </w:p>
    <w:p>
      <w:r>
        <w:rPr>
          <w:b/>
          <w:i w:val="0"/>
        </w:rPr>
        <w:t>Composition (21 parameters).</w:t>
      </w:r>
      <w:r>
        <w:rPr>
          <w:b w:val="0"/>
          <w:i w:val="0"/>
        </w:rPr>
        <w:t xml:space="preserve"> Four mononucleotide and sixteen dinucleotide frequencies, LogisticRegression(max_iter=3000, C=1.0, class_weight="balanced"), trained on development-cell records and applied without cell identity.</w:t>
      </w:r>
    </w:p>
    <w:p>
      <w:r>
        <w:rPr>
          <w:b/>
          <w:i w:val="0"/>
        </w:rPr>
        <w:t>DNA-CNN (307,265 parameters).</w:t>
      </w:r>
      <w:r>
        <w:rPr>
          <w:b w:val="0"/>
          <w:i w:val="0"/>
        </w:rPr>
        <w:t xml:space="preserve"> One-hot 2,000 bp input; a 32-dimensional cell-identity embedding (four states: K562, HepG2, GM12878 and UNK) is mapped by FiLM (Linear(32 → 512), gain and bias); Conv1d(4→64, k=11) → maxpool 4 → Conv1d(64→128, k=7) → maxpool 4 → Conv1d(128→256, k=5) → maxpool 5; FiLM is applied after the third convolution; concatenation of max- and mean-pooled activations → Linear(512→128) → GELU → Dropout(0.2) → Linear(128→1).</w:t>
      </w:r>
    </w:p>
    <w:p>
      <w:r>
        <w:rPr>
          <w:b/>
          <w:i w:val="0"/>
        </w:rPr>
        <w:t>Nucleotide Transformer v2 50M with LoRA.</w:t>
      </w:r>
      <w:r>
        <w:rPr>
          <w:b w:val="0"/>
          <w:i w:val="0"/>
        </w:rPr>
        <w:t xml:space="preserve"> Backbone nucleotide-transformer-v2-50m-multi-species (revision 81b29e5), loaded via AutoModelForMaskedLM.from_pretrained(..., trust_remote_code=True).esm. LoRA rank 8, alpha 16, dropout 0.05, target modules query and value. Head: attention-mask-weighted mean of the last hidden state concatenated with a 32-dimensional cell embedding → Linear(hidden + 32 → 256) → GELU → Dropout(0.2) → Linear(256 → 1).</w:t>
      </w:r>
    </w:p>
    <w:p>
      <w:r>
        <w:rPr>
          <w:b/>
          <w:i w:val="0"/>
        </w:rPr>
        <w:t>Composition-XGBoost.</w:t>
      </w:r>
      <w:r>
        <w:rPr>
          <w:b w:val="0"/>
          <w:i w:val="0"/>
        </w:rPr>
        <w:t xml:space="preserve"> The same 20 composition features used by the logistic model were modelled with XGBoost (max_depth=4, learning rate 0.05, 2,000 trees with early stopping on validation AUPRC, subsample 0.8, colsample_bytree=0.8, scale_pos_weight = n_neg / n_pos).</w:t>
      </w:r>
    </w:p>
    <w:p>
      <w:r>
        <w:rPr>
          <w:b/>
          <w:i w:val="0"/>
        </w:rPr>
        <w:t>Motif-XGBoost.</w:t>
      </w:r>
      <w:r>
        <w:rPr>
          <w:b w:val="0"/>
          <w:i w:val="0"/>
        </w:rPr>
        <w:t xml:space="preserve"> JASPAR 2024 CORE vertebrates non-redundant PFMs (879 motifs) [36] were scanned against each 2 kb window with MOODS at p = 1e-3; per-motif hit counts were used as features in an XGBoost model (max_depth=6, learning rate 0.05, 2,000 trees, early stopping on validation AUPRC).</w:t>
      </w:r>
    </w:p>
    <w:p>
      <w:r>
        <w:rPr>
          <w:b/>
          <w:i w:val="0"/>
        </w:rPr>
        <w:t>Composition+motif-XGBoost.</w:t>
      </w:r>
      <w:r>
        <w:rPr>
          <w:b w:val="0"/>
          <w:i w:val="0"/>
        </w:rPr>
        <w:t xml:space="preserve"> The 20 composition features and 879 motif counts were concatenated and modelled with the same XGBoost configuration as motif-XGBoost.</w:t>
      </w:r>
    </w:p>
    <w:p>
      <w:pPr>
        <w:pStyle w:val="Heading2"/>
      </w:pPr>
      <w:r>
        <w:t>4.7 Training</w:t>
      </w:r>
    </w:p>
    <w:p>
      <w:r>
        <w:rPr>
          <w:b w:val="0"/>
          <w:i w:val="0"/>
        </w:rPr>
        <w:t>CNN: 15 epochs, batch 64, AdamW, learning rate 1e-3, weight decay 0.01, BCEWithLogits with pos_weight = n_neg / n_pos, checkpoint selected by validation AUPRC, cell index replaced by UNK with probability 0.3; five seeds (13, 37, 71, 101, 137).</w:t>
      </w:r>
    </w:p>
    <w:p>
      <w:r>
        <w:rPr>
          <w:b w:val="0"/>
          <w:i w:val="0"/>
        </w:rPr>
        <w:t>NT-LoRA: four epochs, batch 32 with gradient accumulation 2, AdamW with weight decay 0.01, head learning rate 2e-4, LoRA learning rate 2e-5, BCEWithLogits with pos_weight, cell index replaced by UNK with probability 0.3, checkpoint selected by validation AUPRC; the same five seeds. All models were trained on the 80% retained loci only.</w:t>
      </w:r>
    </w:p>
    <w:p>
      <w:r>
        <w:rPr>
          <w:b w:val="0"/>
          <w:i w:val="0"/>
        </w:rPr>
        <w:t>To separate pretraining from architecture and capacity, the same NT configuration was also initialised from the model config without pretrained weights (AutoModelForMaskedLM.from_config), with the same tokenizer, LoRA modules, data, optimizer and four-epoch schedule, for the same five seeds. This control is referred to as NT-random-init.</w:t>
      </w:r>
    </w:p>
    <w:p>
      <w:r>
        <w:rPr>
          <w:b w:val="0"/>
          <w:i w:val="0"/>
        </w:rPr>
        <w:t>A cell-free control used the same NT configuration and training schedule but set the cell index to UNK for every training record; five seeds were trained.</w:t>
      </w:r>
    </w:p>
    <w:p>
      <w:r>
        <w:rPr>
          <w:b w:val="0"/>
          <w:i w:val="0"/>
        </w:rPr>
        <w:t>No hyperparameter search was performed. The CNN and NT budgets were fixed before the locus-holdout analysis, so the comparison reflects these prespecified budgets rather than independently tuned optima. The random-init control was not tuned separately; it isolates the effect of pretrained initialization under the same optimization budget, not the best achievable performance of a randomly initialized model.</w:t>
      </w:r>
    </w:p>
    <w:p>
      <w:pPr>
        <w:pStyle w:val="Heading2"/>
      </w:pPr>
      <w:r>
        <w:t>4.8 Evaluation</w:t>
      </w:r>
    </w:p>
    <w:p>
      <w:r>
        <w:rPr>
          <w:b w:val="0"/>
          <w:i w:val="0"/>
        </w:rPr>
        <w:t>Each model scored every locus once. The two cell-conditioned models used UNK as the cell index; the composition model has no cell input. This produces a cell-agnostic ranking, which was then evaluated against each held-out cell's label set. Because the deep models were trained with a cell embedding and evaluated with UNK, their scores reflect a learned average-cell representation rather than a strictly cell-free model. For each cell type and stratum we report AUPRC and lift (AUPRC / prevalence); AUROC and the fraction of the ranking needed for 50% recall are reported in Supplementary Table S7. AUPRC was prespecified as the primary metric because precision-recall behaviour is sensitive to class imbalance [31]. Strata were defined by locus provenance (unseen versus retained) and by development-cell activity (active in at least one development cell versus none). Cell-type values were macro-averaged.</w:t>
      </w:r>
    </w:p>
    <w:p>
      <w:pPr>
        <w:pStyle w:val="Heading2"/>
      </w:pPr>
      <w:r>
        <w:t>4.9 Statistics</w:t>
      </w:r>
    </w:p>
    <w:p>
      <w:r>
        <w:rPr>
          <w:b w:val="0"/>
          <w:i w:val="0"/>
        </w:rPr>
        <w:t>Paired comparisons used a 1 Mb genomic-block bootstrap (blocks defined by chromosome and floor(midpoint / 1e6)), with 1,000 resamples per cell type and 3,000 hierarchical resamples across cell types for macro intervals. Resamples without a positive were skipped. 95% percentile intervals are reported. Per-cell intervals are descriptive and were not adjusted for multiplicity across the 11 cell types and four strata; the macro interval is the primary inferential quantity. The unseen-minus-retained difference was tested by resampling 1 Mb blocks independently within each subset, pairing the resulting per-cell differences, and applying the same hierarchical cell-level bootstrap for the macro interval. The protocol's earlier 10,000-replicate specification was executed as 2,000 in the full-locus analysis of the previous stage; the locus-holdout analysis reported here uses 1,000 per-cell and 3,000 macro resamples.</w:t>
      </w:r>
    </w:p>
    <w:p>
      <w:pPr>
        <w:pStyle w:val="Heading2"/>
      </w:pPr>
      <w:r>
        <w:t>4.10 Software and reproducibility</w:t>
      </w:r>
    </w:p>
    <w:p>
      <w:r>
        <w:rPr>
          <w:b w:val="0"/>
          <w:i w:val="0"/>
        </w:rPr>
        <w:t>Python 3.11; PyTorch 2.13.0+cu130; Transformers 4.57.1; PEFT 0.20.0; scikit-learn 1.9.0; NumPy 2.4.6; pandas 2.3.3. Training used one NVIDIA A100 40 GB with TF32 enabled for the locus-holdout runs. Code and trained weights are not publicly released. They are available from the corresponding author on reasonable request for non-commercial research, subject to the licence of the base Nucleotide Transformer model. Aggregate outputs needed to reproduce the reported tables and figures are provided as Supplementary Tables S1–S8.</w:t>
      </w:r>
    </w:p>
    <w:p>
      <w:pPr>
        <w:pStyle w:val="Heading2"/>
      </w:pPr>
      <w:r>
        <w:t>4.11 Protocol notes</w:t>
      </w:r>
    </w:p>
    <w:p>
      <w:r>
        <w:rPr>
          <w:b w:val="0"/>
          <w:i w:val="0"/>
        </w:rPr>
        <w:t>The locus holdout was introduced after an audit that examined chromosome-level splits; the audit's chromosome-level conclusion was not reproduced under the locus holdout and is retained as a sensitivity analysis. The full-locus model reported in the previous stage reached 10.333-fold over all held-out loci; it is consistent with the present result but shares candidate loci between training and evaluation, so it is not used as a generalisation test.</w:t>
      </w:r>
    </w:p>
    <w:p>
      <w:pPr>
        <w:pStyle w:val="Heading2"/>
      </w:pPr>
      <w:r>
        <w:t>4.12 Sequence-neighborhood overlap</w:t>
      </w:r>
    </w:p>
    <w:p>
      <w:r>
        <w:rPr>
          <w:b w:val="0"/>
          <w:i w:val="0"/>
        </w:rPr>
        <w:t>The holdout is defined at the level of annotated loci, not at the level of disjoint sequence windows. Across the 61,752 quality-passing loci, 18,047 (29.2%) have a 2 kb window that overlaps at least one other candidate window; the median maximal overlap among overlapping loci is 1,083 bp. In the frozen holdout, 3,028 of 12,360 held-out loci (24.5%) had a window overlapping a retained window, 2,410 overlapped by at least 500 bp and 1,617 by at least 1,000 bp. Among 1,142 unseen positives, 445 (39.0%; per-cell mean 39.7%, range 31.2–50.0%) overlapped a retained window, and 32.8% overlapped by at least 500 bp. The sensitivity analysis removed either every overlapping held-out locus or only those with at least 500 bp of overlap, from both the positive and negative pools, and recomputed AUPRC and the paired 1 Mb block-bootstrap interval.</w:t>
      </w:r>
    </w:p>
    <w:p>
      <w:pPr>
        <w:pStyle w:val="Heading1"/>
      </w:pPr>
      <w:r>
        <w:t>5. Limitations</w:t>
      </w:r>
    </w:p>
    <w:p>
      <w:pPr>
        <w:pStyle w:val="ListBullet"/>
        <w:spacing w:after="80"/>
      </w:pPr>
      <w:r>
        <w:rPr>
          <w:b w:val="0"/>
          <w:i w:val="0"/>
        </w:rPr>
        <w:t>One pretrained backbone; the baseline-dependent conclusion is demonstrated for</w:t>
      </w:r>
      <w:r>
        <w:t xml:space="preserve"> </w:t>
      </w:r>
      <w:r>
        <w:rPr>
          <w:b w:val="0"/>
          <w:i w:val="0"/>
        </w:rPr>
        <w:t>this backbone and these two composition readouts.</w:t>
      </w:r>
    </w:p>
    <w:p>
      <w:pPr>
        <w:pStyle w:val="ListBullet"/>
        <w:spacing w:after="80"/>
      </w:pPr>
      <w:r>
        <w:rPr>
          <w:b w:val="0"/>
          <w:i w:val="0"/>
        </w:rPr>
        <w:t>The NT advantage over logistic composition is not reproduced against XGBoost</w:t>
      </w:r>
      <w:r>
        <w:t xml:space="preserve"> </w:t>
      </w:r>
      <w:r>
        <w:rPr>
          <w:b w:val="0"/>
          <w:i w:val="0"/>
        </w:rPr>
        <w:t>on the same 20 composition features on unseen development-active loci. The</w:t>
      </w:r>
      <w:r>
        <w:t xml:space="preserve"> </w:t>
      </w:r>
      <w:r>
        <w:rPr>
          <w:b w:val="0"/>
          <w:i w:val="0"/>
        </w:rPr>
        <w:t>primary comparison should therefore be read with both logistic and nonlinear</w:t>
      </w:r>
      <w:r>
        <w:t xml:space="preserve"> </w:t>
      </w:r>
      <w:r>
        <w:rPr>
          <w:b w:val="0"/>
          <w:i w:val="0"/>
        </w:rPr>
        <w:t>composition baselines.</w:t>
      </w:r>
    </w:p>
    <w:p>
      <w:pPr>
        <w:pStyle w:val="ListBullet"/>
        <w:spacing w:after="80"/>
      </w:pPr>
      <w:r>
        <w:rPr>
          <w:b w:val="0"/>
          <w:i w:val="0"/>
        </w:rPr>
        <w:t>The random-init control uses the same four-epoch schedule and was not</w:t>
      </w:r>
      <w:r>
        <w:t xml:space="preserve"> </w:t>
      </w:r>
      <w:r>
        <w:rPr>
          <w:b w:val="0"/>
          <w:i w:val="0"/>
        </w:rPr>
        <w:t>separately tuned; it isolates the benefit of pretrained initialisation under</w:t>
      </w:r>
      <w:r>
        <w:t xml:space="preserve"> </w:t>
      </w:r>
      <w:r>
        <w:rPr>
          <w:b w:val="0"/>
          <w:i w:val="0"/>
        </w:rPr>
        <w:t>this budget, not pretraining in general.</w:t>
      </w:r>
    </w:p>
    <w:p>
      <w:pPr>
        <w:pStyle w:val="ListBullet"/>
        <w:spacing w:after="80"/>
      </w:pPr>
      <w:r>
        <w:rPr>
          <w:b w:val="0"/>
          <w:i w:val="0"/>
        </w:rPr>
        <w:t>One label resource and one assay (FANTOM5 CAGE usage); cross-resource</w:t>
      </w:r>
      <w:r>
        <w:t xml:space="preserve"> </w:t>
      </w:r>
      <w:r>
        <w:rPr>
          <w:b w:val="0"/>
          <w:i w:val="0"/>
        </w:rPr>
        <w:t>generalisation is untested.</w:t>
      </w:r>
    </w:p>
    <w:p>
      <w:pPr>
        <w:pStyle w:val="ListBullet"/>
        <w:spacing w:after="80"/>
      </w:pPr>
      <w:r>
        <w:rPr>
          <w:b w:val="0"/>
          <w:i w:val="0"/>
        </w:rPr>
        <w:t>Candidate universe restricted to FANTOM5 loci; this is not genome-wide de novo</w:t>
      </w:r>
      <w:r>
        <w:t xml:space="preserve"> </w:t>
      </w:r>
      <w:r>
        <w:rPr>
          <w:b w:val="0"/>
          <w:i w:val="0"/>
        </w:rPr>
        <w:t>enhancer discovery.</w:t>
      </w:r>
    </w:p>
    <w:p>
      <w:pPr>
        <w:pStyle w:val="ListBullet"/>
        <w:spacing w:after="80"/>
      </w:pPr>
      <w:r>
        <w:rPr>
          <w:b w:val="0"/>
          <w:i w:val="0"/>
        </w:rPr>
        <w:t>Fixed 2 kb windows and binary labels; the 1-of-3-active class is excluded.</w:t>
      </w:r>
    </w:p>
    <w:p>
      <w:pPr>
        <w:pStyle w:val="ListBullet"/>
        <w:spacing w:after="80"/>
      </w:pPr>
      <w:r>
        <w:rPr>
          <w:b w:val="0"/>
          <w:i w:val="0"/>
        </w:rPr>
        <w:t>Development-inactive loci contribute about 54 positives per cell; their</w:t>
      </w:r>
      <w:r>
        <w:t xml:space="preserve"> </w:t>
      </w:r>
      <w:r>
        <w:rPr>
          <w:b w:val="0"/>
          <w:i w:val="0"/>
        </w:rPr>
        <w:t>interval excludes positive effects above 0.0013 but is estimated from a</w:t>
      </w:r>
      <w:r>
        <w:t xml:space="preserve"> </w:t>
      </w:r>
      <w:r>
        <w:rPr>
          <w:b w:val="0"/>
          <w:i w:val="0"/>
        </w:rPr>
        <w:t>limited number of positives.</w:t>
      </w:r>
    </w:p>
    <w:p>
      <w:pPr>
        <w:pStyle w:val="ListBullet"/>
        <w:spacing w:after="80"/>
      </w:pPr>
      <w:r>
        <w:rPr>
          <w:b w:val="0"/>
          <w:i w:val="0"/>
        </w:rPr>
        <w:t>The locus holdout is not a sequence-disjoint holdout: 39.0% of unseen</w:t>
      </w:r>
      <w:r>
        <w:t xml:space="preserve"> </w:t>
      </w:r>
      <w:r>
        <w:rPr>
          <w:b w:val="0"/>
          <w:i w:val="0"/>
        </w:rPr>
        <w:t>positives overlap a retained window. Removing overlapping loci attenuated the</w:t>
      </w:r>
      <w:r>
        <w:t xml:space="preserve"> </w:t>
      </w:r>
      <w:r>
        <w:rPr>
          <w:b w:val="0"/>
          <w:i w:val="0"/>
        </w:rPr>
        <w:t>development-active gain from +0.0810 to +0.0667 (any overlap) and +0.0543</w:t>
      </w:r>
      <w:r>
        <w:t xml:space="preserve"> </w:t>
      </w:r>
      <w:r>
        <w:rPr>
          <w:b w:val="0"/>
          <w:i w:val="0"/>
        </w:rPr>
        <w:t>(at least 500 bp), while both intervals remained above zero; the</w:t>
      </w:r>
      <w:r>
        <w:t xml:space="preserve"> </w:t>
      </w:r>
      <w:r>
        <w:rPr>
          <w:b w:val="0"/>
          <w:i w:val="0"/>
        </w:rPr>
        <w:t>development-inactive subset retained only 7 cell types after removal.</w:t>
      </w:r>
    </w:p>
    <w:p>
      <w:pPr>
        <w:pStyle w:val="ListBullet"/>
        <w:spacing w:after="80"/>
      </w:pPr>
      <w:r>
        <w:rPr>
          <w:b w:val="0"/>
          <w:i w:val="0"/>
        </w:rPr>
        <w:t>One held-out cell type, CD19+ B cells, shares the B lineage with GM12878;</w:t>
      </w:r>
      <w:r>
        <w:t xml:space="preserve"> </w:t>
      </w:r>
      <w:r>
        <w:rPr>
          <w:b w:val="0"/>
          <w:i w:val="0"/>
        </w:rPr>
        <w:t>excluding it changed the macro ΔAUPRC by less than 0.002 (Supplementary</w:t>
      </w:r>
      <w:r>
        <w:t xml:space="preserve"> </w:t>
      </w:r>
      <w:r>
        <w:rPr>
          <w:b w:val="0"/>
          <w:i w:val="0"/>
        </w:rPr>
        <w:t>Table S5).</w:t>
      </w:r>
    </w:p>
    <w:p>
      <w:pPr>
        <w:pStyle w:val="ListBullet"/>
        <w:spacing w:after="80"/>
      </w:pPr>
      <w:r>
        <w:rPr>
          <w:b w:val="0"/>
          <w:i w:val="0"/>
        </w:rPr>
        <w:t>The CNN and NT models were trained with cell identity available for 70% of</w:t>
      </w:r>
      <w:r>
        <w:t xml:space="preserve"> </w:t>
      </w:r>
      <w:r>
        <w:rPr>
          <w:b w:val="0"/>
          <w:i w:val="0"/>
        </w:rPr>
        <w:t>records and evaluated with the UNK index; the composition model never received</w:t>
      </w:r>
      <w:r>
        <w:t xml:space="preserve"> </w:t>
      </w:r>
      <w:r>
        <w:rPr>
          <w:b w:val="0"/>
          <w:i w:val="0"/>
        </w:rPr>
        <w:t>cell identity. This training-signal asymmetry may affect the model comparison.</w:t>
      </w:r>
    </w:p>
    <w:p>
      <w:pPr>
        <w:pStyle w:val="ListBullet"/>
        <w:spacing w:after="80"/>
      </w:pPr>
      <w:r>
        <w:rPr>
          <w:b w:val="0"/>
          <w:i w:val="0"/>
        </w:rPr>
        <w:t>No experimental validation of predicted loci; independent assays such as</w:t>
      </w:r>
      <w:r>
        <w:t xml:space="preserve"> </w:t>
      </w:r>
      <w:r>
        <w:rPr>
          <w:b w:val="0"/>
          <w:i w:val="0"/>
        </w:rPr>
        <w:t>STARR-seq [32] carry their own</w:t>
      </w:r>
      <w:r>
        <w:t xml:space="preserve"> </w:t>
      </w:r>
      <w:r>
        <w:rPr>
          <w:b w:val="0"/>
          <w:i w:val="0"/>
        </w:rPr>
        <w:t>systematic errors [33].</w:t>
      </w:r>
    </w:p>
    <w:p>
      <w:pPr>
        <w:pStyle w:val="ListBullet"/>
        <w:spacing w:after="80"/>
      </w:pPr>
      <w:r>
        <w:rPr>
          <w:b w:val="0"/>
          <w:i w:val="0"/>
        </w:rPr>
        <w:t>No attribution or motif analysis was performed for the locus-holdout models</w:t>
      </w:r>
      <w:r>
        <w:t xml:space="preserve"> </w:t>
      </w:r>
      <w:r>
        <w:rPr>
          <w:b w:val="0"/>
          <w:i w:val="0"/>
        </w:rPr>
        <w:t>[34] [35].</w:t>
      </w:r>
    </w:p>
    <w:p>
      <w:pPr>
        <w:pStyle w:val="ListBullet"/>
        <w:spacing w:after="80"/>
      </w:pPr>
      <w:r>
        <w:rPr>
          <w:b w:val="0"/>
          <w:i w:val="0"/>
        </w:rPr>
        <w:t>The model has no cell-state input at evaluation. The cell index is set to UNK,</w:t>
      </w:r>
      <w:r>
        <w:t xml:space="preserve"> </w:t>
      </w:r>
      <w:r>
        <w:rPr>
          <w:b w:val="0"/>
          <w:i w:val="0"/>
        </w:rPr>
        <w:t>so the score is cell-agnostic at evaluation; the study measures cross-cell</w:t>
      </w:r>
      <w:r>
        <w:t xml:space="preserve"> </w:t>
      </w:r>
      <w:r>
        <w:rPr>
          <w:b w:val="0"/>
          <w:i w:val="0"/>
        </w:rPr>
        <w:t>transfer of a shared activity component, not cell-type-specific prediction.</w:t>
      </w:r>
    </w:p>
    <w:p>
      <w:pPr>
        <w:pStyle w:val="Heading1"/>
      </w:pPr>
      <w:r>
        <w:t>Data and code availability</w:t>
      </w:r>
    </w:p>
    <w:p>
      <w:r>
        <w:rPr>
          <w:b w:val="0"/>
          <w:i w:val="0"/>
        </w:rPr>
        <w:t>Code and trained weights are not publicly released. They are available from the corresponding author on reasonable request for non-commercial research, subject to the licence of the base Nucleotide Transformer model. Aggregate outputs needed to reproduce the reported tables and figures, including cohort counts, per-cell metrics, per-seed metrics, the CD19-exclusion sensitivity analysis and the sequence-neighborhood audit, are provided as Supplementary Tables S1–S8. Upstream data are the FANTOM5 hg38 enhancer atlas, the hg38 primary assembly and the ENCODE hg38 blacklist v2, with per-file URLs and checksums in the supplementary data package.</w:t>
      </w:r>
    </w:p>
    <w:p>
      <w:pPr>
        <w:pStyle w:val="Heading1"/>
      </w:pPr>
      <w:r>
        <w:t>References</w:t>
      </w:r>
    </w:p>
    <w:p>
      <w:pPr>
        <w:spacing w:after="60" w:line="264" w:lineRule="auto"/>
        <w:ind w:left="340" w:hanging="340"/>
      </w:pPr>
      <w:r>
        <w:rPr>
          <w:b w:val="0"/>
          <w:i w:val="0"/>
          <w:sz w:val="20"/>
        </w:rPr>
        <w:t xml:space="preserve">1. Yang JH, Hansen AS. Enhancer selectivity in space and time: from enhancer-promoter interactions to promoter activation. </w:t>
      </w:r>
      <w:r>
        <w:rPr>
          <w:b w:val="0"/>
          <w:i/>
          <w:sz w:val="20"/>
        </w:rPr>
        <w:t>Nat Rev Mol Cell Biol</w:t>
      </w:r>
      <w:r>
        <w:rPr>
          <w:b w:val="0"/>
          <w:i w:val="0"/>
          <w:sz w:val="20"/>
        </w:rPr>
        <w:t>. 2024;25:574-591. doi:10.1038/s41580-024-00710-6</w:t>
      </w:r>
    </w:p>
    <w:p>
      <w:pPr>
        <w:spacing w:after="60" w:line="264" w:lineRule="auto"/>
        <w:ind w:left="340" w:hanging="340"/>
      </w:pPr>
      <w:r>
        <w:rPr>
          <w:b w:val="0"/>
          <w:i w:val="0"/>
          <w:sz w:val="20"/>
        </w:rPr>
        <w:t xml:space="preserve">2. Blayney JW, Francis H, Rampasekova A, Camellato B, Mitchell L, Stolper R, et al. Super-enhancers include classical enhancers and facilitators to fully activate gene expression. </w:t>
      </w:r>
      <w:r>
        <w:rPr>
          <w:b w:val="0"/>
          <w:i/>
          <w:sz w:val="20"/>
        </w:rPr>
        <w:t>Cell</w:t>
      </w:r>
      <w:r>
        <w:rPr>
          <w:b w:val="0"/>
          <w:i w:val="0"/>
          <w:sz w:val="20"/>
        </w:rPr>
        <w:t>. 2023;186:5826-5839.e18. doi:10.1016/j.cell.2023.11.030</w:t>
      </w:r>
    </w:p>
    <w:p>
      <w:pPr>
        <w:spacing w:after="60" w:line="264" w:lineRule="auto"/>
        <w:ind w:left="340" w:hanging="340"/>
      </w:pPr>
      <w:r>
        <w:rPr>
          <w:b w:val="0"/>
          <w:i w:val="0"/>
          <w:sz w:val="20"/>
        </w:rPr>
        <w:t xml:space="preserve">3. Andersson R, et al. An atlas of active enhancers across human cell types and tissues. </w:t>
      </w:r>
      <w:r>
        <w:rPr>
          <w:b w:val="0"/>
          <w:i/>
          <w:sz w:val="20"/>
        </w:rPr>
        <w:t>Nature</w:t>
      </w:r>
      <w:r>
        <w:rPr>
          <w:b w:val="0"/>
          <w:i w:val="0"/>
          <w:sz w:val="20"/>
        </w:rPr>
        <w:t>. 2014;507:455-461. doi:10.1038/nature12787</w:t>
      </w:r>
    </w:p>
    <w:p>
      <w:pPr>
        <w:spacing w:after="60" w:line="264" w:lineRule="auto"/>
        <w:ind w:left="340" w:hanging="340"/>
      </w:pPr>
      <w:r>
        <w:rPr>
          <w:b w:val="0"/>
          <w:i w:val="0"/>
          <w:sz w:val="20"/>
        </w:rPr>
        <w:t xml:space="preserve">4. Kawaji H, Kasukawa T, Forrest A, Carninci P, Hayashizaki Y. The FANTOM5 collection, a data series underpinning mammalian transcriptome atlases in diverse cell types. </w:t>
      </w:r>
      <w:r>
        <w:rPr>
          <w:b w:val="0"/>
          <w:i/>
          <w:sz w:val="20"/>
        </w:rPr>
        <w:t>Sci Data</w:t>
      </w:r>
      <w:r>
        <w:rPr>
          <w:b w:val="0"/>
          <w:i w:val="0"/>
          <w:sz w:val="20"/>
        </w:rPr>
        <w:t>. 2017;4:170113. doi:10.1038/sdata.2017.113</w:t>
      </w:r>
    </w:p>
    <w:p>
      <w:pPr>
        <w:spacing w:after="60" w:line="264" w:lineRule="auto"/>
        <w:ind w:left="340" w:hanging="340"/>
      </w:pPr>
      <w:r>
        <w:rPr>
          <w:b w:val="0"/>
          <w:i w:val="0"/>
          <w:sz w:val="20"/>
        </w:rPr>
        <w:t xml:space="preserve">5. Forrest ARR, et al. A promoter-level mammalian expression atlas. </w:t>
      </w:r>
      <w:r>
        <w:rPr>
          <w:b w:val="0"/>
          <w:i/>
          <w:sz w:val="20"/>
        </w:rPr>
        <w:t>Nature</w:t>
      </w:r>
      <w:r>
        <w:rPr>
          <w:b w:val="0"/>
          <w:i w:val="0"/>
          <w:sz w:val="20"/>
        </w:rPr>
        <w:t>. 2014;507:462-470. doi:10.1038/nature13182</w:t>
      </w:r>
    </w:p>
    <w:p>
      <w:pPr>
        <w:spacing w:after="60" w:line="264" w:lineRule="auto"/>
        <w:ind w:left="340" w:hanging="340"/>
      </w:pPr>
      <w:r>
        <w:rPr>
          <w:b w:val="0"/>
          <w:i w:val="0"/>
          <w:sz w:val="20"/>
        </w:rPr>
        <w:t xml:space="preserve">6. Narita T, Ito S, Higashijima Y, Chu WK, Neumann K, Walter J, et al. Enhancers are activated by p300/CBP activity-dependent PIC assembly, RNAPII recruitment, and pause release. </w:t>
      </w:r>
      <w:r>
        <w:rPr>
          <w:b w:val="0"/>
          <w:i/>
          <w:sz w:val="20"/>
        </w:rPr>
        <w:t>Mol Cell</w:t>
      </w:r>
      <w:r>
        <w:rPr>
          <w:b w:val="0"/>
          <w:i w:val="0"/>
          <w:sz w:val="20"/>
        </w:rPr>
        <w:t>. 2021;81:2166-2182.e6. doi:10.1016/j.molcel.2021.03.008</w:t>
      </w:r>
    </w:p>
    <w:p>
      <w:pPr>
        <w:spacing w:after="60" w:line="264" w:lineRule="auto"/>
        <w:ind w:left="340" w:hanging="340"/>
      </w:pPr>
      <w:r>
        <w:rPr>
          <w:b w:val="0"/>
          <w:i w:val="0"/>
          <w:sz w:val="20"/>
        </w:rPr>
        <w:t xml:space="preserve">7. Fong N, Sheridan RM, Ramachandran S, Bentley DL. The pausing zone and control of RNA polymerase II elongation by Spt5: implications for the pause-release model. </w:t>
      </w:r>
      <w:r>
        <w:rPr>
          <w:b w:val="0"/>
          <w:i/>
          <w:sz w:val="20"/>
        </w:rPr>
        <w:t>Mol Cell</w:t>
      </w:r>
      <w:r>
        <w:rPr>
          <w:b w:val="0"/>
          <w:i w:val="0"/>
          <w:sz w:val="20"/>
        </w:rPr>
        <w:t>. 2022;82:3632-3645.e4. doi:10.1016/j.molcel.2022.09.001</w:t>
      </w:r>
    </w:p>
    <w:p>
      <w:pPr>
        <w:spacing w:after="60" w:line="264" w:lineRule="auto"/>
        <w:ind w:left="340" w:hanging="340"/>
      </w:pPr>
      <w:r>
        <w:rPr>
          <w:b w:val="0"/>
          <w:i w:val="0"/>
          <w:sz w:val="20"/>
        </w:rPr>
        <w:t xml:space="preserve">8. Mimoso CA, Goldman SR. PRO-seq: precise mapping of engaged RNA Pol II at single-nucleotide resolution. </w:t>
      </w:r>
      <w:r>
        <w:rPr>
          <w:b w:val="0"/>
          <w:i/>
          <w:sz w:val="20"/>
        </w:rPr>
        <w:t>Curr Protoc</w:t>
      </w:r>
      <w:r>
        <w:rPr>
          <w:b w:val="0"/>
          <w:i w:val="0"/>
          <w:sz w:val="20"/>
        </w:rPr>
        <w:t>. 2023;3:e961. doi:10.1002/cpz1.961</w:t>
      </w:r>
    </w:p>
    <w:p>
      <w:pPr>
        <w:spacing w:after="60" w:line="264" w:lineRule="auto"/>
        <w:ind w:left="340" w:hanging="340"/>
      </w:pPr>
      <w:r>
        <w:rPr>
          <w:b w:val="0"/>
          <w:i w:val="0"/>
          <w:sz w:val="20"/>
        </w:rPr>
        <w:t xml:space="preserve">9. Han Z, Li W. Enhancer RNA: what we know and what we can achieve. </w:t>
      </w:r>
      <w:r>
        <w:rPr>
          <w:b w:val="0"/>
          <w:i/>
          <w:sz w:val="20"/>
        </w:rPr>
        <w:t>Cell Prolif</w:t>
      </w:r>
      <w:r>
        <w:rPr>
          <w:b w:val="0"/>
          <w:i w:val="0"/>
          <w:sz w:val="20"/>
        </w:rPr>
        <w:t>. 2022;55:e13202. doi:10.1111/cpr.13202</w:t>
      </w:r>
    </w:p>
    <w:p>
      <w:pPr>
        <w:spacing w:after="60" w:line="264" w:lineRule="auto"/>
        <w:ind w:left="340" w:hanging="340"/>
      </w:pPr>
      <w:r>
        <w:rPr>
          <w:b w:val="0"/>
          <w:i w:val="0"/>
          <w:sz w:val="20"/>
        </w:rPr>
        <w:t xml:space="preserve">10. Grandi FC, Modi H, Kampman L, Corces MR. Chromatin accessibility profiling by ATAC-seq. </w:t>
      </w:r>
      <w:r>
        <w:rPr>
          <w:b w:val="0"/>
          <w:i/>
          <w:sz w:val="20"/>
        </w:rPr>
        <w:t>Nat Protoc</w:t>
      </w:r>
      <w:r>
        <w:rPr>
          <w:b w:val="0"/>
          <w:i w:val="0"/>
          <w:sz w:val="20"/>
        </w:rPr>
        <w:t>. 2022;17:1518-1552. doi:10.1038/s41596-022-00692-9</w:t>
      </w:r>
    </w:p>
    <w:p>
      <w:pPr>
        <w:spacing w:after="60" w:line="264" w:lineRule="auto"/>
        <w:ind w:left="340" w:hanging="340"/>
      </w:pPr>
      <w:r>
        <w:rPr>
          <w:b w:val="0"/>
          <w:i w:val="0"/>
          <w:sz w:val="20"/>
        </w:rPr>
        <w:t xml:space="preserve">11. ENCODE Project Consortium. Expanded encyclopaedias of DNA elements in the human and mouse genomes. </w:t>
      </w:r>
      <w:r>
        <w:rPr>
          <w:b w:val="0"/>
          <w:i/>
          <w:sz w:val="20"/>
        </w:rPr>
        <w:t>Nature</w:t>
      </w:r>
      <w:r>
        <w:rPr>
          <w:b w:val="0"/>
          <w:i w:val="0"/>
          <w:sz w:val="20"/>
        </w:rPr>
        <w:t>. 2020;583:699-710. doi:10.1038/s41586-020-2493-4</w:t>
      </w:r>
    </w:p>
    <w:p>
      <w:pPr>
        <w:spacing w:after="60" w:line="264" w:lineRule="auto"/>
        <w:ind w:left="340" w:hanging="340"/>
      </w:pPr>
      <w:r>
        <w:rPr>
          <w:b w:val="0"/>
          <w:i w:val="0"/>
          <w:sz w:val="20"/>
        </w:rPr>
        <w:t xml:space="preserve">12. Kang Y, Kim YW, Kang J, Kim A. Histone H3K4me1 and H3K27ac play roles in nucleosome eviction and eRNA transcription, respectively, at enhancers. </w:t>
      </w:r>
      <w:r>
        <w:rPr>
          <w:b w:val="0"/>
          <w:i/>
          <w:sz w:val="20"/>
        </w:rPr>
        <w:t>FASEB J</w:t>
      </w:r>
      <w:r>
        <w:rPr>
          <w:b w:val="0"/>
          <w:i w:val="0"/>
          <w:sz w:val="20"/>
        </w:rPr>
        <w:t>. 2021;35:e21781. doi:10.1096/fj.202100488r</w:t>
      </w:r>
    </w:p>
    <w:p>
      <w:pPr>
        <w:spacing w:after="60" w:line="264" w:lineRule="auto"/>
        <w:ind w:left="340" w:hanging="340"/>
      </w:pPr>
      <w:r>
        <w:rPr>
          <w:b w:val="0"/>
          <w:i w:val="0"/>
          <w:sz w:val="20"/>
        </w:rPr>
        <w:t xml:space="preserve">13. Penzar D, Nogina D, Noskova E, Zinkevich A, Meshcheryakov G, Lando A, et al. LegNet: a best-in-class deep learning model for short DNA regulatory regions. </w:t>
      </w:r>
      <w:r>
        <w:rPr>
          <w:b w:val="0"/>
          <w:i/>
          <w:sz w:val="20"/>
        </w:rPr>
        <w:t>Bioinformatics</w:t>
      </w:r>
      <w:r>
        <w:rPr>
          <w:b w:val="0"/>
          <w:i w:val="0"/>
          <w:sz w:val="20"/>
        </w:rPr>
        <w:t>. 2023;39:btad457. doi:10.1093/bioinformatics/btad457</w:t>
      </w:r>
    </w:p>
    <w:p>
      <w:pPr>
        <w:spacing w:after="60" w:line="264" w:lineRule="auto"/>
        <w:ind w:left="340" w:hanging="340"/>
      </w:pPr>
      <w:r>
        <w:rPr>
          <w:b w:val="0"/>
          <w:i w:val="0"/>
          <w:sz w:val="20"/>
        </w:rPr>
        <w:t xml:space="preserve">14. Liu Q, Hua K, Zhang X, Wong WH, Jiang R. DeepCAGE: incorporating transcription factors in genome-wide prediction of chromatin accessibility. </w:t>
      </w:r>
      <w:r>
        <w:rPr>
          <w:b w:val="0"/>
          <w:i/>
          <w:sz w:val="20"/>
        </w:rPr>
        <w:t>Genomics Proteomics Bioinformatics</w:t>
      </w:r>
      <w:r>
        <w:rPr>
          <w:b w:val="0"/>
          <w:i w:val="0"/>
          <w:sz w:val="20"/>
        </w:rPr>
        <w:t>. 2022;20:496-507. doi:10.1016/j.gpb.2021.08.015</w:t>
      </w:r>
    </w:p>
    <w:p>
      <w:pPr>
        <w:spacing w:after="60" w:line="264" w:lineRule="auto"/>
        <w:ind w:left="340" w:hanging="340"/>
      </w:pPr>
      <w:r>
        <w:rPr>
          <w:b w:val="0"/>
          <w:i w:val="0"/>
          <w:sz w:val="20"/>
        </w:rPr>
        <w:t xml:space="preserve">15. Smith GD, Ching WH, Cornejo-Páramo P, Wong ES. Decoding enhancer complexity with machine learning and high-throughput discovery. </w:t>
      </w:r>
      <w:r>
        <w:rPr>
          <w:b w:val="0"/>
          <w:i/>
          <w:sz w:val="20"/>
        </w:rPr>
        <w:t>Genome Biol</w:t>
      </w:r>
      <w:r>
        <w:rPr>
          <w:b w:val="0"/>
          <w:i w:val="0"/>
          <w:sz w:val="20"/>
        </w:rPr>
        <w:t>. 2023;24:116. doi:10.1186/s13059-023-02955-4</w:t>
      </w:r>
    </w:p>
    <w:p>
      <w:pPr>
        <w:spacing w:after="60" w:line="264" w:lineRule="auto"/>
        <w:ind w:left="340" w:hanging="340"/>
      </w:pPr>
      <w:r>
        <w:rPr>
          <w:b w:val="0"/>
          <w:i w:val="0"/>
          <w:sz w:val="20"/>
        </w:rPr>
        <w:t xml:space="preserve">16. Avsec Ž, et al. Effective gene expression prediction from sequence by integrating long-range interactions. </w:t>
      </w:r>
      <w:r>
        <w:rPr>
          <w:b w:val="0"/>
          <w:i/>
          <w:sz w:val="20"/>
        </w:rPr>
        <w:t>Nat Methods</w:t>
      </w:r>
      <w:r>
        <w:rPr>
          <w:b w:val="0"/>
          <w:i w:val="0"/>
          <w:sz w:val="20"/>
        </w:rPr>
        <w:t>. 2021;18:1196-1203. doi:10.1038/s41592-021-01252-x</w:t>
      </w:r>
    </w:p>
    <w:p>
      <w:pPr>
        <w:spacing w:after="60" w:line="264" w:lineRule="auto"/>
        <w:ind w:left="340" w:hanging="340"/>
      </w:pPr>
      <w:r>
        <w:rPr>
          <w:b w:val="0"/>
          <w:i w:val="0"/>
          <w:sz w:val="20"/>
        </w:rPr>
        <w:t xml:space="preserve">17. Avsec Ž, Weilert M, Shrikumar A, Krueger S, Alexandari A, Dalal K, et al. Base-resolution models of transcription-factor binding reveal soft motif syntax. </w:t>
      </w:r>
      <w:r>
        <w:rPr>
          <w:b w:val="0"/>
          <w:i/>
          <w:sz w:val="20"/>
        </w:rPr>
        <w:t>Nat Genet</w:t>
      </w:r>
      <w:r>
        <w:rPr>
          <w:b w:val="0"/>
          <w:i w:val="0"/>
          <w:sz w:val="20"/>
        </w:rPr>
        <w:t>. 2021;53:354-366. doi:10.1038/s41588-021-00782-6</w:t>
      </w:r>
    </w:p>
    <w:p>
      <w:pPr>
        <w:spacing w:after="60" w:line="264" w:lineRule="auto"/>
        <w:ind w:left="340" w:hanging="340"/>
      </w:pPr>
      <w:r>
        <w:rPr>
          <w:b w:val="0"/>
          <w:i w:val="0"/>
          <w:sz w:val="20"/>
        </w:rPr>
        <w:t xml:space="preserve">18. Chen KM, Wong AK, Troyanskaya OG, Zhou J. A sequence-based global map of regulatory activity for deciphering human genetics. </w:t>
      </w:r>
      <w:r>
        <w:rPr>
          <w:b w:val="0"/>
          <w:i/>
          <w:sz w:val="20"/>
        </w:rPr>
        <w:t>Nat Genet</w:t>
      </w:r>
      <w:r>
        <w:rPr>
          <w:b w:val="0"/>
          <w:i w:val="0"/>
          <w:sz w:val="20"/>
        </w:rPr>
        <w:t>. 2022;54:940-949. doi:10.1038/s41588-022-01102-2</w:t>
      </w:r>
    </w:p>
    <w:p>
      <w:pPr>
        <w:spacing w:after="60" w:line="264" w:lineRule="auto"/>
        <w:ind w:left="340" w:hanging="340"/>
      </w:pPr>
      <w:r>
        <w:rPr>
          <w:b w:val="0"/>
          <w:i w:val="0"/>
          <w:sz w:val="20"/>
        </w:rPr>
        <w:t xml:space="preserve">19. Yuan H, Kelley DR. scBasset: Sequence-based modeling of single-cell ATAC-seq using convolutional neural networks. </w:t>
      </w:r>
      <w:r>
        <w:rPr>
          <w:b w:val="0"/>
          <w:i/>
          <w:sz w:val="20"/>
        </w:rPr>
        <w:t>Nat Methods</w:t>
      </w:r>
      <w:r>
        <w:rPr>
          <w:b w:val="0"/>
          <w:i w:val="0"/>
          <w:sz w:val="20"/>
        </w:rPr>
        <w:t>. 2022;19:1088-1096. doi:10.1038/s41592-022-01562-8</w:t>
      </w:r>
    </w:p>
    <w:p>
      <w:pPr>
        <w:spacing w:after="60" w:line="264" w:lineRule="auto"/>
        <w:ind w:left="340" w:hanging="340"/>
      </w:pPr>
      <w:r>
        <w:rPr>
          <w:b w:val="0"/>
          <w:i w:val="0"/>
          <w:sz w:val="20"/>
        </w:rPr>
        <w:t xml:space="preserve">20. Yue T, Wang Y, Zhang L, Gu C, Xue H, Wang W, et al. Deep learning for genomics: from early neural nets to modern large language models. </w:t>
      </w:r>
      <w:r>
        <w:rPr>
          <w:b w:val="0"/>
          <w:i/>
          <w:sz w:val="20"/>
        </w:rPr>
        <w:t>Int J Mol Sci</w:t>
      </w:r>
      <w:r>
        <w:rPr>
          <w:b w:val="0"/>
          <w:i w:val="0"/>
          <w:sz w:val="20"/>
        </w:rPr>
        <w:t>. 2023;24:15858. doi:10.3390/ijms242115858</w:t>
      </w:r>
    </w:p>
    <w:p>
      <w:pPr>
        <w:spacing w:after="60" w:line="264" w:lineRule="auto"/>
        <w:ind w:left="340" w:hanging="340"/>
      </w:pPr>
      <w:r>
        <w:rPr>
          <w:b w:val="0"/>
          <w:i w:val="0"/>
          <w:sz w:val="20"/>
        </w:rPr>
        <w:t xml:space="preserve">21. Routhier E, Mozziconacci J. Genomics enters the deep learning era. </w:t>
      </w:r>
      <w:r>
        <w:rPr>
          <w:b w:val="0"/>
          <w:i/>
          <w:sz w:val="20"/>
        </w:rPr>
        <w:t>PeerJ</w:t>
      </w:r>
      <w:r>
        <w:rPr>
          <w:b w:val="0"/>
          <w:i w:val="0"/>
          <w:sz w:val="20"/>
        </w:rPr>
        <w:t>. 2022;10:e13613. doi:10.7717/peerj.13613</w:t>
      </w:r>
    </w:p>
    <w:p>
      <w:pPr>
        <w:spacing w:after="60" w:line="264" w:lineRule="auto"/>
        <w:ind w:left="340" w:hanging="340"/>
      </w:pPr>
      <w:r>
        <w:rPr>
          <w:b w:val="0"/>
          <w:i w:val="0"/>
          <w:sz w:val="20"/>
        </w:rPr>
        <w:t xml:space="preserve">22. Benegas G, Ye C, Albors C, Li JC, Song YS. Genomic language models: Opportunities and challenges. </w:t>
      </w:r>
      <w:r>
        <w:rPr>
          <w:b w:val="0"/>
          <w:i/>
          <w:sz w:val="20"/>
        </w:rPr>
        <w:t>Trends Genet</w:t>
      </w:r>
      <w:r>
        <w:rPr>
          <w:b w:val="0"/>
          <w:i w:val="0"/>
          <w:sz w:val="20"/>
        </w:rPr>
        <w:t>. 2025;41:286-302. doi:10.1016/j.tig.2024.11.013</w:t>
      </w:r>
    </w:p>
    <w:p>
      <w:pPr>
        <w:spacing w:after="60" w:line="264" w:lineRule="auto"/>
        <w:ind w:left="340" w:hanging="340"/>
      </w:pPr>
      <w:r>
        <w:rPr>
          <w:b w:val="0"/>
          <w:i w:val="0"/>
          <w:sz w:val="20"/>
        </w:rPr>
        <w:t xml:space="preserve">23. Chen S, Gan M, Lv H, Jiang R. DeepCAPE: A deep convolutional neural network for the accurate prediction of enhancers. </w:t>
      </w:r>
      <w:r>
        <w:rPr>
          <w:b w:val="0"/>
          <w:i/>
          <w:sz w:val="20"/>
        </w:rPr>
        <w:t>Genomics Proteomics Bioinformatics</w:t>
      </w:r>
      <w:r>
        <w:rPr>
          <w:b w:val="0"/>
          <w:i w:val="0"/>
          <w:sz w:val="20"/>
        </w:rPr>
        <w:t>. 2021;19:565-577. doi:10.1016/j.gpb.2019.04.006</w:t>
      </w:r>
    </w:p>
    <w:p>
      <w:pPr>
        <w:spacing w:after="60" w:line="264" w:lineRule="auto"/>
        <w:ind w:left="340" w:hanging="340"/>
      </w:pPr>
      <w:r>
        <w:rPr>
          <w:b w:val="0"/>
          <w:i w:val="0"/>
          <w:sz w:val="20"/>
        </w:rPr>
        <w:t xml:space="preserve">24. Thibodeau A, Khetan S, Eroglu A, Tewhey R, Stitzel ML, Ucar D. CoRE-ATAC: A deep learning model for the functional classification of regulatory elements from single cell and bulk ATAC-seq data. </w:t>
      </w:r>
      <w:r>
        <w:rPr>
          <w:b w:val="0"/>
          <w:i/>
          <w:sz w:val="20"/>
        </w:rPr>
        <w:t>PLoS Comput Biol</w:t>
      </w:r>
      <w:r>
        <w:rPr>
          <w:b w:val="0"/>
          <w:i w:val="0"/>
          <w:sz w:val="20"/>
        </w:rPr>
        <w:t>. 2021;17:e1009670. doi:10.1371/journal.pcbi.1009670</w:t>
      </w:r>
    </w:p>
    <w:p>
      <w:pPr>
        <w:spacing w:after="60" w:line="264" w:lineRule="auto"/>
        <w:ind w:left="340" w:hanging="340"/>
      </w:pPr>
      <w:r>
        <w:rPr>
          <w:b w:val="0"/>
          <w:i w:val="0"/>
          <w:sz w:val="20"/>
        </w:rPr>
        <w:t xml:space="preserve">25. Zhang Z, Feng F, Qiu Y, Liu J. A generalizable framework to comprehensively predict epigenome, chromatin organization, and transcriptome. </w:t>
      </w:r>
      <w:r>
        <w:rPr>
          <w:b w:val="0"/>
          <w:i/>
          <w:sz w:val="20"/>
        </w:rPr>
        <w:t>Nucleic Acids Res</w:t>
      </w:r>
      <w:r>
        <w:rPr>
          <w:b w:val="0"/>
          <w:i w:val="0"/>
          <w:sz w:val="20"/>
        </w:rPr>
        <w:t>. 2023;51:5931-5947. doi:10.1093/nar/gkad436</w:t>
      </w:r>
    </w:p>
    <w:p>
      <w:pPr>
        <w:spacing w:after="60" w:line="264" w:lineRule="auto"/>
        <w:ind w:left="340" w:hanging="340"/>
      </w:pPr>
      <w:r>
        <w:rPr>
          <w:b w:val="0"/>
          <w:i w:val="0"/>
          <w:sz w:val="20"/>
        </w:rPr>
        <w:t xml:space="preserve">26. Javed N, et al. A multi-modal transformer for cell type-agnostic regulatory predictions. </w:t>
      </w:r>
      <w:r>
        <w:rPr>
          <w:b w:val="0"/>
          <w:i/>
          <w:sz w:val="20"/>
        </w:rPr>
        <w:t>Cell Genom</w:t>
      </w:r>
      <w:r>
        <w:rPr>
          <w:b w:val="0"/>
          <w:i w:val="0"/>
          <w:sz w:val="20"/>
        </w:rPr>
        <w:t>. 2025;5:100762. doi:10.1016/j.xgen.2025.100762</w:t>
      </w:r>
    </w:p>
    <w:p>
      <w:pPr>
        <w:spacing w:after="60" w:line="264" w:lineRule="auto"/>
        <w:ind w:left="340" w:hanging="340"/>
      </w:pPr>
      <w:r>
        <w:rPr>
          <w:b w:val="0"/>
          <w:i w:val="0"/>
          <w:sz w:val="20"/>
        </w:rPr>
        <w:t xml:space="preserve">27. Dalla-Torre H, et al. Nucleotide Transformer: Building and evaluating robust foundation models for human genomics. </w:t>
      </w:r>
      <w:r>
        <w:rPr>
          <w:b w:val="0"/>
          <w:i/>
          <w:sz w:val="20"/>
        </w:rPr>
        <w:t>Nat Methods</w:t>
      </w:r>
      <w:r>
        <w:rPr>
          <w:b w:val="0"/>
          <w:i w:val="0"/>
          <w:sz w:val="20"/>
        </w:rPr>
        <w:t>. 2025;22:287-297. doi:10.1038/s41592-024-02523-z</w:t>
      </w:r>
    </w:p>
    <w:p>
      <w:pPr>
        <w:spacing w:after="60" w:line="264" w:lineRule="auto"/>
        <w:ind w:left="340" w:hanging="340"/>
      </w:pPr>
      <w:r>
        <w:rPr>
          <w:b w:val="0"/>
          <w:i w:val="0"/>
          <w:sz w:val="20"/>
        </w:rPr>
        <w:t xml:space="preserve">28. Ji Y, Zhou Z, Liu H, Davuluri RV. DNABERT-2: Efficient foundation model and benchmark for multi-species genome. In: </w:t>
      </w:r>
      <w:r>
        <w:rPr>
          <w:b w:val="0"/>
          <w:i/>
          <w:sz w:val="20"/>
        </w:rPr>
        <w:t>International Conference on Learning Representations</w:t>
      </w:r>
      <w:r>
        <w:rPr>
          <w:b w:val="0"/>
          <w:i w:val="0"/>
          <w:sz w:val="20"/>
        </w:rPr>
        <w:t>; 2024. Available from: https://arxiv.org/abs/2306.15006.</w:t>
      </w:r>
    </w:p>
    <w:p>
      <w:pPr>
        <w:spacing w:after="60" w:line="264" w:lineRule="auto"/>
        <w:ind w:left="340" w:hanging="340"/>
      </w:pPr>
      <w:r>
        <w:rPr>
          <w:b w:val="0"/>
          <w:i w:val="0"/>
          <w:sz w:val="20"/>
        </w:rPr>
        <w:t xml:space="preserve">29. Hu EJ, et al. LoRA: Low-rank adaptation of large language models. In: </w:t>
      </w:r>
      <w:r>
        <w:rPr>
          <w:b w:val="0"/>
          <w:i/>
          <w:sz w:val="20"/>
        </w:rPr>
        <w:t>International Conference on Learning Representations</w:t>
      </w:r>
      <w:r>
        <w:rPr>
          <w:b w:val="0"/>
          <w:i w:val="0"/>
          <w:sz w:val="20"/>
        </w:rPr>
        <w:t>; 2022. Available from: https://openreview.net/forum?id=nZeVKeeFYf9.</w:t>
      </w:r>
    </w:p>
    <w:p>
      <w:pPr>
        <w:spacing w:after="60" w:line="264" w:lineRule="auto"/>
        <w:ind w:left="340" w:hanging="340"/>
      </w:pPr>
      <w:r>
        <w:rPr>
          <w:b w:val="0"/>
          <w:i w:val="0"/>
          <w:sz w:val="20"/>
        </w:rPr>
        <w:t xml:space="preserve">30. Whalen S, Schreiber J, Noble WS, Pollard KS. Navigating the pitfalls of applying machine learning in genomics. </w:t>
      </w:r>
      <w:r>
        <w:rPr>
          <w:b w:val="0"/>
          <w:i/>
          <w:sz w:val="20"/>
        </w:rPr>
        <w:t>Nat Rev Genet</w:t>
      </w:r>
      <w:r>
        <w:rPr>
          <w:b w:val="0"/>
          <w:i w:val="0"/>
          <w:sz w:val="20"/>
        </w:rPr>
        <w:t>. 2022;23:169-181. doi:10.1038/s41576-021-00434-9</w:t>
      </w:r>
    </w:p>
    <w:p>
      <w:pPr>
        <w:spacing w:after="60" w:line="264" w:lineRule="auto"/>
        <w:ind w:left="340" w:hanging="340"/>
      </w:pPr>
      <w:r>
        <w:rPr>
          <w:b w:val="0"/>
          <w:i w:val="0"/>
          <w:sz w:val="20"/>
        </w:rPr>
        <w:t xml:space="preserve">31. Williams CKI. The effect of class imbalance on precision-recall curves. </w:t>
      </w:r>
      <w:r>
        <w:rPr>
          <w:b w:val="0"/>
          <w:i/>
          <w:sz w:val="20"/>
        </w:rPr>
        <w:t>Neural Comput</w:t>
      </w:r>
      <w:r>
        <w:rPr>
          <w:b w:val="0"/>
          <w:i w:val="0"/>
          <w:sz w:val="20"/>
        </w:rPr>
        <w:t>. 2021;33:853-857. doi:10.1162/neco_a_01362</w:t>
      </w:r>
    </w:p>
    <w:p>
      <w:pPr>
        <w:spacing w:after="60" w:line="264" w:lineRule="auto"/>
        <w:ind w:left="340" w:hanging="340"/>
      </w:pPr>
      <w:r>
        <w:rPr>
          <w:b w:val="0"/>
          <w:i w:val="0"/>
          <w:sz w:val="20"/>
        </w:rPr>
        <w:t xml:space="preserve">32. Hansen TJ, Hodges E. ATAC-STARR-seq reveals transcription factor-bound activators and silencers within chromatin-accessible regions of the human genome. </w:t>
      </w:r>
      <w:r>
        <w:rPr>
          <w:b w:val="0"/>
          <w:i/>
          <w:sz w:val="20"/>
        </w:rPr>
        <w:t>Genome Res</w:t>
      </w:r>
      <w:r>
        <w:rPr>
          <w:b w:val="0"/>
          <w:i w:val="0"/>
          <w:sz w:val="20"/>
        </w:rPr>
        <w:t>. 2022;32:1529-1541. doi:10.1101/gr.276766.122</w:t>
      </w:r>
    </w:p>
    <w:p>
      <w:pPr>
        <w:spacing w:after="60" w:line="264" w:lineRule="auto"/>
        <w:ind w:left="340" w:hanging="340"/>
      </w:pPr>
      <w:r>
        <w:rPr>
          <w:b w:val="0"/>
          <w:i w:val="0"/>
          <w:sz w:val="20"/>
        </w:rPr>
        <w:t xml:space="preserve">33. Das M, Hossain A, Banerjee D, Praul CA, Girirajan S. Challenges and considerations for reproducibility of STARR-seq assays. </w:t>
      </w:r>
      <w:r>
        <w:rPr>
          <w:b w:val="0"/>
          <w:i/>
          <w:sz w:val="20"/>
        </w:rPr>
        <w:t>Genome Res</w:t>
      </w:r>
      <w:r>
        <w:rPr>
          <w:b w:val="0"/>
          <w:i w:val="0"/>
          <w:sz w:val="20"/>
        </w:rPr>
        <w:t>. 2023;33:479-495. doi:10.1101/gr.277204.122</w:t>
      </w:r>
    </w:p>
    <w:p>
      <w:pPr>
        <w:spacing w:after="60" w:line="264" w:lineRule="auto"/>
        <w:ind w:left="340" w:hanging="340"/>
      </w:pPr>
      <w:r>
        <w:rPr>
          <w:b w:val="0"/>
          <w:i w:val="0"/>
          <w:sz w:val="20"/>
        </w:rPr>
        <w:t xml:space="preserve">34. Koo PK, Majdandzic A, Ploenzke M, Anand P, Paul SB. Global importance analysis: an interpretability method to quantify importance of genomic features in deep neural networks. </w:t>
      </w:r>
      <w:r>
        <w:rPr>
          <w:b w:val="0"/>
          <w:i/>
          <w:sz w:val="20"/>
        </w:rPr>
        <w:t>PLoS Comput Biol</w:t>
      </w:r>
      <w:r>
        <w:rPr>
          <w:b w:val="0"/>
          <w:i w:val="0"/>
          <w:sz w:val="20"/>
        </w:rPr>
        <w:t>. 2021;17:e1008925. doi:10.1371/journal.pcbi.1008925</w:t>
      </w:r>
    </w:p>
    <w:p>
      <w:pPr>
        <w:spacing w:after="60" w:line="264" w:lineRule="auto"/>
        <w:ind w:left="340" w:hanging="340"/>
      </w:pPr>
      <w:r>
        <w:rPr>
          <w:b w:val="0"/>
          <w:i w:val="0"/>
          <w:sz w:val="20"/>
        </w:rPr>
        <w:t xml:space="preserve">35. Majdandzic A, Rajesh C, Tang A, Toneyan S, Labelson EL, Tripathy RK, et al. Selecting deep neural networks that yield consistent attribution-based interpretations for genomics. In: </w:t>
      </w:r>
      <w:r>
        <w:rPr>
          <w:b w:val="0"/>
          <w:i/>
          <w:sz w:val="20"/>
        </w:rPr>
        <w:t>Proceedings of Machine Learning Research</w:t>
      </w:r>
      <w:r>
        <w:rPr>
          <w:b w:val="0"/>
          <w:i w:val="0"/>
          <w:sz w:val="20"/>
        </w:rPr>
        <w:t>; 2022. p. 131-149. Available from: https://proceedings.mlr.press/v200/majdandzic22a.html.</w:t>
      </w:r>
    </w:p>
    <w:p>
      <w:pPr>
        <w:spacing w:after="60" w:line="264" w:lineRule="auto"/>
        <w:ind w:left="340" w:hanging="340"/>
      </w:pPr>
      <w:r>
        <w:rPr>
          <w:b w:val="0"/>
          <w:i w:val="0"/>
          <w:sz w:val="20"/>
        </w:rPr>
        <w:t xml:space="preserve">36. Rauluseviciute I, Riudavets-Puig R, Blanc-Mathieu R, Castro-Mondragon JA, Ferenc K, Kumar V, et al. JASPAR 2024: 20th anniversary of the open-access database of transcription factor binding profiles. </w:t>
      </w:r>
      <w:r>
        <w:rPr>
          <w:b w:val="0"/>
          <w:i/>
          <w:sz w:val="20"/>
        </w:rPr>
        <w:t>Nucleic Acids Res</w:t>
      </w:r>
      <w:r>
        <w:rPr>
          <w:b w:val="0"/>
          <w:i w:val="0"/>
          <w:sz w:val="20"/>
        </w:rPr>
        <w:t>. 2024;52:D174-D182. doi:10.1093/nar/gkad1059</w:t>
      </w:r>
    </w:p>
    <w:sectPr w:rsidR="00FC693F" w:rsidRPr="0006063C" w:rsidSect="00034616">
      <w:footerReference w:type="default" r:id="rId9"/>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