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517AB">
      <w:pPr>
        <w:spacing w:before="1880" w:after="320"/>
        <w:jc w:val="center"/>
      </w:pPr>
      <w:r>
        <w:rPr>
          <w:rFonts w:ascii="微软雅黑" w:hAnsi="微软雅黑" w:eastAsia="微软雅黑"/>
          <w:b/>
          <w:color w:val="9A6A00"/>
          <w:sz w:val="26"/>
        </w:rPr>
        <w:t>第十五届中国创新创业大赛</w:t>
      </w:r>
      <w:r>
        <w:rPr>
          <w:rFonts w:ascii="微软雅黑" w:hAnsi="微软雅黑" w:eastAsia="微软雅黑"/>
          <w:b/>
          <w:color w:val="9A6A00"/>
          <w:sz w:val="26"/>
        </w:rPr>
        <w:br w:type="textWrapping"/>
      </w:r>
      <w:r>
        <w:rPr>
          <w:rFonts w:ascii="微软雅黑" w:hAnsi="微软雅黑" w:eastAsia="微软雅黑"/>
          <w:b/>
          <w:color w:val="9A6A00"/>
          <w:sz w:val="26"/>
        </w:rPr>
        <w:t>北斗时空信息专业赛</w:t>
      </w:r>
    </w:p>
    <w:p w14:paraId="61C6CBC8">
      <w:pPr>
        <w:spacing w:after="160"/>
        <w:jc w:val="center"/>
      </w:pPr>
      <w:r>
        <w:rPr>
          <w:rFonts w:ascii="微软雅黑" w:hAnsi="微软雅黑" w:eastAsia="微软雅黑"/>
          <w:b/>
          <w:color w:val="17365D"/>
          <w:sz w:val="60"/>
        </w:rPr>
        <w:t>北斗巡知</w:t>
      </w:r>
    </w:p>
    <w:p w14:paraId="706818A7">
      <w:pPr>
        <w:spacing w:after="280"/>
        <w:jc w:val="center"/>
      </w:pPr>
      <w:r>
        <w:rPr>
          <w:rFonts w:ascii="微软雅黑" w:hAnsi="微软雅黑" w:eastAsia="微软雅黑"/>
          <w:color w:val="1F4D78"/>
          <w:sz w:val="32"/>
        </w:rPr>
        <w:t>北斗时空感知持续学习技术与低空无人机巡检系统</w:t>
      </w:r>
    </w:p>
    <w:p w14:paraId="398209CD">
      <w:pPr>
        <w:spacing w:after="1400"/>
        <w:jc w:val="center"/>
      </w:pPr>
      <w:r>
        <w:rPr>
          <w:rFonts w:ascii="微软雅黑" w:hAnsi="微软雅黑" w:eastAsia="微软雅黑"/>
          <w:color w:val="667085"/>
          <w:sz w:val="23"/>
        </w:rPr>
        <w:t>项目完整说明书｜团队统一认知与评审讲解版</w:t>
      </w:r>
    </w:p>
    <w:tbl>
      <w:tblPr>
        <w:tblStyle w:val="32"/>
        <w:tblW w:w="9360" w:type="dxa"/>
        <w:tblInd w:w="120" w:type="dxa"/>
        <w:tblLayout w:type="fixed"/>
        <w:tblCellMar>
          <w:top w:w="0" w:type="dxa"/>
          <w:left w:w="108" w:type="dxa"/>
          <w:bottom w:w="0" w:type="dxa"/>
          <w:right w:w="108" w:type="dxa"/>
        </w:tblCellMar>
      </w:tblPr>
      <w:tblGrid>
        <w:gridCol w:w="9360"/>
      </w:tblGrid>
      <w:tr w14:paraId="47D59DD8">
        <w:tblPrEx>
          <w:tblCellMar>
            <w:top w:w="0" w:type="dxa"/>
            <w:left w:w="108" w:type="dxa"/>
            <w:bottom w:w="0" w:type="dxa"/>
            <w:right w:w="108" w:type="dxa"/>
          </w:tblCellMar>
        </w:tblPrEx>
        <w:trPr>
          <w:cantSplit/>
        </w:trPr>
        <w:tc>
          <w:tcPr>
            <w:tcW w:w="9360" w:type="dxa"/>
            <w:shd w:val="clear" w:color="auto" w:fill="EAF2F8"/>
            <w:tcMar>
              <w:top w:w="100" w:type="dxa"/>
              <w:left w:w="120" w:type="dxa"/>
              <w:bottom w:w="100" w:type="dxa"/>
              <w:right w:w="120" w:type="dxa"/>
            </w:tcMar>
            <w:vAlign w:val="center"/>
          </w:tcPr>
          <w:p w14:paraId="64C31E98">
            <w:pPr>
              <w:spacing w:before="40" w:after="40" w:line="269" w:lineRule="auto"/>
            </w:pPr>
            <w:r>
              <w:rPr>
                <w:rFonts w:ascii="微软雅黑" w:hAnsi="微软雅黑" w:eastAsia="微软雅黑"/>
                <w:b/>
                <w:color w:val="17365D"/>
                <w:sz w:val="21"/>
              </w:rPr>
              <w:t xml:space="preserve">项目一句话  </w:t>
            </w:r>
            <w:r>
              <w:rPr>
                <w:rFonts w:ascii="微软雅黑" w:hAnsi="微软雅黑" w:eastAsia="微软雅黑"/>
                <w:color w:val="20262E"/>
                <w:sz w:val="21"/>
              </w:rPr>
              <w:t>面向低空无人机常态化巡检，以北斗时空索引连接视觉识别、局部风险诊断和复飞决策，并用类别增量持续学习应对巡检目标持续新增和历史知识遗忘。</w:t>
            </w:r>
          </w:p>
        </w:tc>
      </w:tr>
    </w:tbl>
    <w:p w14:paraId="7EFB260D">
      <w:pPr>
        <w:spacing w:after="40"/>
      </w:pPr>
    </w:p>
    <w:p w14:paraId="1CE2E89D">
      <w:pPr>
        <w:spacing w:before="900" w:after="40"/>
        <w:jc w:val="center"/>
      </w:pPr>
      <w:r>
        <w:rPr>
          <w:rFonts w:ascii="微软雅黑" w:hAnsi="微软雅黑" w:eastAsia="微软雅黑"/>
          <w:color w:val="667085"/>
          <w:sz w:val="20"/>
        </w:rPr>
        <w:t>版本：V1.0  |  日期：2026年8月5日</w:t>
      </w:r>
    </w:p>
    <w:p w14:paraId="7E0BA25C">
      <w:pPr>
        <w:jc w:val="center"/>
      </w:pPr>
      <w:r>
        <w:rPr>
          <w:rFonts w:ascii="微软雅黑" w:hAnsi="微软雅黑" w:eastAsia="微软雅黑"/>
          <w:b/>
          <w:color w:val="9B1C1C"/>
          <w:sz w:val="19"/>
        </w:rPr>
        <w:t>证据状态：公开航拍数据实验 + 虚拟北斗坐标仿真；非真实外业验收</w:t>
      </w:r>
    </w:p>
    <w:p w14:paraId="709551AC">
      <w:r>
        <w:br w:type="page"/>
      </w:r>
    </w:p>
    <w:p w14:paraId="1B9CA278">
      <w:pPr>
        <w:pStyle w:val="3"/>
        <w:keepNext/>
        <w:keepLines/>
      </w:pPr>
      <w:r>
        <w:rPr>
          <w:rFonts w:ascii="微软雅黑" w:hAnsi="微软雅黑" w:eastAsia="微软雅黑"/>
          <w:color w:val="20262E"/>
        </w:rPr>
        <w:t>阅读说明</w:t>
      </w:r>
    </w:p>
    <w:p w14:paraId="72F7FBE1">
      <w:pPr>
        <w:spacing w:before="0" w:after="120" w:line="264" w:lineRule="auto"/>
        <w:jc w:val="both"/>
      </w:pPr>
      <w:r>
        <w:rPr>
          <w:rFonts w:ascii="微软雅黑" w:hAnsi="微软雅黑" w:eastAsia="微软雅黑"/>
          <w:color w:val="20262E"/>
          <w:sz w:val="21"/>
        </w:rPr>
        <w:t>本说明书用于统一团队对项目的理解，并为商业计划书、项目申报、产品界面、路演PPT和评委答辩提供一致口径。文档以当前共享竞赛工程和已审核公开结果为依据，重点解释项目到底解决什么问题、北斗为什么不可替代、算法如何转化为业务能力，以及当前原型与完整产品之间还差哪些环节。</w:t>
      </w:r>
    </w:p>
    <w:tbl>
      <w:tblPr>
        <w:tblStyle w:val="32"/>
        <w:tblW w:w="9360" w:type="dxa"/>
        <w:tblInd w:w="120" w:type="dxa"/>
        <w:tblLayout w:type="fixed"/>
        <w:tblCellMar>
          <w:top w:w="0" w:type="dxa"/>
          <w:left w:w="108" w:type="dxa"/>
          <w:bottom w:w="0" w:type="dxa"/>
          <w:right w:w="108" w:type="dxa"/>
        </w:tblCellMar>
      </w:tblPr>
      <w:tblGrid>
        <w:gridCol w:w="9360"/>
      </w:tblGrid>
      <w:tr w14:paraId="63D344D1">
        <w:tblPrEx>
          <w:tblCellMar>
            <w:top w:w="0" w:type="dxa"/>
            <w:left w:w="108" w:type="dxa"/>
            <w:bottom w:w="0" w:type="dxa"/>
            <w:right w:w="108" w:type="dxa"/>
          </w:tblCellMar>
        </w:tblPrEx>
        <w:trPr>
          <w:cantSplit/>
        </w:trPr>
        <w:tc>
          <w:tcPr>
            <w:tcW w:w="9360" w:type="dxa"/>
            <w:shd w:val="clear" w:color="auto" w:fill="FDECEC"/>
            <w:tcMar>
              <w:top w:w="100" w:type="dxa"/>
              <w:left w:w="120" w:type="dxa"/>
              <w:bottom w:w="100" w:type="dxa"/>
              <w:right w:w="120" w:type="dxa"/>
            </w:tcMar>
            <w:vAlign w:val="center"/>
          </w:tcPr>
          <w:p w14:paraId="2681C5E0">
            <w:pPr>
              <w:spacing w:before="40" w:after="40" w:line="269" w:lineRule="auto"/>
            </w:pPr>
            <w:r>
              <w:rPr>
                <w:rFonts w:ascii="微软雅黑" w:hAnsi="微软雅黑" w:eastAsia="微软雅黑"/>
                <w:b/>
                <w:color w:val="9B1C1C"/>
                <w:sz w:val="21"/>
              </w:rPr>
              <w:t xml:space="preserve">最重要的边界  </w:t>
            </w:r>
            <w:r>
              <w:rPr>
                <w:rFonts w:ascii="微软雅黑" w:hAnsi="微软雅黑" w:eastAsia="微软雅黑"/>
                <w:color w:val="20262E"/>
                <w:sz w:val="21"/>
              </w:rPr>
              <w:t>本文不会公开或推测私有三层持续学习算法的网络结构、损失函数、回放采样、训练配置和模型权重。对外只描述已经验证的能力、输入输出关系和业务价值。</w:t>
            </w:r>
          </w:p>
        </w:tc>
      </w:tr>
    </w:tbl>
    <w:p w14:paraId="054AA996">
      <w:pPr>
        <w:spacing w:after="40"/>
      </w:pPr>
    </w:p>
    <w:p w14:paraId="5CAA3CB4">
      <w:pPr>
        <w:pStyle w:val="4"/>
        <w:keepNext/>
        <w:keepLines/>
      </w:pPr>
      <w:r>
        <w:rPr>
          <w:rFonts w:ascii="微软雅黑" w:hAnsi="微软雅黑" w:eastAsia="微软雅黑"/>
          <w:color w:val="20262E"/>
        </w:rPr>
        <w:t>阅读导航</w:t>
      </w:r>
    </w:p>
    <w:tbl>
      <w:tblPr>
        <w:tblStyle w:val="32"/>
        <w:tblW w:w="9360" w:type="dxa"/>
        <w:tblInd w:w="120" w:type="dxa"/>
        <w:tblLayout w:type="fixed"/>
        <w:tblCellMar>
          <w:top w:w="0" w:type="dxa"/>
          <w:left w:w="108" w:type="dxa"/>
          <w:bottom w:w="0" w:type="dxa"/>
          <w:right w:w="108" w:type="dxa"/>
        </w:tblCellMar>
      </w:tblPr>
      <w:tblGrid>
        <w:gridCol w:w="2200"/>
        <w:gridCol w:w="7160"/>
      </w:tblGrid>
      <w:tr w14:paraId="2ABA814C">
        <w:tblPrEx>
          <w:tblCellMar>
            <w:top w:w="0" w:type="dxa"/>
            <w:left w:w="108" w:type="dxa"/>
            <w:bottom w:w="0" w:type="dxa"/>
            <w:right w:w="108" w:type="dxa"/>
          </w:tblCellMar>
        </w:tblPrEx>
        <w:trPr>
          <w:cantSplit/>
          <w:tblHeader/>
        </w:trPr>
        <w:tc>
          <w:tcPr>
            <w:tcW w:w="2200" w:type="dxa"/>
            <w:shd w:val="clear" w:color="auto" w:fill="F2F4F7"/>
            <w:tcMar>
              <w:top w:w="100" w:type="dxa"/>
              <w:left w:w="120" w:type="dxa"/>
              <w:bottom w:w="100" w:type="dxa"/>
              <w:right w:w="120" w:type="dxa"/>
            </w:tcMar>
            <w:vAlign w:val="center"/>
          </w:tcPr>
          <w:p w14:paraId="014300B9">
            <w:pPr>
              <w:spacing w:after="0"/>
              <w:jc w:val="center"/>
            </w:pPr>
            <w:r>
              <w:rPr>
                <w:rFonts w:ascii="微软雅黑" w:hAnsi="微软雅黑" w:eastAsia="微软雅黑"/>
                <w:b/>
                <w:color w:val="17365D"/>
                <w:sz w:val="18"/>
              </w:rPr>
              <w:t>阅读对象</w:t>
            </w:r>
          </w:p>
        </w:tc>
        <w:tc>
          <w:tcPr>
            <w:tcW w:w="7160" w:type="dxa"/>
            <w:shd w:val="clear" w:color="auto" w:fill="F2F4F7"/>
            <w:tcMar>
              <w:top w:w="100" w:type="dxa"/>
              <w:left w:w="120" w:type="dxa"/>
              <w:bottom w:w="100" w:type="dxa"/>
              <w:right w:w="120" w:type="dxa"/>
            </w:tcMar>
            <w:vAlign w:val="center"/>
          </w:tcPr>
          <w:p w14:paraId="504D5DC0">
            <w:pPr>
              <w:spacing w:after="0"/>
              <w:jc w:val="center"/>
            </w:pPr>
            <w:r>
              <w:rPr>
                <w:rFonts w:ascii="微软雅黑" w:hAnsi="微软雅黑" w:eastAsia="微软雅黑"/>
                <w:b/>
                <w:color w:val="17365D"/>
                <w:sz w:val="18"/>
              </w:rPr>
              <w:t>建议重点阅读</w:t>
            </w:r>
          </w:p>
        </w:tc>
      </w:tr>
      <w:tr w14:paraId="150EA59D">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7D2D5591">
            <w:pPr>
              <w:spacing w:before="0" w:after="0" w:line="259" w:lineRule="auto"/>
              <w:jc w:val="left"/>
            </w:pPr>
            <w:r>
              <w:rPr>
                <w:rFonts w:ascii="微软雅黑" w:hAnsi="微软雅黑" w:eastAsia="微软雅黑"/>
                <w:color w:val="20262E"/>
                <w:sz w:val="18"/>
              </w:rPr>
              <w:t>全体队员</w:t>
            </w:r>
          </w:p>
        </w:tc>
        <w:tc>
          <w:tcPr>
            <w:tcW w:w="7160" w:type="dxa"/>
            <w:tcMar>
              <w:top w:w="100" w:type="dxa"/>
              <w:left w:w="120" w:type="dxa"/>
              <w:bottom w:w="100" w:type="dxa"/>
              <w:right w:w="120" w:type="dxa"/>
            </w:tcMar>
            <w:vAlign w:val="center"/>
          </w:tcPr>
          <w:p w14:paraId="49E316B8">
            <w:pPr>
              <w:spacing w:before="0" w:after="0" w:line="259" w:lineRule="auto"/>
              <w:jc w:val="left"/>
            </w:pPr>
            <w:r>
              <w:rPr>
                <w:rFonts w:ascii="微软雅黑" w:hAnsi="微软雅黑" w:eastAsia="微软雅黑"/>
                <w:color w:val="20262E"/>
                <w:sz w:val="18"/>
              </w:rPr>
              <w:t>执行摘要、项目定位、完整业务闭环、当前实现状态</w:t>
            </w:r>
          </w:p>
        </w:tc>
      </w:tr>
      <w:tr w14:paraId="1C016A07">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77813773">
            <w:pPr>
              <w:spacing w:before="0" w:after="0" w:line="259" w:lineRule="auto"/>
              <w:jc w:val="left"/>
            </w:pPr>
            <w:r>
              <w:rPr>
                <w:rFonts w:ascii="微软雅黑" w:hAnsi="微软雅黑" w:eastAsia="微软雅黑"/>
                <w:color w:val="20262E"/>
                <w:sz w:val="18"/>
              </w:rPr>
              <w:t>前端与产品成员</w:t>
            </w:r>
          </w:p>
        </w:tc>
        <w:tc>
          <w:tcPr>
            <w:tcW w:w="7160" w:type="dxa"/>
            <w:tcMar>
              <w:top w:w="100" w:type="dxa"/>
              <w:left w:w="120" w:type="dxa"/>
              <w:bottom w:w="100" w:type="dxa"/>
              <w:right w:w="120" w:type="dxa"/>
            </w:tcMar>
            <w:vAlign w:val="center"/>
          </w:tcPr>
          <w:p w14:paraId="6EF4C63F">
            <w:pPr>
              <w:spacing w:before="0" w:after="0" w:line="259" w:lineRule="auto"/>
              <w:jc w:val="left"/>
            </w:pPr>
            <w:r>
              <w:rPr>
                <w:rFonts w:ascii="微软雅黑" w:hAnsi="微软雅黑" w:eastAsia="微软雅黑"/>
                <w:color w:val="20262E"/>
                <w:sz w:val="18"/>
              </w:rPr>
              <w:t>用户角色、任务数据包、前后端职责、页面与真实产品的差距</w:t>
            </w:r>
          </w:p>
        </w:tc>
      </w:tr>
      <w:tr w14:paraId="13A41AC5">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57155108">
            <w:pPr>
              <w:spacing w:before="0" w:after="0" w:line="259" w:lineRule="auto"/>
              <w:jc w:val="left"/>
            </w:pPr>
            <w:r>
              <w:rPr>
                <w:rFonts w:ascii="微软雅黑" w:hAnsi="微软雅黑" w:eastAsia="微软雅黑"/>
                <w:color w:val="20262E"/>
                <w:sz w:val="18"/>
              </w:rPr>
              <w:t>算法负责人</w:t>
            </w:r>
          </w:p>
        </w:tc>
        <w:tc>
          <w:tcPr>
            <w:tcW w:w="7160" w:type="dxa"/>
            <w:tcMar>
              <w:top w:w="100" w:type="dxa"/>
              <w:left w:w="120" w:type="dxa"/>
              <w:bottom w:w="100" w:type="dxa"/>
              <w:right w:w="120" w:type="dxa"/>
            </w:tcMar>
            <w:vAlign w:val="center"/>
          </w:tcPr>
          <w:p w14:paraId="089A322F">
            <w:pPr>
              <w:spacing w:before="0" w:after="0" w:line="259" w:lineRule="auto"/>
              <w:jc w:val="left"/>
            </w:pPr>
            <w:r>
              <w:rPr>
                <w:rFonts w:ascii="微软雅黑" w:hAnsi="微软雅黑" w:eastAsia="微软雅黑"/>
                <w:color w:val="20262E"/>
                <w:sz w:val="18"/>
              </w:rPr>
              <w:t>双路数据架构、模型更新闭环、实验结果解释、证据边界</w:t>
            </w:r>
          </w:p>
        </w:tc>
      </w:tr>
      <w:tr w14:paraId="1CE3C992">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37B3347B">
            <w:pPr>
              <w:spacing w:before="0" w:after="0" w:line="259" w:lineRule="auto"/>
              <w:jc w:val="left"/>
            </w:pPr>
            <w:r>
              <w:rPr>
                <w:rFonts w:ascii="微软雅黑" w:hAnsi="微软雅黑" w:eastAsia="微软雅黑"/>
                <w:color w:val="20262E"/>
                <w:sz w:val="18"/>
              </w:rPr>
              <w:t>BP与PPT成员</w:t>
            </w:r>
          </w:p>
        </w:tc>
        <w:tc>
          <w:tcPr>
            <w:tcW w:w="7160" w:type="dxa"/>
            <w:tcMar>
              <w:top w:w="100" w:type="dxa"/>
              <w:left w:w="120" w:type="dxa"/>
              <w:bottom w:w="100" w:type="dxa"/>
              <w:right w:w="120" w:type="dxa"/>
            </w:tcMar>
            <w:vAlign w:val="center"/>
          </w:tcPr>
          <w:p w14:paraId="24D05E27">
            <w:pPr>
              <w:spacing w:before="0" w:after="0" w:line="259" w:lineRule="auto"/>
              <w:jc w:val="left"/>
            </w:pPr>
            <w:r>
              <w:rPr>
                <w:rFonts w:ascii="微软雅黑" w:hAnsi="微软雅黑" w:eastAsia="微软雅黑"/>
                <w:color w:val="20262E"/>
                <w:sz w:val="18"/>
              </w:rPr>
              <w:t>创新性、商业价值、评委口径、禁止表述与FAQ</w:t>
            </w:r>
          </w:p>
        </w:tc>
      </w:tr>
    </w:tbl>
    <w:p w14:paraId="1FB16243">
      <w:pPr>
        <w:spacing w:after="40"/>
      </w:pPr>
    </w:p>
    <w:p w14:paraId="264AB748">
      <w:pPr>
        <w:pStyle w:val="3"/>
        <w:keepNext/>
        <w:keepLines/>
      </w:pPr>
      <w:r>
        <w:rPr>
          <w:rFonts w:ascii="微软雅黑" w:hAnsi="微软雅黑" w:eastAsia="微软雅黑"/>
          <w:color w:val="20262E"/>
        </w:rPr>
        <w:t>执行摘要</w:t>
      </w:r>
    </w:p>
    <w:p w14:paraId="4BC40DA1">
      <w:pPr>
        <w:spacing w:before="0" w:after="120" w:line="264" w:lineRule="auto"/>
        <w:jc w:val="both"/>
      </w:pPr>
      <w:r>
        <w:rPr>
          <w:rFonts w:ascii="微软雅黑" w:hAnsi="微软雅黑" w:eastAsia="微软雅黑"/>
          <w:color w:val="20262E"/>
          <w:sz w:val="21"/>
        </w:rPr>
        <w:t>“北斗巡知”不是一个把持续学习算法套进无人机外壳的视觉分类演示，而是一套面向常态化低空巡检的时空风险诊断与持续学习平台。它将无人机采集的图像与北斗位置、时间和定位质量通过样本编号关联，先回答“看到了什么”，再回答“在哪里识别不好、哪些区域正在遗忘、有限模型维护资源应该投向哪里、下一次应该飞到哪里复核”。</w:t>
      </w:r>
    </w:p>
    <w:p w14:paraId="73AED7EE">
      <w:pPr>
        <w:spacing w:before="0" w:after="120" w:line="264" w:lineRule="auto"/>
        <w:jc w:val="both"/>
      </w:pPr>
      <w:r>
        <w:rPr>
          <w:rFonts w:ascii="微软雅黑" w:hAnsi="微软雅黑" w:eastAsia="微软雅黑"/>
          <w:color w:val="20262E"/>
          <w:sz w:val="21"/>
        </w:rPr>
        <w:t>项目当前最适合申报“北斗时空信息应用—产业与经济应用—低空经济（无人机巡检）”，并可关联公共基础设施中的能源、电网和通信基站应用。它不应申报为北斗定位导航核心技术或芯片终端设备，因为当前创新重点不在定位算法、导航芯片和硬件国产化，而在北斗时空信息与人工智能持续学习、风险治理和巡检作业闭环的融合。</w:t>
      </w:r>
    </w:p>
    <w:p w14:paraId="1E81B4FF">
      <w:pPr>
        <w:spacing w:before="0" w:after="120" w:line="264" w:lineRule="auto"/>
        <w:jc w:val="both"/>
      </w:pPr>
      <w:r>
        <w:rPr>
          <w:rFonts w:ascii="微软雅黑" w:hAnsi="微软雅黑" w:eastAsia="微软雅黑"/>
          <w:color w:val="20262E"/>
          <w:sz w:val="21"/>
        </w:rPr>
        <w:t>当前公开数据实验采用VisDrone目标裁剪分类数据、10个类别、5个顺序任务、4301条元数据和预测记录、固定600条回放预算。代表性随机种子下，ER经验回放最终准确率为31.48%，三层方法为43.59%，提升12.11个百分点；平均遗忘率由51.32%降至32.09%，下降约19.23个百分点。该结果证明当前方法在既定公开数据、任务划分和预算约束下，比ER更能保持历史类别知识；它不等于真实电网外业准确率，也不证明已经完成机载部署。</w:t>
      </w:r>
    </w:p>
    <w:tbl>
      <w:tblPr>
        <w:tblStyle w:val="32"/>
        <w:tblW w:w="9360" w:type="dxa"/>
        <w:tblInd w:w="120" w:type="dxa"/>
        <w:tblLayout w:type="fixed"/>
        <w:tblCellMar>
          <w:top w:w="0" w:type="dxa"/>
          <w:left w:w="108" w:type="dxa"/>
          <w:bottom w:w="0" w:type="dxa"/>
          <w:right w:w="108" w:type="dxa"/>
        </w:tblCellMar>
      </w:tblPr>
      <w:tblGrid>
        <w:gridCol w:w="9360"/>
      </w:tblGrid>
      <w:tr w14:paraId="41AB29B0">
        <w:tblPrEx>
          <w:tblCellMar>
            <w:top w:w="0" w:type="dxa"/>
            <w:left w:w="108" w:type="dxa"/>
            <w:bottom w:w="0" w:type="dxa"/>
            <w:right w:w="108" w:type="dxa"/>
          </w:tblCellMar>
        </w:tblPrEx>
        <w:trPr>
          <w:cantSplit/>
        </w:trPr>
        <w:tc>
          <w:tcPr>
            <w:tcW w:w="9360" w:type="dxa"/>
            <w:shd w:val="clear" w:color="auto" w:fill="FFF4D6"/>
            <w:tcMar>
              <w:top w:w="100" w:type="dxa"/>
              <w:left w:w="120" w:type="dxa"/>
              <w:bottom w:w="100" w:type="dxa"/>
              <w:right w:w="120" w:type="dxa"/>
            </w:tcMar>
            <w:vAlign w:val="center"/>
          </w:tcPr>
          <w:p w14:paraId="08FB7C3E">
            <w:pPr>
              <w:spacing w:before="40" w:after="40" w:line="269" w:lineRule="auto"/>
            </w:pPr>
            <w:r>
              <w:rPr>
                <w:rFonts w:ascii="微软雅黑" w:hAnsi="微软雅黑" w:eastAsia="微软雅黑"/>
                <w:b/>
                <w:color w:val="9A6A00"/>
                <w:sz w:val="21"/>
              </w:rPr>
              <w:t xml:space="preserve">北斗不可替代的作用  </w:t>
            </w:r>
            <w:r>
              <w:rPr>
                <w:rFonts w:ascii="微软雅黑" w:hAnsi="微软雅黑" w:eastAsia="微软雅黑"/>
                <w:color w:val="20262E"/>
                <w:sz w:val="21"/>
              </w:rPr>
              <w:t>图像回答“看到了什么”；北斗回答“在哪里、什么时候、哪个区域持续识别不好，以及应该去哪里重新巡检”。</w:t>
            </w:r>
          </w:p>
        </w:tc>
      </w:tr>
    </w:tbl>
    <w:p w14:paraId="3CADA933">
      <w:pPr>
        <w:spacing w:after="40"/>
      </w:pPr>
    </w:p>
    <w:p w14:paraId="07E486B5">
      <w:pPr>
        <w:pStyle w:val="3"/>
        <w:keepNext/>
        <w:keepLines/>
      </w:pPr>
      <w:r>
        <w:rPr>
          <w:rFonts w:ascii="微软雅黑" w:hAnsi="微软雅黑" w:eastAsia="微软雅黑"/>
          <w:color w:val="20262E"/>
        </w:rPr>
        <w:t>1. 项目定位与参赛方向</w:t>
      </w:r>
    </w:p>
    <w:p w14:paraId="5B37648A">
      <w:pPr>
        <w:pStyle w:val="4"/>
        <w:keepNext/>
        <w:keepLines/>
      </w:pPr>
      <w:r>
        <w:rPr>
          <w:rFonts w:ascii="微软雅黑" w:hAnsi="微软雅黑" w:eastAsia="微软雅黑"/>
          <w:color w:val="20262E"/>
        </w:rPr>
        <w:t>1.1 推荐定位</w:t>
      </w:r>
    </w:p>
    <w:tbl>
      <w:tblPr>
        <w:tblStyle w:val="32"/>
        <w:tblW w:w="9360" w:type="dxa"/>
        <w:tblInd w:w="120" w:type="dxa"/>
        <w:tblLayout w:type="fixed"/>
        <w:tblCellMar>
          <w:top w:w="0" w:type="dxa"/>
          <w:left w:w="108" w:type="dxa"/>
          <w:bottom w:w="0" w:type="dxa"/>
          <w:right w:w="108" w:type="dxa"/>
        </w:tblCellMar>
      </w:tblPr>
      <w:tblGrid>
        <w:gridCol w:w="9360"/>
      </w:tblGrid>
      <w:tr w14:paraId="052537D3">
        <w:tblPrEx>
          <w:tblCellMar>
            <w:top w:w="0" w:type="dxa"/>
            <w:left w:w="108" w:type="dxa"/>
            <w:bottom w:w="0" w:type="dxa"/>
            <w:right w:w="108" w:type="dxa"/>
          </w:tblCellMar>
        </w:tblPrEx>
        <w:trPr>
          <w:cantSplit/>
        </w:trPr>
        <w:tc>
          <w:tcPr>
            <w:tcW w:w="9360" w:type="dxa"/>
            <w:shd w:val="clear" w:color="auto" w:fill="EAF2F8"/>
            <w:tcMar>
              <w:top w:w="100" w:type="dxa"/>
              <w:left w:w="120" w:type="dxa"/>
              <w:bottom w:w="100" w:type="dxa"/>
              <w:right w:w="120" w:type="dxa"/>
            </w:tcMar>
            <w:vAlign w:val="center"/>
          </w:tcPr>
          <w:p w14:paraId="17D06349">
            <w:pPr>
              <w:spacing w:before="40" w:after="40" w:line="269" w:lineRule="auto"/>
            </w:pPr>
            <w:r>
              <w:rPr>
                <w:rFonts w:ascii="微软雅黑" w:hAnsi="微软雅黑" w:eastAsia="微软雅黑"/>
                <w:b/>
                <w:color w:val="17365D"/>
                <w:sz w:val="21"/>
              </w:rPr>
              <w:t xml:space="preserve">正式定位  </w:t>
            </w:r>
            <w:r>
              <w:rPr>
                <w:rFonts w:ascii="微软雅黑" w:hAnsi="微软雅黑" w:eastAsia="微软雅黑"/>
                <w:color w:val="20262E"/>
                <w:sz w:val="21"/>
              </w:rPr>
              <w:t>北斗时空信息应用方向下，面向低空经济和能源基础设施巡检的时空风险诊断与持续学习平台。</w:t>
            </w:r>
          </w:p>
        </w:tc>
      </w:tr>
    </w:tbl>
    <w:p w14:paraId="3FF1FEED">
      <w:pPr>
        <w:spacing w:after="40"/>
      </w:pPr>
    </w:p>
    <w:p w14:paraId="151125B8">
      <w:pPr>
        <w:spacing w:before="0" w:after="120" w:line="264" w:lineRule="auto"/>
        <w:jc w:val="both"/>
      </w:pPr>
      <w:r>
        <w:rPr>
          <w:rFonts w:ascii="微软雅黑" w:hAnsi="微软雅黑" w:eastAsia="微软雅黑"/>
          <w:color w:val="20262E"/>
          <w:sz w:val="21"/>
        </w:rPr>
        <w:t>项目的主应用场景是搭载北斗定位模块的无人机，对输电走廊、山区边坡、施工扰动区、通信塔区、光伏场站等区域进行长期巡检。随着巡检时间拉长，系统会不断遇到新的车辆类型、施工机械、人员行为、围栏缺陷或其他异常目标，因此模型不能依赖每次收集全部历史数据后重新训练，而需要在有限存储和计算预算下持续吸收新类别，同时尽量保持旧类别能力。</w:t>
      </w:r>
    </w:p>
    <w:p w14:paraId="677176AA">
      <w:pPr>
        <w:pStyle w:val="4"/>
        <w:keepNext/>
        <w:keepLines/>
      </w:pPr>
      <w:r>
        <w:rPr>
          <w:rFonts w:ascii="微软雅黑" w:hAnsi="微软雅黑" w:eastAsia="微软雅黑"/>
          <w:color w:val="20262E"/>
        </w:rPr>
        <w:t>1.2 对应赛事分类</w:t>
      </w:r>
    </w:p>
    <w:tbl>
      <w:tblPr>
        <w:tblStyle w:val="32"/>
        <w:tblW w:w="9360" w:type="dxa"/>
        <w:tblInd w:w="120" w:type="dxa"/>
        <w:tblLayout w:type="fixed"/>
        <w:tblCellMar>
          <w:top w:w="0" w:type="dxa"/>
          <w:left w:w="108" w:type="dxa"/>
          <w:bottom w:w="0" w:type="dxa"/>
          <w:right w:w="108" w:type="dxa"/>
        </w:tblCellMar>
      </w:tblPr>
      <w:tblGrid>
        <w:gridCol w:w="1500"/>
        <w:gridCol w:w="3100"/>
        <w:gridCol w:w="4760"/>
      </w:tblGrid>
      <w:tr w14:paraId="75471490">
        <w:tblPrEx>
          <w:tblCellMar>
            <w:top w:w="0" w:type="dxa"/>
            <w:left w:w="108" w:type="dxa"/>
            <w:bottom w:w="0" w:type="dxa"/>
            <w:right w:w="108" w:type="dxa"/>
          </w:tblCellMar>
        </w:tblPrEx>
        <w:trPr>
          <w:cantSplit/>
          <w:tblHeader/>
        </w:trPr>
        <w:tc>
          <w:tcPr>
            <w:tcW w:w="1500" w:type="dxa"/>
            <w:shd w:val="clear" w:color="auto" w:fill="F2F4F7"/>
            <w:tcMar>
              <w:top w:w="100" w:type="dxa"/>
              <w:left w:w="120" w:type="dxa"/>
              <w:bottom w:w="100" w:type="dxa"/>
              <w:right w:w="120" w:type="dxa"/>
            </w:tcMar>
            <w:vAlign w:val="center"/>
          </w:tcPr>
          <w:p w14:paraId="0F6E8127">
            <w:pPr>
              <w:spacing w:after="0"/>
              <w:jc w:val="center"/>
            </w:pPr>
            <w:r>
              <w:rPr>
                <w:rFonts w:ascii="微软雅黑" w:hAnsi="微软雅黑" w:eastAsia="微软雅黑"/>
                <w:b/>
                <w:color w:val="17365D"/>
                <w:sz w:val="18"/>
              </w:rPr>
              <w:t>层级</w:t>
            </w:r>
          </w:p>
        </w:tc>
        <w:tc>
          <w:tcPr>
            <w:tcW w:w="3100" w:type="dxa"/>
            <w:shd w:val="clear" w:color="auto" w:fill="F2F4F7"/>
            <w:tcMar>
              <w:top w:w="100" w:type="dxa"/>
              <w:left w:w="120" w:type="dxa"/>
              <w:bottom w:w="100" w:type="dxa"/>
              <w:right w:w="120" w:type="dxa"/>
            </w:tcMar>
            <w:vAlign w:val="center"/>
          </w:tcPr>
          <w:p w14:paraId="0EE96C9E">
            <w:pPr>
              <w:spacing w:after="0"/>
              <w:jc w:val="center"/>
            </w:pPr>
            <w:r>
              <w:rPr>
                <w:rFonts w:ascii="微软雅黑" w:hAnsi="微软雅黑" w:eastAsia="微软雅黑"/>
                <w:b/>
                <w:color w:val="17365D"/>
                <w:sz w:val="18"/>
              </w:rPr>
              <w:t>项目归属</w:t>
            </w:r>
          </w:p>
        </w:tc>
        <w:tc>
          <w:tcPr>
            <w:tcW w:w="4760" w:type="dxa"/>
            <w:shd w:val="clear" w:color="auto" w:fill="F2F4F7"/>
            <w:tcMar>
              <w:top w:w="100" w:type="dxa"/>
              <w:left w:w="120" w:type="dxa"/>
              <w:bottom w:w="100" w:type="dxa"/>
              <w:right w:w="120" w:type="dxa"/>
            </w:tcMar>
            <w:vAlign w:val="center"/>
          </w:tcPr>
          <w:p w14:paraId="54F5A36E">
            <w:pPr>
              <w:spacing w:after="0"/>
              <w:jc w:val="center"/>
            </w:pPr>
            <w:r>
              <w:rPr>
                <w:rFonts w:ascii="微软雅黑" w:hAnsi="微软雅黑" w:eastAsia="微软雅黑"/>
                <w:b/>
                <w:color w:val="17365D"/>
                <w:sz w:val="18"/>
              </w:rPr>
              <w:t>判断理由</w:t>
            </w:r>
          </w:p>
        </w:tc>
      </w:tr>
      <w:tr w14:paraId="24F10A8D">
        <w:tblPrEx>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49683C68">
            <w:pPr>
              <w:spacing w:before="0" w:after="0" w:line="259" w:lineRule="auto"/>
              <w:jc w:val="left"/>
            </w:pPr>
            <w:r>
              <w:rPr>
                <w:rFonts w:ascii="微软雅黑" w:hAnsi="微软雅黑" w:eastAsia="微软雅黑"/>
                <w:color w:val="20262E"/>
                <w:sz w:val="18"/>
              </w:rPr>
              <w:t>一级方向</w:t>
            </w:r>
          </w:p>
        </w:tc>
        <w:tc>
          <w:tcPr>
            <w:tcW w:w="3100" w:type="dxa"/>
            <w:tcMar>
              <w:top w:w="100" w:type="dxa"/>
              <w:left w:w="120" w:type="dxa"/>
              <w:bottom w:w="100" w:type="dxa"/>
              <w:right w:w="120" w:type="dxa"/>
            </w:tcMar>
            <w:vAlign w:val="center"/>
          </w:tcPr>
          <w:p w14:paraId="582F9546">
            <w:pPr>
              <w:spacing w:before="0" w:after="0" w:line="259" w:lineRule="auto"/>
              <w:jc w:val="left"/>
            </w:pPr>
            <w:r>
              <w:rPr>
                <w:rFonts w:ascii="微软雅黑" w:hAnsi="微软雅黑" w:eastAsia="微软雅黑"/>
                <w:color w:val="20262E"/>
                <w:sz w:val="18"/>
              </w:rPr>
              <w:t>二、北斗时空信息应用</w:t>
            </w:r>
          </w:p>
        </w:tc>
        <w:tc>
          <w:tcPr>
            <w:tcW w:w="4760" w:type="dxa"/>
            <w:tcMar>
              <w:top w:w="100" w:type="dxa"/>
              <w:left w:w="120" w:type="dxa"/>
              <w:bottom w:w="100" w:type="dxa"/>
              <w:right w:w="120" w:type="dxa"/>
            </w:tcMar>
            <w:vAlign w:val="center"/>
          </w:tcPr>
          <w:p w14:paraId="50C3E850">
            <w:pPr>
              <w:spacing w:before="0" w:after="0" w:line="259" w:lineRule="auto"/>
              <w:jc w:val="left"/>
            </w:pPr>
            <w:r>
              <w:rPr>
                <w:rFonts w:ascii="微软雅黑" w:hAnsi="微软雅黑" w:eastAsia="微软雅黑"/>
                <w:color w:val="20262E"/>
                <w:sz w:val="18"/>
              </w:rPr>
              <w:t>核心是将北斗时空信息用于巡检业务和模型治理，而非研制北斗芯片或定位算法。</w:t>
            </w:r>
          </w:p>
        </w:tc>
      </w:tr>
      <w:tr w14:paraId="75F5914C">
        <w:tblPrEx>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60208D05">
            <w:pPr>
              <w:spacing w:before="0" w:after="0" w:line="259" w:lineRule="auto"/>
              <w:jc w:val="left"/>
            </w:pPr>
            <w:r>
              <w:rPr>
                <w:rFonts w:ascii="微软雅黑" w:hAnsi="微软雅黑" w:eastAsia="微软雅黑"/>
                <w:color w:val="20262E"/>
                <w:sz w:val="18"/>
              </w:rPr>
              <w:t>主申报条目</w:t>
            </w:r>
          </w:p>
        </w:tc>
        <w:tc>
          <w:tcPr>
            <w:tcW w:w="3100" w:type="dxa"/>
            <w:tcMar>
              <w:top w:w="100" w:type="dxa"/>
              <w:left w:w="120" w:type="dxa"/>
              <w:bottom w:w="100" w:type="dxa"/>
              <w:right w:w="120" w:type="dxa"/>
            </w:tcMar>
            <w:vAlign w:val="center"/>
          </w:tcPr>
          <w:p w14:paraId="2E18AB50">
            <w:pPr>
              <w:spacing w:before="0" w:after="0" w:line="259" w:lineRule="auto"/>
              <w:jc w:val="left"/>
            </w:pPr>
            <w:r>
              <w:rPr>
                <w:rFonts w:ascii="微软雅黑" w:hAnsi="微软雅黑" w:eastAsia="微软雅黑"/>
                <w:color w:val="20262E"/>
                <w:sz w:val="18"/>
              </w:rPr>
              <w:t>（二）产业与经济应用—低空经济—无人机巡检</w:t>
            </w:r>
          </w:p>
        </w:tc>
        <w:tc>
          <w:tcPr>
            <w:tcW w:w="4760" w:type="dxa"/>
            <w:tcMar>
              <w:top w:w="100" w:type="dxa"/>
              <w:left w:w="120" w:type="dxa"/>
              <w:bottom w:w="100" w:type="dxa"/>
              <w:right w:w="120" w:type="dxa"/>
            </w:tcMar>
            <w:vAlign w:val="center"/>
          </w:tcPr>
          <w:p w14:paraId="1870E80C">
            <w:pPr>
              <w:spacing w:before="0" w:after="0" w:line="259" w:lineRule="auto"/>
              <w:jc w:val="left"/>
            </w:pPr>
            <w:r>
              <w:rPr>
                <w:rFonts w:ascii="微软雅黑" w:hAnsi="微软雅黑" w:eastAsia="微软雅黑"/>
                <w:color w:val="20262E"/>
                <w:sz w:val="18"/>
              </w:rPr>
              <w:t>产品围绕无人机巡航、风险定位、重点复飞、补采和模型持续更新形成闭环。</w:t>
            </w:r>
          </w:p>
        </w:tc>
      </w:tr>
      <w:tr w14:paraId="6D88C827">
        <w:tblPrEx>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309CADDB">
            <w:pPr>
              <w:spacing w:before="0" w:after="0" w:line="259" w:lineRule="auto"/>
              <w:jc w:val="left"/>
            </w:pPr>
            <w:r>
              <w:rPr>
                <w:rFonts w:ascii="微软雅黑" w:hAnsi="微软雅黑" w:eastAsia="微软雅黑"/>
                <w:color w:val="20262E"/>
                <w:sz w:val="18"/>
              </w:rPr>
              <w:t>关联条目</w:t>
            </w:r>
          </w:p>
        </w:tc>
        <w:tc>
          <w:tcPr>
            <w:tcW w:w="3100" w:type="dxa"/>
            <w:tcMar>
              <w:top w:w="100" w:type="dxa"/>
              <w:left w:w="120" w:type="dxa"/>
              <w:bottom w:w="100" w:type="dxa"/>
              <w:right w:w="120" w:type="dxa"/>
            </w:tcMar>
            <w:vAlign w:val="center"/>
          </w:tcPr>
          <w:p w14:paraId="4D7380CD">
            <w:pPr>
              <w:spacing w:before="0" w:after="0" w:line="259" w:lineRule="auto"/>
              <w:jc w:val="left"/>
            </w:pPr>
            <w:r>
              <w:rPr>
                <w:rFonts w:ascii="微软雅黑" w:hAnsi="微软雅黑" w:eastAsia="微软雅黑"/>
                <w:color w:val="20262E"/>
                <w:sz w:val="18"/>
              </w:rPr>
              <w:t>（一）公共基础设施应用—能源、电网、通信基站</w:t>
            </w:r>
          </w:p>
        </w:tc>
        <w:tc>
          <w:tcPr>
            <w:tcW w:w="4760" w:type="dxa"/>
            <w:tcMar>
              <w:top w:w="100" w:type="dxa"/>
              <w:left w:w="120" w:type="dxa"/>
              <w:bottom w:w="100" w:type="dxa"/>
              <w:right w:w="120" w:type="dxa"/>
            </w:tcMar>
            <w:vAlign w:val="center"/>
          </w:tcPr>
          <w:p w14:paraId="134D91F7">
            <w:pPr>
              <w:spacing w:before="0" w:after="0" w:line="259" w:lineRule="auto"/>
              <w:jc w:val="left"/>
            </w:pPr>
            <w:r>
              <w:rPr>
                <w:rFonts w:ascii="微软雅黑" w:hAnsi="微软雅黑" w:eastAsia="微软雅黑"/>
                <w:color w:val="20262E"/>
                <w:sz w:val="18"/>
              </w:rPr>
              <w:t>首个业务叙事选择输电走廊和基础设施通道巡检。</w:t>
            </w:r>
          </w:p>
        </w:tc>
      </w:tr>
      <w:tr w14:paraId="0DE58F0C">
        <w:tblPrEx>
          <w:tblCellMar>
            <w:top w:w="0" w:type="dxa"/>
            <w:left w:w="108" w:type="dxa"/>
            <w:bottom w:w="0" w:type="dxa"/>
            <w:right w:w="108" w:type="dxa"/>
          </w:tblCellMar>
        </w:tblPrEx>
        <w:trPr>
          <w:cantSplit/>
        </w:trPr>
        <w:tc>
          <w:tcPr>
            <w:tcW w:w="1500" w:type="dxa"/>
            <w:tcMar>
              <w:top w:w="100" w:type="dxa"/>
              <w:left w:w="120" w:type="dxa"/>
              <w:bottom w:w="100" w:type="dxa"/>
              <w:right w:w="120" w:type="dxa"/>
            </w:tcMar>
            <w:vAlign w:val="center"/>
          </w:tcPr>
          <w:p w14:paraId="6D08A4C8">
            <w:pPr>
              <w:spacing w:before="0" w:after="0" w:line="259" w:lineRule="auto"/>
              <w:jc w:val="left"/>
            </w:pPr>
            <w:r>
              <w:rPr>
                <w:rFonts w:ascii="微软雅黑" w:hAnsi="微软雅黑" w:eastAsia="微软雅黑"/>
                <w:color w:val="20262E"/>
                <w:sz w:val="18"/>
              </w:rPr>
              <w:t>技术融合标签</w:t>
            </w:r>
          </w:p>
        </w:tc>
        <w:tc>
          <w:tcPr>
            <w:tcW w:w="3100" w:type="dxa"/>
            <w:tcMar>
              <w:top w:w="100" w:type="dxa"/>
              <w:left w:w="120" w:type="dxa"/>
              <w:bottom w:w="100" w:type="dxa"/>
              <w:right w:w="120" w:type="dxa"/>
            </w:tcMar>
            <w:vAlign w:val="center"/>
          </w:tcPr>
          <w:p w14:paraId="2ECACF2A">
            <w:pPr>
              <w:spacing w:before="0" w:after="0" w:line="259" w:lineRule="auto"/>
              <w:jc w:val="left"/>
            </w:pPr>
            <w:r>
              <w:rPr>
                <w:rFonts w:ascii="微软雅黑" w:hAnsi="微软雅黑" w:eastAsia="微软雅黑"/>
                <w:color w:val="20262E"/>
                <w:sz w:val="18"/>
              </w:rPr>
              <w:t>北斗时空信息 + 人工智能 + 大数据/云计算</w:t>
            </w:r>
          </w:p>
        </w:tc>
        <w:tc>
          <w:tcPr>
            <w:tcW w:w="4760" w:type="dxa"/>
            <w:tcMar>
              <w:top w:w="100" w:type="dxa"/>
              <w:left w:w="120" w:type="dxa"/>
              <w:bottom w:w="100" w:type="dxa"/>
              <w:right w:w="120" w:type="dxa"/>
            </w:tcMar>
            <w:vAlign w:val="center"/>
          </w:tcPr>
          <w:p w14:paraId="33E3103E">
            <w:pPr>
              <w:spacing w:before="0" w:after="0" w:line="259" w:lineRule="auto"/>
              <w:jc w:val="left"/>
            </w:pPr>
            <w:r>
              <w:rPr>
                <w:rFonts w:ascii="微软雅黑" w:hAnsi="微软雅黑" w:eastAsia="微软雅黑"/>
                <w:color w:val="20262E"/>
                <w:sz w:val="18"/>
              </w:rPr>
              <w:t>北斗提供时空索引，持续学习提供模型更新，后端沉淀跨架次区域风险。</w:t>
            </w:r>
          </w:p>
        </w:tc>
      </w:tr>
    </w:tbl>
    <w:p w14:paraId="43B10954">
      <w:pPr>
        <w:spacing w:after="40"/>
      </w:pPr>
    </w:p>
    <w:p w14:paraId="21BEAFB2">
      <w:pPr>
        <w:pStyle w:val="4"/>
        <w:keepNext/>
        <w:keepLines/>
      </w:pPr>
      <w:r>
        <w:rPr>
          <w:rFonts w:ascii="微软雅黑" w:hAnsi="微软雅黑" w:eastAsia="微软雅黑"/>
          <w:color w:val="20262E"/>
        </w:rPr>
        <w:t>1.3 为什么不主报“关键技术”</w:t>
      </w:r>
    </w:p>
    <w:p w14:paraId="5511A243">
      <w:pPr>
        <w:spacing w:before="0" w:after="120" w:line="264" w:lineRule="auto"/>
        <w:jc w:val="both"/>
      </w:pPr>
      <w:r>
        <w:rPr>
          <w:rFonts w:ascii="微软雅黑" w:hAnsi="微软雅黑" w:eastAsia="微软雅黑"/>
          <w:color w:val="20262E"/>
          <w:sz w:val="21"/>
        </w:rPr>
        <w:t>赛事中的北斗关键技术通常要求在定位、导航、授时、通导遥融合、短报文增强、高精度或高可靠安全方面形成直接技术突破。当前项目没有提出新的北斗定位解算方法、增强定位链路、授时算法、芯片模组或天线，因此若主报关键技术，评委很容易追问定位精度提升、硬件指标和实测认证，项目证据无法支撑。更准确的说法是：项目属于北斗应用创新，人工智能算法是关键支撑技术。</w:t>
      </w:r>
    </w:p>
    <w:p w14:paraId="07C3FF18">
      <w:pPr>
        <w:pStyle w:val="3"/>
        <w:keepNext/>
        <w:keepLines/>
      </w:pPr>
      <w:r>
        <w:rPr>
          <w:rFonts w:ascii="微软雅黑" w:hAnsi="微软雅黑" w:eastAsia="微软雅黑"/>
          <w:color w:val="20262E"/>
        </w:rPr>
        <w:t>2. 为什么不是“增量学习算法加无人机外壳”</w:t>
      </w:r>
    </w:p>
    <w:p w14:paraId="15D1D06F">
      <w:pPr>
        <w:spacing w:before="0" w:after="120" w:line="264" w:lineRule="auto"/>
        <w:jc w:val="both"/>
      </w:pPr>
      <w:r>
        <w:rPr>
          <w:rFonts w:ascii="微软雅黑" w:hAnsi="微软雅黑" w:eastAsia="微软雅黑"/>
          <w:color w:val="20262E"/>
          <w:sz w:val="21"/>
        </w:rPr>
        <w:t>一个普通的类别增量学习算法，只回答模型如何连续学习新类别；一个真正适配北斗巡检的系统，还必须回答新数据来自哪次任务、发生在哪个坐标、哪个区域风险最高、定位质量是否异常、有限回放预算如何配置，以及识别失效后如何触发复飞和人工复核。项目的场景真实性不来自页面上放置无人机图标，而来自时空数据进入了诊断和决策闭环。</w:t>
      </w:r>
    </w:p>
    <w:tbl>
      <w:tblPr>
        <w:tblStyle w:val="32"/>
        <w:tblW w:w="9360" w:type="dxa"/>
        <w:tblInd w:w="120" w:type="dxa"/>
        <w:tblLayout w:type="fixed"/>
        <w:tblCellMar>
          <w:top w:w="0" w:type="dxa"/>
          <w:left w:w="108" w:type="dxa"/>
          <w:bottom w:w="0" w:type="dxa"/>
          <w:right w:w="108" w:type="dxa"/>
        </w:tblCellMar>
      </w:tblPr>
      <w:tblGrid>
        <w:gridCol w:w="1800"/>
        <w:gridCol w:w="3300"/>
        <w:gridCol w:w="4260"/>
      </w:tblGrid>
      <w:tr w14:paraId="199E77C1">
        <w:tblPrEx>
          <w:tblCellMar>
            <w:top w:w="0" w:type="dxa"/>
            <w:left w:w="108" w:type="dxa"/>
            <w:bottom w:w="0" w:type="dxa"/>
            <w:right w:w="108" w:type="dxa"/>
          </w:tblCellMar>
        </w:tblPrEx>
        <w:trPr>
          <w:cantSplit/>
          <w:tblHeader/>
        </w:trPr>
        <w:tc>
          <w:tcPr>
            <w:tcW w:w="1800" w:type="dxa"/>
            <w:shd w:val="clear" w:color="auto" w:fill="F2F4F7"/>
            <w:tcMar>
              <w:top w:w="100" w:type="dxa"/>
              <w:left w:w="120" w:type="dxa"/>
              <w:bottom w:w="100" w:type="dxa"/>
              <w:right w:w="120" w:type="dxa"/>
            </w:tcMar>
            <w:vAlign w:val="center"/>
          </w:tcPr>
          <w:p w14:paraId="5EC5FF4F">
            <w:pPr>
              <w:spacing w:after="0"/>
              <w:jc w:val="center"/>
            </w:pPr>
            <w:r>
              <w:rPr>
                <w:rFonts w:ascii="微软雅黑" w:hAnsi="微软雅黑" w:eastAsia="微软雅黑"/>
                <w:b/>
                <w:color w:val="17365D"/>
                <w:sz w:val="18"/>
              </w:rPr>
              <w:t>判断维度</w:t>
            </w:r>
          </w:p>
        </w:tc>
        <w:tc>
          <w:tcPr>
            <w:tcW w:w="3300" w:type="dxa"/>
            <w:shd w:val="clear" w:color="auto" w:fill="F2F4F7"/>
            <w:tcMar>
              <w:top w:w="100" w:type="dxa"/>
              <w:left w:w="120" w:type="dxa"/>
              <w:bottom w:w="100" w:type="dxa"/>
              <w:right w:w="120" w:type="dxa"/>
            </w:tcMar>
            <w:vAlign w:val="center"/>
          </w:tcPr>
          <w:p w14:paraId="2AEB574C">
            <w:pPr>
              <w:spacing w:after="0"/>
              <w:jc w:val="center"/>
            </w:pPr>
            <w:r>
              <w:rPr>
                <w:rFonts w:ascii="微软雅黑" w:hAnsi="微软雅黑" w:eastAsia="微软雅黑"/>
                <w:b/>
                <w:color w:val="17365D"/>
                <w:sz w:val="18"/>
              </w:rPr>
              <w:t>普通持续学习演示</w:t>
            </w:r>
          </w:p>
        </w:tc>
        <w:tc>
          <w:tcPr>
            <w:tcW w:w="4260" w:type="dxa"/>
            <w:shd w:val="clear" w:color="auto" w:fill="F2F4F7"/>
            <w:tcMar>
              <w:top w:w="100" w:type="dxa"/>
              <w:left w:w="120" w:type="dxa"/>
              <w:bottom w:w="100" w:type="dxa"/>
              <w:right w:w="120" w:type="dxa"/>
            </w:tcMar>
            <w:vAlign w:val="center"/>
          </w:tcPr>
          <w:p w14:paraId="2549A737">
            <w:pPr>
              <w:spacing w:after="0"/>
              <w:jc w:val="center"/>
            </w:pPr>
            <w:r>
              <w:rPr>
                <w:rFonts w:ascii="微软雅黑" w:hAnsi="微软雅黑" w:eastAsia="微软雅黑"/>
                <w:b/>
                <w:color w:val="17365D"/>
                <w:sz w:val="18"/>
              </w:rPr>
              <w:t>北斗巡知</w:t>
            </w:r>
          </w:p>
        </w:tc>
      </w:tr>
      <w:tr w14:paraId="7052B036">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351BD354">
            <w:pPr>
              <w:spacing w:before="0" w:after="0" w:line="259" w:lineRule="auto"/>
              <w:jc w:val="left"/>
            </w:pPr>
            <w:r>
              <w:rPr>
                <w:rFonts w:ascii="微软雅黑" w:hAnsi="微软雅黑" w:eastAsia="微软雅黑"/>
                <w:color w:val="20262E"/>
                <w:sz w:val="18"/>
              </w:rPr>
              <w:t>输入</w:t>
            </w:r>
          </w:p>
        </w:tc>
        <w:tc>
          <w:tcPr>
            <w:tcW w:w="3300" w:type="dxa"/>
            <w:tcMar>
              <w:top w:w="100" w:type="dxa"/>
              <w:left w:w="120" w:type="dxa"/>
              <w:bottom w:w="100" w:type="dxa"/>
              <w:right w:w="120" w:type="dxa"/>
            </w:tcMar>
            <w:vAlign w:val="center"/>
          </w:tcPr>
          <w:p w14:paraId="3E4DF4FF">
            <w:pPr>
              <w:spacing w:before="0" w:after="0" w:line="259" w:lineRule="auto"/>
              <w:jc w:val="left"/>
            </w:pPr>
            <w:r>
              <w:rPr>
                <w:rFonts w:ascii="微软雅黑" w:hAnsi="微软雅黑" w:eastAsia="微软雅黑"/>
                <w:color w:val="20262E"/>
                <w:sz w:val="18"/>
              </w:rPr>
              <w:t>图像与类别标签</w:t>
            </w:r>
          </w:p>
        </w:tc>
        <w:tc>
          <w:tcPr>
            <w:tcW w:w="4260" w:type="dxa"/>
            <w:tcMar>
              <w:top w:w="100" w:type="dxa"/>
              <w:left w:w="120" w:type="dxa"/>
              <w:bottom w:w="100" w:type="dxa"/>
              <w:right w:w="120" w:type="dxa"/>
            </w:tcMar>
            <w:vAlign w:val="center"/>
          </w:tcPr>
          <w:p w14:paraId="30E7490D">
            <w:pPr>
              <w:spacing w:before="0" w:after="0" w:line="259" w:lineRule="auto"/>
              <w:jc w:val="left"/>
            </w:pPr>
            <w:r>
              <w:rPr>
                <w:rFonts w:ascii="微软雅黑" w:hAnsi="微软雅黑" w:eastAsia="微软雅黑"/>
                <w:color w:val="20262E"/>
                <w:sz w:val="18"/>
              </w:rPr>
              <w:t>图像 + 时间 + 北斗坐标 + 定位质量 + 航线/任务信息</w:t>
            </w:r>
          </w:p>
        </w:tc>
      </w:tr>
      <w:tr w14:paraId="34263753">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498619E1">
            <w:pPr>
              <w:spacing w:before="0" w:after="0" w:line="259" w:lineRule="auto"/>
              <w:jc w:val="left"/>
            </w:pPr>
            <w:r>
              <w:rPr>
                <w:rFonts w:ascii="微软雅黑" w:hAnsi="微软雅黑" w:eastAsia="微软雅黑"/>
                <w:color w:val="20262E"/>
                <w:sz w:val="18"/>
              </w:rPr>
              <w:t>评价方式</w:t>
            </w:r>
          </w:p>
        </w:tc>
        <w:tc>
          <w:tcPr>
            <w:tcW w:w="3300" w:type="dxa"/>
            <w:tcMar>
              <w:top w:w="100" w:type="dxa"/>
              <w:left w:w="120" w:type="dxa"/>
              <w:bottom w:w="100" w:type="dxa"/>
              <w:right w:w="120" w:type="dxa"/>
            </w:tcMar>
            <w:vAlign w:val="center"/>
          </w:tcPr>
          <w:p w14:paraId="6EE7552D">
            <w:pPr>
              <w:spacing w:before="0" w:after="0" w:line="259" w:lineRule="auto"/>
              <w:jc w:val="left"/>
            </w:pPr>
            <w:r>
              <w:rPr>
                <w:rFonts w:ascii="微软雅黑" w:hAnsi="微软雅黑" w:eastAsia="微软雅黑"/>
                <w:color w:val="20262E"/>
                <w:sz w:val="18"/>
              </w:rPr>
              <w:t>只看全局平均准确率</w:t>
            </w:r>
          </w:p>
        </w:tc>
        <w:tc>
          <w:tcPr>
            <w:tcW w:w="4260" w:type="dxa"/>
            <w:tcMar>
              <w:top w:w="100" w:type="dxa"/>
              <w:left w:w="120" w:type="dxa"/>
              <w:bottom w:w="100" w:type="dxa"/>
              <w:right w:w="120" w:type="dxa"/>
            </w:tcMar>
            <w:vAlign w:val="center"/>
          </w:tcPr>
          <w:p w14:paraId="31383D36">
            <w:pPr>
              <w:spacing w:before="0" w:after="0" w:line="259" w:lineRule="auto"/>
              <w:jc w:val="left"/>
            </w:pPr>
            <w:r>
              <w:rPr>
                <w:rFonts w:ascii="微软雅黑" w:hAnsi="微软雅黑" w:eastAsia="微软雅黑"/>
                <w:color w:val="20262E"/>
                <w:sz w:val="18"/>
              </w:rPr>
              <w:t>同时看分区域识别率、遗忘率、定位误差和业务后果</w:t>
            </w:r>
          </w:p>
        </w:tc>
      </w:tr>
      <w:tr w14:paraId="0E431C9D">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6AE92910">
            <w:pPr>
              <w:spacing w:before="0" w:after="0" w:line="259" w:lineRule="auto"/>
              <w:jc w:val="left"/>
            </w:pPr>
            <w:r>
              <w:rPr>
                <w:rFonts w:ascii="微软雅黑" w:hAnsi="微软雅黑" w:eastAsia="微软雅黑"/>
                <w:color w:val="20262E"/>
                <w:sz w:val="18"/>
              </w:rPr>
              <w:t>资源分配</w:t>
            </w:r>
          </w:p>
        </w:tc>
        <w:tc>
          <w:tcPr>
            <w:tcW w:w="3300" w:type="dxa"/>
            <w:tcMar>
              <w:top w:w="100" w:type="dxa"/>
              <w:left w:w="120" w:type="dxa"/>
              <w:bottom w:w="100" w:type="dxa"/>
              <w:right w:w="120" w:type="dxa"/>
            </w:tcMar>
            <w:vAlign w:val="center"/>
          </w:tcPr>
          <w:p w14:paraId="516972F7">
            <w:pPr>
              <w:spacing w:before="0" w:after="0" w:line="259" w:lineRule="auto"/>
              <w:jc w:val="left"/>
            </w:pPr>
            <w:r>
              <w:rPr>
                <w:rFonts w:ascii="微软雅黑" w:hAnsi="微软雅黑" w:eastAsia="微软雅黑"/>
                <w:color w:val="20262E"/>
                <w:sz w:val="18"/>
              </w:rPr>
              <w:t>全局均匀回放或固定采样</w:t>
            </w:r>
          </w:p>
        </w:tc>
        <w:tc>
          <w:tcPr>
            <w:tcW w:w="4260" w:type="dxa"/>
            <w:tcMar>
              <w:top w:w="100" w:type="dxa"/>
              <w:left w:w="120" w:type="dxa"/>
              <w:bottom w:w="100" w:type="dxa"/>
              <w:right w:w="120" w:type="dxa"/>
            </w:tcMar>
            <w:vAlign w:val="center"/>
          </w:tcPr>
          <w:p w14:paraId="3B404E33">
            <w:pPr>
              <w:spacing w:before="0" w:after="0" w:line="259" w:lineRule="auto"/>
              <w:jc w:val="left"/>
            </w:pPr>
            <w:r>
              <w:rPr>
                <w:rFonts w:ascii="微软雅黑" w:hAnsi="微软雅黑" w:eastAsia="微软雅黑"/>
                <w:color w:val="20262E"/>
                <w:sz w:val="18"/>
              </w:rPr>
              <w:t>在固定总预算下给出区域风险预算建议</w:t>
            </w:r>
          </w:p>
        </w:tc>
      </w:tr>
      <w:tr w14:paraId="3E83C037">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4FF5A157">
            <w:pPr>
              <w:spacing w:before="0" w:after="0" w:line="259" w:lineRule="auto"/>
              <w:jc w:val="left"/>
            </w:pPr>
            <w:r>
              <w:rPr>
                <w:rFonts w:ascii="微软雅黑" w:hAnsi="微软雅黑" w:eastAsia="微软雅黑"/>
                <w:color w:val="20262E"/>
                <w:sz w:val="18"/>
              </w:rPr>
              <w:t>业务输出</w:t>
            </w:r>
          </w:p>
        </w:tc>
        <w:tc>
          <w:tcPr>
            <w:tcW w:w="3300" w:type="dxa"/>
            <w:tcMar>
              <w:top w:w="100" w:type="dxa"/>
              <w:left w:w="120" w:type="dxa"/>
              <w:bottom w:w="100" w:type="dxa"/>
              <w:right w:w="120" w:type="dxa"/>
            </w:tcMar>
            <w:vAlign w:val="center"/>
          </w:tcPr>
          <w:p w14:paraId="2F17E557">
            <w:pPr>
              <w:spacing w:before="0" w:after="0" w:line="259" w:lineRule="auto"/>
              <w:jc w:val="left"/>
            </w:pPr>
            <w:r>
              <w:rPr>
                <w:rFonts w:ascii="微软雅黑" w:hAnsi="微软雅黑" w:eastAsia="微软雅黑"/>
                <w:color w:val="20262E"/>
                <w:sz w:val="18"/>
              </w:rPr>
              <w:t>得到一个新模型</w:t>
            </w:r>
          </w:p>
        </w:tc>
        <w:tc>
          <w:tcPr>
            <w:tcW w:w="4260" w:type="dxa"/>
            <w:tcMar>
              <w:top w:w="100" w:type="dxa"/>
              <w:left w:w="120" w:type="dxa"/>
              <w:bottom w:w="100" w:type="dxa"/>
              <w:right w:w="120" w:type="dxa"/>
            </w:tcMar>
            <w:vAlign w:val="center"/>
          </w:tcPr>
          <w:p w14:paraId="67F31212">
            <w:pPr>
              <w:spacing w:before="0" w:after="0" w:line="259" w:lineRule="auto"/>
              <w:jc w:val="left"/>
            </w:pPr>
            <w:r>
              <w:rPr>
                <w:rFonts w:ascii="微软雅黑" w:hAnsi="微软雅黑" w:eastAsia="微软雅黑"/>
                <w:color w:val="20262E"/>
                <w:sz w:val="18"/>
              </w:rPr>
              <w:t>得到模型版本、薄弱区域、复飞坐标、补采与人工复核任务</w:t>
            </w:r>
          </w:p>
        </w:tc>
      </w:tr>
      <w:tr w14:paraId="12A47292">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1B0D2ED6">
            <w:pPr>
              <w:spacing w:before="0" w:after="0" w:line="259" w:lineRule="auto"/>
              <w:jc w:val="left"/>
            </w:pPr>
            <w:r>
              <w:rPr>
                <w:rFonts w:ascii="微软雅黑" w:hAnsi="微软雅黑" w:eastAsia="微软雅黑"/>
                <w:color w:val="20262E"/>
                <w:sz w:val="18"/>
              </w:rPr>
              <w:t>北斗价值</w:t>
            </w:r>
          </w:p>
        </w:tc>
        <w:tc>
          <w:tcPr>
            <w:tcW w:w="3300" w:type="dxa"/>
            <w:tcMar>
              <w:top w:w="100" w:type="dxa"/>
              <w:left w:w="120" w:type="dxa"/>
              <w:bottom w:w="100" w:type="dxa"/>
              <w:right w:w="120" w:type="dxa"/>
            </w:tcMar>
            <w:vAlign w:val="center"/>
          </w:tcPr>
          <w:p w14:paraId="5D509F09">
            <w:pPr>
              <w:spacing w:before="0" w:after="0" w:line="259" w:lineRule="auto"/>
              <w:jc w:val="left"/>
            </w:pPr>
            <w:r>
              <w:rPr>
                <w:rFonts w:ascii="微软雅黑" w:hAnsi="微软雅黑" w:eastAsia="微软雅黑"/>
                <w:color w:val="20262E"/>
                <w:sz w:val="18"/>
              </w:rPr>
              <w:t>可有可无的标签</w:t>
            </w:r>
          </w:p>
        </w:tc>
        <w:tc>
          <w:tcPr>
            <w:tcW w:w="4260" w:type="dxa"/>
            <w:tcMar>
              <w:top w:w="100" w:type="dxa"/>
              <w:left w:w="120" w:type="dxa"/>
              <w:bottom w:w="100" w:type="dxa"/>
              <w:right w:w="120" w:type="dxa"/>
            </w:tcMar>
            <w:vAlign w:val="center"/>
          </w:tcPr>
          <w:p w14:paraId="536D65F5">
            <w:pPr>
              <w:spacing w:before="0" w:after="0" w:line="259" w:lineRule="auto"/>
              <w:jc w:val="left"/>
            </w:pPr>
            <w:r>
              <w:rPr>
                <w:rFonts w:ascii="微软雅黑" w:hAnsi="微软雅黑" w:eastAsia="微软雅黑"/>
                <w:color w:val="20262E"/>
                <w:sz w:val="18"/>
              </w:rPr>
              <w:t>跨架次时空索引、区域诊断和现场任务定位的基础</w:t>
            </w:r>
          </w:p>
        </w:tc>
      </w:tr>
    </w:tbl>
    <w:p w14:paraId="174AFCD1">
      <w:pPr>
        <w:spacing w:after="40"/>
      </w:pPr>
    </w:p>
    <w:tbl>
      <w:tblPr>
        <w:tblStyle w:val="32"/>
        <w:tblW w:w="9360" w:type="dxa"/>
        <w:tblInd w:w="120" w:type="dxa"/>
        <w:tblLayout w:type="fixed"/>
        <w:tblCellMar>
          <w:top w:w="0" w:type="dxa"/>
          <w:left w:w="108" w:type="dxa"/>
          <w:bottom w:w="0" w:type="dxa"/>
          <w:right w:w="108" w:type="dxa"/>
        </w:tblCellMar>
      </w:tblPr>
      <w:tblGrid>
        <w:gridCol w:w="9360"/>
      </w:tblGrid>
      <w:tr w14:paraId="4FF1D85D">
        <w:tblPrEx>
          <w:tblCellMar>
            <w:top w:w="0" w:type="dxa"/>
            <w:left w:w="108" w:type="dxa"/>
            <w:bottom w:w="0" w:type="dxa"/>
            <w:right w:w="108" w:type="dxa"/>
          </w:tblCellMar>
        </w:tblPrEx>
        <w:trPr>
          <w:cantSplit/>
        </w:trPr>
        <w:tc>
          <w:tcPr>
            <w:tcW w:w="9360" w:type="dxa"/>
            <w:shd w:val="clear" w:color="auto" w:fill="EAF2F8"/>
            <w:tcMar>
              <w:top w:w="100" w:type="dxa"/>
              <w:left w:w="120" w:type="dxa"/>
              <w:bottom w:w="100" w:type="dxa"/>
              <w:right w:w="120" w:type="dxa"/>
            </w:tcMar>
            <w:vAlign w:val="center"/>
          </w:tcPr>
          <w:p w14:paraId="19E1AFFC">
            <w:pPr>
              <w:spacing w:before="40" w:after="40" w:line="269" w:lineRule="auto"/>
            </w:pPr>
            <w:r>
              <w:rPr>
                <w:rFonts w:ascii="微软雅黑" w:hAnsi="微软雅黑" w:eastAsia="微软雅黑"/>
                <w:b/>
                <w:color w:val="17365D"/>
                <w:sz w:val="21"/>
              </w:rPr>
              <w:t xml:space="preserve">判定标准  </w:t>
            </w:r>
            <w:r>
              <w:rPr>
                <w:rFonts w:ascii="微软雅黑" w:hAnsi="微软雅黑" w:eastAsia="微软雅黑"/>
                <w:color w:val="20262E"/>
                <w:sz w:val="21"/>
              </w:rPr>
              <w:t>去掉北斗后，系统仍能做图像分类，但无法可靠完成跨架次位置关联、区域性能诊断和坐标级复飞任务。因此北斗不是装饰，而是业务闭环的基础设施。</w:t>
            </w:r>
          </w:p>
        </w:tc>
      </w:tr>
    </w:tbl>
    <w:p w14:paraId="53DF54BB">
      <w:pPr>
        <w:spacing w:after="40"/>
      </w:pPr>
    </w:p>
    <w:p w14:paraId="05638766">
      <w:pPr>
        <w:pStyle w:val="3"/>
        <w:keepNext/>
        <w:keepLines/>
      </w:pPr>
      <w:r>
        <w:rPr>
          <w:rFonts w:ascii="微软雅黑" w:hAnsi="微软雅黑" w:eastAsia="微软雅黑"/>
          <w:color w:val="20262E"/>
        </w:rPr>
        <w:t>3. 目标业务场景</w:t>
      </w:r>
    </w:p>
    <w:p w14:paraId="235299AE">
      <w:pPr>
        <w:pStyle w:val="4"/>
        <w:keepNext/>
        <w:keepLines/>
      </w:pPr>
      <w:r>
        <w:rPr>
          <w:rFonts w:ascii="微软雅黑" w:hAnsi="微软雅黑" w:eastAsia="微软雅黑"/>
          <w:color w:val="20262E"/>
        </w:rPr>
        <w:t>3.1 首选场景：输电走廊外部环境巡检</w:t>
      </w:r>
    </w:p>
    <w:p w14:paraId="7BB5A505">
      <w:pPr>
        <w:spacing w:before="0" w:after="120" w:line="264" w:lineRule="auto"/>
        <w:jc w:val="both"/>
      </w:pPr>
      <w:r>
        <w:rPr>
          <w:rFonts w:ascii="微软雅黑" w:hAnsi="微软雅黑" w:eastAsia="微软雅黑"/>
          <w:color w:val="20262E"/>
          <w:sz w:val="21"/>
        </w:rPr>
        <w:t>首选叙事应保持聚焦：运维单位定期使用搭载北斗模块的无人机巡检输电走廊及周边区域，识别人员、汽车、卡车、施工车辆、堆物、围栏和其他影响通道安全的目标。系统记录目标发生的时间与位置，持续评估各地理区域的识别稳定性，并把高风险坐标转化为复飞、补采和人工复核任务。</w:t>
      </w:r>
    </w:p>
    <w:p w14:paraId="14AD00A8">
      <w:pPr>
        <w:spacing w:before="0" w:after="120" w:line="264" w:lineRule="auto"/>
        <w:jc w:val="both"/>
      </w:pPr>
      <w:r>
        <w:rPr>
          <w:rFonts w:ascii="微软雅黑" w:hAnsi="微软雅黑" w:eastAsia="微软雅黑"/>
          <w:color w:val="20262E"/>
          <w:sz w:val="21"/>
        </w:rPr>
        <w:t>这个场景同时满足三项条件：一是存在明确的北斗位置需求；二是巡检是长期重复而不是一次性识别，天然形成持续学习任务流；三是不同区域的业务后果不同，同样的模型错误发生在输电走廊、山区边坡和普通农田缓冲区，其处置优先级不应相同。</w:t>
      </w:r>
    </w:p>
    <w:p w14:paraId="73A9C641">
      <w:pPr>
        <w:pStyle w:val="4"/>
        <w:keepNext/>
        <w:keepLines/>
      </w:pPr>
      <w:r>
        <w:rPr>
          <w:rFonts w:ascii="微软雅黑" w:hAnsi="微软雅黑" w:eastAsia="微软雅黑"/>
          <w:color w:val="20262E"/>
        </w:rPr>
        <w:t>3.2 可扩展场景</w:t>
      </w:r>
    </w:p>
    <w:p w14:paraId="511125FD">
      <w:pPr>
        <w:numPr>
          <w:ilvl w:val="0"/>
          <w:numId w:val="7"/>
        </w:numPr>
        <w:spacing w:after="160" w:line="280" w:lineRule="auto"/>
      </w:pPr>
      <w:r>
        <w:rPr>
          <w:rFonts w:ascii="微软雅黑" w:hAnsi="微软雅黑" w:eastAsia="微软雅黑"/>
          <w:color w:val="20262E"/>
          <w:sz w:val="21"/>
        </w:rPr>
        <w:t>交通与铁路沿线巡检：识别施工车辆、人员入侵、边坡风险和异物，并记录可复核坐标。</w:t>
      </w:r>
    </w:p>
    <w:p w14:paraId="039969C9">
      <w:pPr>
        <w:numPr>
          <w:ilvl w:val="0"/>
          <w:numId w:val="7"/>
        </w:numPr>
        <w:spacing w:after="160" w:line="280" w:lineRule="auto"/>
      </w:pPr>
      <w:r>
        <w:rPr>
          <w:rFonts w:ascii="微软雅黑" w:hAnsi="微软雅黑" w:eastAsia="微软雅黑"/>
          <w:color w:val="20262E"/>
          <w:sz w:val="21"/>
        </w:rPr>
        <w:t>通信基站与管线巡检：定位设备周边异常活动和环境变化，形成跨周期风险档案。</w:t>
      </w:r>
    </w:p>
    <w:p w14:paraId="3D4A3866">
      <w:pPr>
        <w:numPr>
          <w:ilvl w:val="0"/>
          <w:numId w:val="7"/>
        </w:numPr>
        <w:spacing w:after="160" w:line="280" w:lineRule="auto"/>
      </w:pPr>
      <w:r>
        <w:rPr>
          <w:rFonts w:ascii="微软雅黑" w:hAnsi="微软雅黑" w:eastAsia="微软雅黑"/>
          <w:color w:val="20262E"/>
          <w:sz w:val="21"/>
        </w:rPr>
        <w:t>自然资源与园区巡检：持续吸收新增地物和异常类别，减少模型因环境变化产生的局部失效。</w:t>
      </w:r>
    </w:p>
    <w:p w14:paraId="265B121E">
      <w:pPr>
        <w:numPr>
          <w:ilvl w:val="0"/>
          <w:numId w:val="7"/>
        </w:numPr>
        <w:spacing w:after="160" w:line="280" w:lineRule="auto"/>
      </w:pPr>
      <w:r>
        <w:rPr>
          <w:rFonts w:ascii="微软雅黑" w:hAnsi="微软雅黑" w:eastAsia="微软雅黑"/>
          <w:color w:val="20262E"/>
          <w:sz w:val="21"/>
        </w:rPr>
        <w:t>应急巡查：在灾后或突发事件中快速建立新增目标类别，并根据区域风险安排复飞与人工确认。</w:t>
      </w:r>
    </w:p>
    <w:p w14:paraId="30277F00">
      <w:pPr>
        <w:pStyle w:val="3"/>
        <w:keepNext/>
        <w:keepLines/>
      </w:pPr>
      <w:r>
        <w:rPr>
          <w:rFonts w:ascii="微软雅黑" w:hAnsi="微软雅黑" w:eastAsia="微软雅黑"/>
          <w:color w:val="20262E"/>
        </w:rPr>
        <w:t>4. 用户、客户与使用边界</w:t>
      </w:r>
    </w:p>
    <w:tbl>
      <w:tblPr>
        <w:tblStyle w:val="32"/>
        <w:tblW w:w="9360" w:type="dxa"/>
        <w:tblInd w:w="120" w:type="dxa"/>
        <w:tblLayout w:type="fixed"/>
        <w:tblCellMar>
          <w:top w:w="0" w:type="dxa"/>
          <w:left w:w="108" w:type="dxa"/>
          <w:bottom w:w="0" w:type="dxa"/>
          <w:right w:w="108" w:type="dxa"/>
        </w:tblCellMar>
      </w:tblPr>
      <w:tblGrid>
        <w:gridCol w:w="1900"/>
        <w:gridCol w:w="3600"/>
        <w:gridCol w:w="3860"/>
      </w:tblGrid>
      <w:tr w14:paraId="3B1FFF6D">
        <w:tblPrEx>
          <w:tblCellMar>
            <w:top w:w="0" w:type="dxa"/>
            <w:left w:w="108" w:type="dxa"/>
            <w:bottom w:w="0" w:type="dxa"/>
            <w:right w:w="108" w:type="dxa"/>
          </w:tblCellMar>
        </w:tblPrEx>
        <w:trPr>
          <w:cantSplit/>
          <w:tblHeader/>
        </w:trPr>
        <w:tc>
          <w:tcPr>
            <w:tcW w:w="1900" w:type="dxa"/>
            <w:shd w:val="clear" w:color="auto" w:fill="F2F4F7"/>
            <w:tcMar>
              <w:top w:w="100" w:type="dxa"/>
              <w:left w:w="120" w:type="dxa"/>
              <w:bottom w:w="100" w:type="dxa"/>
              <w:right w:w="120" w:type="dxa"/>
            </w:tcMar>
            <w:vAlign w:val="center"/>
          </w:tcPr>
          <w:p w14:paraId="7403A90B">
            <w:pPr>
              <w:spacing w:after="0"/>
              <w:jc w:val="center"/>
            </w:pPr>
            <w:r>
              <w:rPr>
                <w:rFonts w:ascii="微软雅黑" w:hAnsi="微软雅黑" w:eastAsia="微软雅黑"/>
                <w:b/>
                <w:color w:val="17365D"/>
                <w:sz w:val="18"/>
              </w:rPr>
              <w:t>角色</w:t>
            </w:r>
          </w:p>
        </w:tc>
        <w:tc>
          <w:tcPr>
            <w:tcW w:w="3600" w:type="dxa"/>
            <w:shd w:val="clear" w:color="auto" w:fill="F2F4F7"/>
            <w:tcMar>
              <w:top w:w="100" w:type="dxa"/>
              <w:left w:w="120" w:type="dxa"/>
              <w:bottom w:w="100" w:type="dxa"/>
              <w:right w:w="120" w:type="dxa"/>
            </w:tcMar>
            <w:vAlign w:val="center"/>
          </w:tcPr>
          <w:p w14:paraId="45CA804B">
            <w:pPr>
              <w:spacing w:after="0"/>
              <w:jc w:val="center"/>
            </w:pPr>
            <w:r>
              <w:rPr>
                <w:rFonts w:ascii="微软雅黑" w:hAnsi="微软雅黑" w:eastAsia="微软雅黑"/>
                <w:b/>
                <w:color w:val="17365D"/>
                <w:sz w:val="18"/>
              </w:rPr>
              <w:t>主要任务</w:t>
            </w:r>
          </w:p>
        </w:tc>
        <w:tc>
          <w:tcPr>
            <w:tcW w:w="3860" w:type="dxa"/>
            <w:shd w:val="clear" w:color="auto" w:fill="F2F4F7"/>
            <w:tcMar>
              <w:top w:w="100" w:type="dxa"/>
              <w:left w:w="120" w:type="dxa"/>
              <w:bottom w:w="100" w:type="dxa"/>
              <w:right w:w="120" w:type="dxa"/>
            </w:tcMar>
            <w:vAlign w:val="center"/>
          </w:tcPr>
          <w:p w14:paraId="1E7BF546">
            <w:pPr>
              <w:spacing w:after="0"/>
              <w:jc w:val="center"/>
            </w:pPr>
            <w:r>
              <w:rPr>
                <w:rFonts w:ascii="微软雅黑" w:hAnsi="微软雅黑" w:eastAsia="微软雅黑"/>
                <w:b/>
                <w:color w:val="17365D"/>
                <w:sz w:val="18"/>
              </w:rPr>
              <w:t>使用界面/输出</w:t>
            </w:r>
          </w:p>
        </w:tc>
      </w:tr>
      <w:tr w14:paraId="40B4163D">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79C9AFC2">
            <w:pPr>
              <w:spacing w:before="0" w:after="0" w:line="259" w:lineRule="auto"/>
              <w:jc w:val="left"/>
            </w:pPr>
            <w:r>
              <w:rPr>
                <w:rFonts w:ascii="微软雅黑" w:hAnsi="微软雅黑" w:eastAsia="微软雅黑"/>
                <w:color w:val="20262E"/>
                <w:sz w:val="18"/>
              </w:rPr>
              <w:t>无人机巡检操作员</w:t>
            </w:r>
          </w:p>
        </w:tc>
        <w:tc>
          <w:tcPr>
            <w:tcW w:w="3600" w:type="dxa"/>
            <w:tcMar>
              <w:top w:w="100" w:type="dxa"/>
              <w:left w:w="120" w:type="dxa"/>
              <w:bottom w:w="100" w:type="dxa"/>
              <w:right w:w="120" w:type="dxa"/>
            </w:tcMar>
            <w:vAlign w:val="center"/>
          </w:tcPr>
          <w:p w14:paraId="733F21F9">
            <w:pPr>
              <w:spacing w:before="0" w:after="0" w:line="259" w:lineRule="auto"/>
              <w:jc w:val="left"/>
            </w:pPr>
            <w:r>
              <w:rPr>
                <w:rFonts w:ascii="微软雅黑" w:hAnsi="微软雅黑" w:eastAsia="微软雅黑"/>
                <w:color w:val="20262E"/>
                <w:sz w:val="18"/>
              </w:rPr>
              <w:t>创建任务、执行航线、上传任务包、接收复飞坐标</w:t>
            </w:r>
          </w:p>
        </w:tc>
        <w:tc>
          <w:tcPr>
            <w:tcW w:w="3860" w:type="dxa"/>
            <w:tcMar>
              <w:top w:w="100" w:type="dxa"/>
              <w:left w:w="120" w:type="dxa"/>
              <w:bottom w:w="100" w:type="dxa"/>
              <w:right w:w="120" w:type="dxa"/>
            </w:tcMar>
            <w:vAlign w:val="center"/>
          </w:tcPr>
          <w:p w14:paraId="55F9362A">
            <w:pPr>
              <w:spacing w:before="0" w:after="0" w:line="259" w:lineRule="auto"/>
              <w:jc w:val="left"/>
            </w:pPr>
            <w:r>
              <w:rPr>
                <w:rFonts w:ascii="微软雅黑" w:hAnsi="微软雅黑" w:eastAsia="微软雅黑"/>
                <w:color w:val="20262E"/>
                <w:sz w:val="18"/>
              </w:rPr>
              <w:t>任务创建、上传进度、航线地图、复飞清单</w:t>
            </w:r>
          </w:p>
        </w:tc>
      </w:tr>
      <w:tr w14:paraId="20BE5B1D">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227D83B2">
            <w:pPr>
              <w:spacing w:before="0" w:after="0" w:line="259" w:lineRule="auto"/>
              <w:jc w:val="left"/>
            </w:pPr>
            <w:r>
              <w:rPr>
                <w:rFonts w:ascii="微软雅黑" w:hAnsi="微软雅黑" w:eastAsia="微软雅黑"/>
                <w:color w:val="20262E"/>
                <w:sz w:val="18"/>
              </w:rPr>
              <w:t>电网/设施运维管理人员</w:t>
            </w:r>
          </w:p>
        </w:tc>
        <w:tc>
          <w:tcPr>
            <w:tcW w:w="3600" w:type="dxa"/>
            <w:tcMar>
              <w:top w:w="100" w:type="dxa"/>
              <w:left w:w="120" w:type="dxa"/>
              <w:bottom w:w="100" w:type="dxa"/>
              <w:right w:w="120" w:type="dxa"/>
            </w:tcMar>
            <w:vAlign w:val="center"/>
          </w:tcPr>
          <w:p w14:paraId="40F8C1C8">
            <w:pPr>
              <w:spacing w:before="0" w:after="0" w:line="259" w:lineRule="auto"/>
              <w:jc w:val="left"/>
            </w:pPr>
            <w:r>
              <w:rPr>
                <w:rFonts w:ascii="微软雅黑" w:hAnsi="微软雅黑" w:eastAsia="微软雅黑"/>
                <w:color w:val="20262E"/>
                <w:sz w:val="18"/>
              </w:rPr>
              <w:t>查看区域风险、安排人工复核、导出报告</w:t>
            </w:r>
          </w:p>
        </w:tc>
        <w:tc>
          <w:tcPr>
            <w:tcW w:w="3860" w:type="dxa"/>
            <w:tcMar>
              <w:top w:w="100" w:type="dxa"/>
              <w:left w:w="120" w:type="dxa"/>
              <w:bottom w:w="100" w:type="dxa"/>
              <w:right w:w="120" w:type="dxa"/>
            </w:tcMar>
            <w:vAlign w:val="center"/>
          </w:tcPr>
          <w:p w14:paraId="1279B4FE">
            <w:pPr>
              <w:spacing w:before="0" w:after="0" w:line="259" w:lineRule="auto"/>
              <w:jc w:val="left"/>
            </w:pPr>
            <w:r>
              <w:rPr>
                <w:rFonts w:ascii="微软雅黑" w:hAnsi="微软雅黑" w:eastAsia="微软雅黑"/>
                <w:color w:val="20262E"/>
                <w:sz w:val="18"/>
              </w:rPr>
              <w:t>风险地图、区域诊断、告警与报告</w:t>
            </w:r>
          </w:p>
        </w:tc>
      </w:tr>
      <w:tr w14:paraId="32187CE9">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79609833">
            <w:pPr>
              <w:spacing w:before="0" w:after="0" w:line="259" w:lineRule="auto"/>
              <w:jc w:val="left"/>
            </w:pPr>
            <w:r>
              <w:rPr>
                <w:rFonts w:ascii="微软雅黑" w:hAnsi="微软雅黑" w:eastAsia="微软雅黑"/>
                <w:color w:val="20262E"/>
                <w:sz w:val="18"/>
              </w:rPr>
              <w:t>算法与模型运维人员</w:t>
            </w:r>
          </w:p>
        </w:tc>
        <w:tc>
          <w:tcPr>
            <w:tcW w:w="3600" w:type="dxa"/>
            <w:tcMar>
              <w:top w:w="100" w:type="dxa"/>
              <w:left w:w="120" w:type="dxa"/>
              <w:bottom w:w="100" w:type="dxa"/>
              <w:right w:w="120" w:type="dxa"/>
            </w:tcMar>
            <w:vAlign w:val="center"/>
          </w:tcPr>
          <w:p w14:paraId="454F7B88">
            <w:pPr>
              <w:spacing w:before="0" w:after="0" w:line="259" w:lineRule="auto"/>
              <w:jc w:val="left"/>
            </w:pPr>
            <w:r>
              <w:rPr>
                <w:rFonts w:ascii="微软雅黑" w:hAnsi="微软雅黑" w:eastAsia="微软雅黑"/>
                <w:color w:val="20262E"/>
                <w:sz w:val="18"/>
              </w:rPr>
              <w:t>确认新类别、发起受控训练、评估候选模型、发布版本</w:t>
            </w:r>
          </w:p>
        </w:tc>
        <w:tc>
          <w:tcPr>
            <w:tcW w:w="3860" w:type="dxa"/>
            <w:tcMar>
              <w:top w:w="100" w:type="dxa"/>
              <w:left w:w="120" w:type="dxa"/>
              <w:bottom w:w="100" w:type="dxa"/>
              <w:right w:w="120" w:type="dxa"/>
            </w:tcMar>
            <w:vAlign w:val="center"/>
          </w:tcPr>
          <w:p w14:paraId="39968829">
            <w:pPr>
              <w:spacing w:before="0" w:after="0" w:line="259" w:lineRule="auto"/>
              <w:jc w:val="left"/>
            </w:pPr>
            <w:r>
              <w:rPr>
                <w:rFonts w:ascii="微软雅黑" w:hAnsi="微软雅黑" w:eastAsia="微软雅黑"/>
                <w:color w:val="20262E"/>
                <w:sz w:val="18"/>
              </w:rPr>
              <w:t>样本审核、模型对比、质量门槛、版本管理</w:t>
            </w:r>
          </w:p>
        </w:tc>
      </w:tr>
      <w:tr w14:paraId="0928EE75">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67D632C8">
            <w:pPr>
              <w:spacing w:before="0" w:after="0" w:line="259" w:lineRule="auto"/>
              <w:jc w:val="left"/>
            </w:pPr>
            <w:r>
              <w:rPr>
                <w:rFonts w:ascii="微软雅黑" w:hAnsi="微软雅黑" w:eastAsia="微软雅黑"/>
                <w:color w:val="20262E"/>
                <w:sz w:val="18"/>
              </w:rPr>
              <w:t>项目管理与决策人员</w:t>
            </w:r>
          </w:p>
        </w:tc>
        <w:tc>
          <w:tcPr>
            <w:tcW w:w="3600" w:type="dxa"/>
            <w:tcMar>
              <w:top w:w="100" w:type="dxa"/>
              <w:left w:w="120" w:type="dxa"/>
              <w:bottom w:w="100" w:type="dxa"/>
              <w:right w:w="120" w:type="dxa"/>
            </w:tcMar>
            <w:vAlign w:val="center"/>
          </w:tcPr>
          <w:p w14:paraId="335076A7">
            <w:pPr>
              <w:spacing w:before="0" w:after="0" w:line="259" w:lineRule="auto"/>
              <w:jc w:val="left"/>
            </w:pPr>
            <w:r>
              <w:rPr>
                <w:rFonts w:ascii="微软雅黑" w:hAnsi="微软雅黑" w:eastAsia="微软雅黑"/>
                <w:color w:val="20262E"/>
                <w:sz w:val="18"/>
              </w:rPr>
              <w:t>评估巡检覆盖、模型稳定性和资源投入</w:t>
            </w:r>
          </w:p>
        </w:tc>
        <w:tc>
          <w:tcPr>
            <w:tcW w:w="3860" w:type="dxa"/>
            <w:tcMar>
              <w:top w:w="100" w:type="dxa"/>
              <w:left w:w="120" w:type="dxa"/>
              <w:bottom w:w="100" w:type="dxa"/>
              <w:right w:w="120" w:type="dxa"/>
            </w:tcMar>
            <w:vAlign w:val="center"/>
          </w:tcPr>
          <w:p w14:paraId="76D6B14B">
            <w:pPr>
              <w:spacing w:before="0" w:after="0" w:line="259" w:lineRule="auto"/>
              <w:jc w:val="left"/>
            </w:pPr>
            <w:r>
              <w:rPr>
                <w:rFonts w:ascii="微软雅黑" w:hAnsi="微软雅黑" w:eastAsia="微软雅黑"/>
                <w:color w:val="20262E"/>
                <w:sz w:val="18"/>
              </w:rPr>
              <w:t>汇总看板、趋势指标、重点区域与处置闭环</w:t>
            </w:r>
          </w:p>
        </w:tc>
      </w:tr>
    </w:tbl>
    <w:p w14:paraId="788E9E3C">
      <w:pPr>
        <w:spacing w:after="40"/>
      </w:pPr>
    </w:p>
    <w:p w14:paraId="1828838A">
      <w:pPr>
        <w:spacing w:before="0" w:after="120" w:line="264" w:lineRule="auto"/>
        <w:jc w:val="both"/>
      </w:pPr>
      <w:r>
        <w:rPr>
          <w:rFonts w:ascii="微软雅黑" w:hAnsi="微软雅黑" w:eastAsia="微软雅黑"/>
          <w:color w:val="20262E"/>
          <w:sz w:val="21"/>
        </w:rPr>
        <w:t>当前网页主要承担竞赛原型展示和结果解释，还不是完整交付给一线操作员的生产系统。完整产品应当让上述不同角色通过权限分层使用同一后端，而不是让所有用户直接操作训练代码。</w:t>
      </w:r>
    </w:p>
    <w:p w14:paraId="0D65DAC9">
      <w:pPr>
        <w:pStyle w:val="3"/>
        <w:keepNext/>
        <w:keepLines/>
      </w:pPr>
      <w:r>
        <w:rPr>
          <w:rFonts w:ascii="微软雅黑" w:hAnsi="微软雅黑" w:eastAsia="微软雅黑"/>
          <w:color w:val="20262E"/>
        </w:rPr>
        <w:t>5. 场景原生痛点</w:t>
      </w:r>
    </w:p>
    <w:p w14:paraId="4EE04D15">
      <w:pPr>
        <w:pStyle w:val="4"/>
        <w:keepNext/>
        <w:keepLines/>
      </w:pPr>
      <w:r>
        <w:rPr>
          <w:rFonts w:ascii="微软雅黑" w:hAnsi="微软雅黑" w:eastAsia="微软雅黑"/>
          <w:color w:val="20262E"/>
        </w:rPr>
        <w:t>5.1 持续出现新类别</w:t>
      </w:r>
    </w:p>
    <w:p w14:paraId="7CEA1A2D">
      <w:pPr>
        <w:spacing w:before="0" w:after="120" w:line="264" w:lineRule="auto"/>
        <w:jc w:val="both"/>
      </w:pPr>
      <w:r>
        <w:rPr>
          <w:rFonts w:ascii="微软雅黑" w:hAnsi="微软雅黑" w:eastAsia="微软雅黑"/>
          <w:color w:val="20262E"/>
          <w:sz w:val="21"/>
        </w:rPr>
        <w:t>巡检对象和风险类型随时间变化，模型会依次遇到未见类别。每次汇总全部历史数据重新训练成本高、周期长，也不适合频繁更新。</w:t>
      </w:r>
    </w:p>
    <w:p w14:paraId="54ACD5DA">
      <w:pPr>
        <w:pStyle w:val="4"/>
        <w:keepNext/>
        <w:keepLines/>
      </w:pPr>
      <w:r>
        <w:rPr>
          <w:rFonts w:ascii="微软雅黑" w:hAnsi="微软雅黑" w:eastAsia="微软雅黑"/>
          <w:color w:val="20262E"/>
        </w:rPr>
        <w:t>5.2 不同位置分布不一致</w:t>
      </w:r>
    </w:p>
    <w:p w14:paraId="7A0F0251">
      <w:pPr>
        <w:spacing w:before="0" w:after="120" w:line="264" w:lineRule="auto"/>
        <w:jc w:val="both"/>
      </w:pPr>
      <w:r>
        <w:rPr>
          <w:rFonts w:ascii="微软雅黑" w:hAnsi="微软雅黑" w:eastAsia="微软雅黑"/>
          <w:color w:val="20262E"/>
          <w:sz w:val="21"/>
        </w:rPr>
        <w:t>山区、河谷、城区、光伏场站在光照、视角、背景和目标密度上差异明显，全局平均准确率可能掩盖某些区域已经失效。</w:t>
      </w:r>
    </w:p>
    <w:p w14:paraId="72AAD693">
      <w:pPr>
        <w:pStyle w:val="4"/>
        <w:keepNext/>
        <w:keepLines/>
      </w:pPr>
      <w:r>
        <w:rPr>
          <w:rFonts w:ascii="微软雅黑" w:hAnsi="微软雅黑" w:eastAsia="微软雅黑"/>
          <w:color w:val="20262E"/>
        </w:rPr>
        <w:t>5.3 定位质量与跨架次关联</w:t>
      </w:r>
    </w:p>
    <w:p w14:paraId="511BE9B8">
      <w:pPr>
        <w:spacing w:before="0" w:after="120" w:line="264" w:lineRule="auto"/>
        <w:jc w:val="both"/>
      </w:pPr>
      <w:r>
        <w:rPr>
          <w:rFonts w:ascii="微软雅黑" w:hAnsi="微软雅黑" w:eastAsia="微软雅黑"/>
          <w:color w:val="20262E"/>
          <w:sz w:val="21"/>
        </w:rPr>
        <w:t>北斗定位误差、遮挡和多路径效应会影响样本归属区域，也会影响后续能否回到同一地点复核。</w:t>
      </w:r>
    </w:p>
    <w:p w14:paraId="6FD8D606">
      <w:pPr>
        <w:pStyle w:val="4"/>
        <w:keepNext/>
        <w:keepLines/>
      </w:pPr>
      <w:r>
        <w:rPr>
          <w:rFonts w:ascii="微软雅黑" w:hAnsi="微软雅黑" w:eastAsia="微软雅黑"/>
          <w:color w:val="20262E"/>
        </w:rPr>
        <w:t>5.4 经验回放存在局部失效</w:t>
      </w:r>
    </w:p>
    <w:p w14:paraId="223FA75B">
      <w:pPr>
        <w:spacing w:before="0" w:after="120" w:line="264" w:lineRule="auto"/>
        <w:jc w:val="both"/>
      </w:pPr>
      <w:r>
        <w:rPr>
          <w:rFonts w:ascii="微软雅黑" w:hAnsi="微软雅黑" w:eastAsia="微软雅黑"/>
          <w:color w:val="20262E"/>
          <w:sz w:val="21"/>
        </w:rPr>
        <w:t>均匀保存历史样本不代表每个高风险区域都获得足够训练曝光，稀少但重要的区域更容易被遗忘。</w:t>
      </w:r>
    </w:p>
    <w:p w14:paraId="0F2A044C">
      <w:pPr>
        <w:pStyle w:val="4"/>
        <w:keepNext/>
        <w:keepLines/>
      </w:pPr>
      <w:r>
        <w:rPr>
          <w:rFonts w:ascii="微软雅黑" w:hAnsi="微软雅黑" w:eastAsia="微软雅黑"/>
          <w:color w:val="20262E"/>
        </w:rPr>
        <w:t>5.5 容易学习虚假关联</w:t>
      </w:r>
    </w:p>
    <w:p w14:paraId="047E8320">
      <w:pPr>
        <w:spacing w:before="0" w:after="120" w:line="264" w:lineRule="auto"/>
        <w:jc w:val="both"/>
      </w:pPr>
      <w:r>
        <w:rPr>
          <w:rFonts w:ascii="微软雅黑" w:hAnsi="微软雅黑" w:eastAsia="微软雅黑"/>
          <w:color w:val="20262E"/>
          <w:sz w:val="21"/>
        </w:rPr>
        <w:t>视角、光照、地貌和位置共现关系可能被模型当成类别依据，导致跨区域泛化下降。</w:t>
      </w:r>
    </w:p>
    <w:p w14:paraId="276F7325">
      <w:pPr>
        <w:pStyle w:val="4"/>
        <w:keepNext/>
        <w:keepLines/>
      </w:pPr>
      <w:r>
        <w:rPr>
          <w:rFonts w:ascii="微软雅黑" w:hAnsi="微软雅黑" w:eastAsia="微软雅黑"/>
          <w:color w:val="20262E"/>
        </w:rPr>
        <w:t>5.6 存储和训练预算有限</w:t>
      </w:r>
    </w:p>
    <w:p w14:paraId="2E46DA62">
      <w:pPr>
        <w:spacing w:before="0" w:after="120" w:line="264" w:lineRule="auto"/>
        <w:jc w:val="both"/>
      </w:pPr>
      <w:r>
        <w:rPr>
          <w:rFonts w:ascii="微软雅黑" w:hAnsi="微软雅黑" w:eastAsia="微软雅黑"/>
          <w:color w:val="20262E"/>
          <w:sz w:val="21"/>
        </w:rPr>
        <w:t>机载端与服务器维护都需要控制样本、特征、算力和更新时间，不能无限保存原图或无限扩充回放缓存。</w:t>
      </w:r>
    </w:p>
    <w:p w14:paraId="5D190154">
      <w:pPr>
        <w:pStyle w:val="3"/>
        <w:keepNext/>
        <w:keepLines/>
      </w:pPr>
      <w:r>
        <w:rPr>
          <w:rFonts w:ascii="微软雅黑" w:hAnsi="微软雅黑" w:eastAsia="微软雅黑"/>
          <w:color w:val="20262E"/>
        </w:rPr>
        <w:t>6. 数据从哪里来</w:t>
      </w:r>
    </w:p>
    <w:p w14:paraId="4FA70A18">
      <w:pPr>
        <w:pStyle w:val="4"/>
        <w:keepNext/>
        <w:keepLines/>
      </w:pPr>
      <w:r>
        <w:rPr>
          <w:rFonts w:ascii="微软雅黑" w:hAnsi="微软雅黑" w:eastAsia="微软雅黑"/>
          <w:color w:val="20262E"/>
        </w:rPr>
        <w:t>6.1 商业运行中的真实数据来源</w:t>
      </w:r>
    </w:p>
    <w:p w14:paraId="49CAD04F">
      <w:pPr>
        <w:spacing w:before="0" w:after="120" w:line="264" w:lineRule="auto"/>
        <w:jc w:val="both"/>
      </w:pPr>
      <w:r>
        <w:rPr>
          <w:rFonts w:ascii="微软雅黑" w:hAnsi="微软雅黑" w:eastAsia="微软雅黑"/>
          <w:color w:val="20262E"/>
          <w:sz w:val="21"/>
        </w:rPr>
        <w:t>未来商业系统的数据主要来自客户自己的无人机巡检任务，而不是让用户手工向分类模型输入经纬度。一次任务结束后，无人机或任务平台上传一个标准任务包，后端通过sample_id和timestamp把图像与北斗元数据关联。</w:t>
      </w:r>
    </w:p>
    <w:tbl>
      <w:tblPr>
        <w:tblStyle w:val="32"/>
        <w:tblW w:w="9360" w:type="dxa"/>
        <w:tblInd w:w="120" w:type="dxa"/>
        <w:tblLayout w:type="fixed"/>
        <w:tblCellMar>
          <w:top w:w="0" w:type="dxa"/>
          <w:left w:w="108" w:type="dxa"/>
          <w:bottom w:w="0" w:type="dxa"/>
          <w:right w:w="108" w:type="dxa"/>
        </w:tblCellMar>
      </w:tblPr>
      <w:tblGrid>
        <w:gridCol w:w="2200"/>
        <w:gridCol w:w="4400"/>
        <w:gridCol w:w="2760"/>
      </w:tblGrid>
      <w:tr w14:paraId="7E3C7852">
        <w:tblPrEx>
          <w:tblCellMar>
            <w:top w:w="0" w:type="dxa"/>
            <w:left w:w="108" w:type="dxa"/>
            <w:bottom w:w="0" w:type="dxa"/>
            <w:right w:w="108" w:type="dxa"/>
          </w:tblCellMar>
        </w:tblPrEx>
        <w:trPr>
          <w:cantSplit/>
          <w:tblHeader/>
        </w:trPr>
        <w:tc>
          <w:tcPr>
            <w:tcW w:w="2200" w:type="dxa"/>
            <w:shd w:val="clear" w:color="auto" w:fill="F2F4F7"/>
            <w:tcMar>
              <w:top w:w="100" w:type="dxa"/>
              <w:left w:w="120" w:type="dxa"/>
              <w:bottom w:w="100" w:type="dxa"/>
              <w:right w:w="120" w:type="dxa"/>
            </w:tcMar>
            <w:vAlign w:val="center"/>
          </w:tcPr>
          <w:p w14:paraId="17113716">
            <w:pPr>
              <w:spacing w:after="0"/>
              <w:jc w:val="center"/>
            </w:pPr>
            <w:r>
              <w:rPr>
                <w:rFonts w:ascii="微软雅黑" w:hAnsi="微软雅黑" w:eastAsia="微软雅黑"/>
                <w:b/>
                <w:color w:val="17365D"/>
                <w:sz w:val="18"/>
              </w:rPr>
              <w:t>字段</w:t>
            </w:r>
          </w:p>
        </w:tc>
        <w:tc>
          <w:tcPr>
            <w:tcW w:w="4400" w:type="dxa"/>
            <w:shd w:val="clear" w:color="auto" w:fill="F2F4F7"/>
            <w:tcMar>
              <w:top w:w="100" w:type="dxa"/>
              <w:left w:w="120" w:type="dxa"/>
              <w:bottom w:w="100" w:type="dxa"/>
              <w:right w:w="120" w:type="dxa"/>
            </w:tcMar>
            <w:vAlign w:val="center"/>
          </w:tcPr>
          <w:p w14:paraId="088ABAAA">
            <w:pPr>
              <w:spacing w:after="0"/>
              <w:jc w:val="center"/>
            </w:pPr>
            <w:r>
              <w:rPr>
                <w:rFonts w:ascii="微软雅黑" w:hAnsi="微软雅黑" w:eastAsia="微软雅黑"/>
                <w:b/>
                <w:color w:val="17365D"/>
                <w:sz w:val="18"/>
              </w:rPr>
              <w:t>含义</w:t>
            </w:r>
          </w:p>
        </w:tc>
        <w:tc>
          <w:tcPr>
            <w:tcW w:w="2760" w:type="dxa"/>
            <w:shd w:val="clear" w:color="auto" w:fill="F2F4F7"/>
            <w:tcMar>
              <w:top w:w="100" w:type="dxa"/>
              <w:left w:w="120" w:type="dxa"/>
              <w:bottom w:w="100" w:type="dxa"/>
              <w:right w:w="120" w:type="dxa"/>
            </w:tcMar>
            <w:vAlign w:val="center"/>
          </w:tcPr>
          <w:p w14:paraId="61AAA560">
            <w:pPr>
              <w:spacing w:after="0"/>
              <w:jc w:val="center"/>
            </w:pPr>
            <w:r>
              <w:rPr>
                <w:rFonts w:ascii="微软雅黑" w:hAnsi="微软雅黑" w:eastAsia="微软雅黑"/>
                <w:b/>
                <w:color w:val="17365D"/>
                <w:sz w:val="18"/>
              </w:rPr>
              <w:t>是否进入视觉分类网络</w:t>
            </w:r>
          </w:p>
        </w:tc>
      </w:tr>
      <w:tr w14:paraId="190EC331">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35C9F63A">
            <w:pPr>
              <w:spacing w:before="0" w:after="0" w:line="259" w:lineRule="auto"/>
              <w:jc w:val="left"/>
            </w:pPr>
            <w:r>
              <w:rPr>
                <w:rFonts w:ascii="微软雅黑" w:hAnsi="微软雅黑" w:eastAsia="微软雅黑"/>
                <w:color w:val="20262E"/>
                <w:sz w:val="18"/>
              </w:rPr>
              <w:t>mission_id / route_id</w:t>
            </w:r>
          </w:p>
        </w:tc>
        <w:tc>
          <w:tcPr>
            <w:tcW w:w="4400" w:type="dxa"/>
            <w:tcMar>
              <w:top w:w="100" w:type="dxa"/>
              <w:left w:w="120" w:type="dxa"/>
              <w:bottom w:w="100" w:type="dxa"/>
              <w:right w:w="120" w:type="dxa"/>
            </w:tcMar>
            <w:vAlign w:val="center"/>
          </w:tcPr>
          <w:p w14:paraId="61B5BA34">
            <w:pPr>
              <w:spacing w:before="0" w:after="0" w:line="259" w:lineRule="auto"/>
              <w:jc w:val="left"/>
            </w:pPr>
            <w:r>
              <w:rPr>
                <w:rFonts w:ascii="微软雅黑" w:hAnsi="微软雅黑" w:eastAsia="微软雅黑"/>
                <w:color w:val="20262E"/>
                <w:sz w:val="18"/>
              </w:rPr>
              <w:t>巡检任务和航线标识</w:t>
            </w:r>
          </w:p>
        </w:tc>
        <w:tc>
          <w:tcPr>
            <w:tcW w:w="2760" w:type="dxa"/>
            <w:tcMar>
              <w:top w:w="100" w:type="dxa"/>
              <w:left w:w="120" w:type="dxa"/>
              <w:bottom w:w="100" w:type="dxa"/>
              <w:right w:w="120" w:type="dxa"/>
            </w:tcMar>
            <w:vAlign w:val="center"/>
          </w:tcPr>
          <w:p w14:paraId="3719DBD4">
            <w:pPr>
              <w:spacing w:before="0" w:after="0" w:line="259" w:lineRule="auto"/>
              <w:jc w:val="left"/>
            </w:pPr>
            <w:r>
              <w:rPr>
                <w:rFonts w:ascii="微软雅黑" w:hAnsi="微软雅黑" w:eastAsia="微软雅黑"/>
                <w:color w:val="20262E"/>
                <w:sz w:val="18"/>
              </w:rPr>
              <w:t>否，用于任务管理与跨架次追踪</w:t>
            </w:r>
          </w:p>
        </w:tc>
      </w:tr>
      <w:tr w14:paraId="1DBB7905">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3ED8A899">
            <w:pPr>
              <w:spacing w:before="0" w:after="0" w:line="259" w:lineRule="auto"/>
              <w:jc w:val="left"/>
            </w:pPr>
            <w:r>
              <w:rPr>
                <w:rFonts w:ascii="微软雅黑" w:hAnsi="微软雅黑" w:eastAsia="微软雅黑"/>
                <w:color w:val="20262E"/>
                <w:sz w:val="18"/>
              </w:rPr>
              <w:t>image / video</w:t>
            </w:r>
          </w:p>
        </w:tc>
        <w:tc>
          <w:tcPr>
            <w:tcW w:w="4400" w:type="dxa"/>
            <w:tcMar>
              <w:top w:w="100" w:type="dxa"/>
              <w:left w:w="120" w:type="dxa"/>
              <w:bottom w:w="100" w:type="dxa"/>
              <w:right w:w="120" w:type="dxa"/>
            </w:tcMar>
            <w:vAlign w:val="center"/>
          </w:tcPr>
          <w:p w14:paraId="621712F3">
            <w:pPr>
              <w:spacing w:before="0" w:after="0" w:line="259" w:lineRule="auto"/>
              <w:jc w:val="left"/>
            </w:pPr>
            <w:r>
              <w:rPr>
                <w:rFonts w:ascii="微软雅黑" w:hAnsi="微软雅黑" w:eastAsia="微软雅黑"/>
                <w:color w:val="20262E"/>
                <w:sz w:val="18"/>
              </w:rPr>
              <w:t>相机采集的图像或视频帧</w:t>
            </w:r>
          </w:p>
        </w:tc>
        <w:tc>
          <w:tcPr>
            <w:tcW w:w="2760" w:type="dxa"/>
            <w:tcMar>
              <w:top w:w="100" w:type="dxa"/>
              <w:left w:w="120" w:type="dxa"/>
              <w:bottom w:w="100" w:type="dxa"/>
              <w:right w:w="120" w:type="dxa"/>
            </w:tcMar>
            <w:vAlign w:val="center"/>
          </w:tcPr>
          <w:p w14:paraId="632BE8FE">
            <w:pPr>
              <w:spacing w:before="0" w:after="0" w:line="259" w:lineRule="auto"/>
              <w:jc w:val="left"/>
            </w:pPr>
            <w:r>
              <w:rPr>
                <w:rFonts w:ascii="微软雅黑" w:hAnsi="微软雅黑" w:eastAsia="微软雅黑"/>
                <w:color w:val="20262E"/>
                <w:sz w:val="18"/>
              </w:rPr>
              <w:t>是，属于视觉识别输入</w:t>
            </w:r>
          </w:p>
        </w:tc>
      </w:tr>
      <w:tr w14:paraId="1ABA45A3">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0E7A3B4F">
            <w:pPr>
              <w:spacing w:before="0" w:after="0" w:line="259" w:lineRule="auto"/>
              <w:jc w:val="left"/>
            </w:pPr>
            <w:r>
              <w:rPr>
                <w:rFonts w:ascii="微软雅黑" w:hAnsi="微软雅黑" w:eastAsia="微软雅黑"/>
                <w:color w:val="20262E"/>
                <w:sz w:val="18"/>
              </w:rPr>
              <w:t>sample_id</w:t>
            </w:r>
          </w:p>
        </w:tc>
        <w:tc>
          <w:tcPr>
            <w:tcW w:w="4400" w:type="dxa"/>
            <w:tcMar>
              <w:top w:w="100" w:type="dxa"/>
              <w:left w:w="120" w:type="dxa"/>
              <w:bottom w:w="100" w:type="dxa"/>
              <w:right w:w="120" w:type="dxa"/>
            </w:tcMar>
            <w:vAlign w:val="center"/>
          </w:tcPr>
          <w:p w14:paraId="3648DA9B">
            <w:pPr>
              <w:spacing w:before="0" w:after="0" w:line="259" w:lineRule="auto"/>
              <w:jc w:val="left"/>
            </w:pPr>
            <w:r>
              <w:rPr>
                <w:rFonts w:ascii="微软雅黑" w:hAnsi="微软雅黑" w:eastAsia="微软雅黑"/>
                <w:color w:val="20262E"/>
                <w:sz w:val="18"/>
              </w:rPr>
              <w:t>样本唯一编号</w:t>
            </w:r>
          </w:p>
        </w:tc>
        <w:tc>
          <w:tcPr>
            <w:tcW w:w="2760" w:type="dxa"/>
            <w:tcMar>
              <w:top w:w="100" w:type="dxa"/>
              <w:left w:w="120" w:type="dxa"/>
              <w:bottom w:w="100" w:type="dxa"/>
              <w:right w:w="120" w:type="dxa"/>
            </w:tcMar>
            <w:vAlign w:val="center"/>
          </w:tcPr>
          <w:p w14:paraId="69628DA0">
            <w:pPr>
              <w:spacing w:before="0" w:after="0" w:line="259" w:lineRule="auto"/>
              <w:jc w:val="left"/>
            </w:pPr>
            <w:r>
              <w:rPr>
                <w:rFonts w:ascii="微软雅黑" w:hAnsi="微软雅黑" w:eastAsia="微软雅黑"/>
                <w:color w:val="20262E"/>
                <w:sz w:val="18"/>
              </w:rPr>
              <w:t>否，用于数据关联和审计</w:t>
            </w:r>
          </w:p>
        </w:tc>
      </w:tr>
      <w:tr w14:paraId="1D2C32A6">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215F570E">
            <w:pPr>
              <w:spacing w:before="0" w:after="0" w:line="259" w:lineRule="auto"/>
              <w:jc w:val="left"/>
            </w:pPr>
            <w:r>
              <w:rPr>
                <w:rFonts w:ascii="微软雅黑" w:hAnsi="微软雅黑" w:eastAsia="微软雅黑"/>
                <w:color w:val="20262E"/>
                <w:sz w:val="18"/>
              </w:rPr>
              <w:t>timestamp</w:t>
            </w:r>
          </w:p>
        </w:tc>
        <w:tc>
          <w:tcPr>
            <w:tcW w:w="4400" w:type="dxa"/>
            <w:tcMar>
              <w:top w:w="100" w:type="dxa"/>
              <w:left w:w="120" w:type="dxa"/>
              <w:bottom w:w="100" w:type="dxa"/>
              <w:right w:w="120" w:type="dxa"/>
            </w:tcMar>
            <w:vAlign w:val="center"/>
          </w:tcPr>
          <w:p w14:paraId="05041E5D">
            <w:pPr>
              <w:spacing w:before="0" w:after="0" w:line="259" w:lineRule="auto"/>
              <w:jc w:val="left"/>
            </w:pPr>
            <w:r>
              <w:rPr>
                <w:rFonts w:ascii="微软雅黑" w:hAnsi="微软雅黑" w:eastAsia="微软雅黑"/>
                <w:color w:val="20262E"/>
                <w:sz w:val="18"/>
              </w:rPr>
              <w:t>采集时间</w:t>
            </w:r>
          </w:p>
        </w:tc>
        <w:tc>
          <w:tcPr>
            <w:tcW w:w="2760" w:type="dxa"/>
            <w:tcMar>
              <w:top w:w="100" w:type="dxa"/>
              <w:left w:w="120" w:type="dxa"/>
              <w:bottom w:w="100" w:type="dxa"/>
              <w:right w:w="120" w:type="dxa"/>
            </w:tcMar>
            <w:vAlign w:val="center"/>
          </w:tcPr>
          <w:p w14:paraId="102454C0">
            <w:pPr>
              <w:spacing w:before="0" w:after="0" w:line="259" w:lineRule="auto"/>
              <w:jc w:val="left"/>
            </w:pPr>
            <w:r>
              <w:rPr>
                <w:rFonts w:ascii="微软雅黑" w:hAnsi="微软雅黑" w:eastAsia="微软雅黑"/>
                <w:color w:val="20262E"/>
                <w:sz w:val="18"/>
              </w:rPr>
              <w:t>否，用于时序关联与版本分析</w:t>
            </w:r>
          </w:p>
        </w:tc>
      </w:tr>
      <w:tr w14:paraId="1C19798E">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25B909C3">
            <w:pPr>
              <w:spacing w:before="0" w:after="0" w:line="259" w:lineRule="auto"/>
              <w:jc w:val="left"/>
            </w:pPr>
            <w:r>
              <w:rPr>
                <w:rFonts w:ascii="微软雅黑" w:hAnsi="微软雅黑" w:eastAsia="微软雅黑"/>
                <w:color w:val="20262E"/>
                <w:sz w:val="18"/>
              </w:rPr>
              <w:t>latitude / longitude</w:t>
            </w:r>
          </w:p>
        </w:tc>
        <w:tc>
          <w:tcPr>
            <w:tcW w:w="4400" w:type="dxa"/>
            <w:tcMar>
              <w:top w:w="100" w:type="dxa"/>
              <w:left w:w="120" w:type="dxa"/>
              <w:bottom w:w="100" w:type="dxa"/>
              <w:right w:w="120" w:type="dxa"/>
            </w:tcMar>
            <w:vAlign w:val="center"/>
          </w:tcPr>
          <w:p w14:paraId="391FD97B">
            <w:pPr>
              <w:spacing w:before="0" w:after="0" w:line="259" w:lineRule="auto"/>
              <w:jc w:val="left"/>
            </w:pPr>
            <w:r>
              <w:rPr>
                <w:rFonts w:ascii="微软雅黑" w:hAnsi="微软雅黑" w:eastAsia="微软雅黑"/>
                <w:color w:val="20262E"/>
                <w:sz w:val="18"/>
              </w:rPr>
              <w:t>北斗经纬度</w:t>
            </w:r>
          </w:p>
        </w:tc>
        <w:tc>
          <w:tcPr>
            <w:tcW w:w="2760" w:type="dxa"/>
            <w:tcMar>
              <w:top w:w="100" w:type="dxa"/>
              <w:left w:w="120" w:type="dxa"/>
              <w:bottom w:w="100" w:type="dxa"/>
              <w:right w:w="120" w:type="dxa"/>
            </w:tcMar>
            <w:vAlign w:val="center"/>
          </w:tcPr>
          <w:p w14:paraId="36437574">
            <w:pPr>
              <w:spacing w:before="0" w:after="0" w:line="259" w:lineRule="auto"/>
              <w:jc w:val="left"/>
            </w:pPr>
            <w:r>
              <w:rPr>
                <w:rFonts w:ascii="微软雅黑" w:hAnsi="微软雅黑" w:eastAsia="微软雅黑"/>
                <w:color w:val="20262E"/>
                <w:sz w:val="18"/>
              </w:rPr>
              <w:t>暂不直接输入分类器，用于时空索引和区域诊断</w:t>
            </w:r>
          </w:p>
        </w:tc>
      </w:tr>
      <w:tr w14:paraId="71381FA6">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5EA51922">
            <w:pPr>
              <w:spacing w:before="0" w:after="0" w:line="259" w:lineRule="auto"/>
              <w:jc w:val="left"/>
            </w:pPr>
            <w:r>
              <w:rPr>
                <w:rFonts w:ascii="微软雅黑" w:hAnsi="微软雅黑" w:eastAsia="微软雅黑"/>
                <w:color w:val="20262E"/>
                <w:sz w:val="18"/>
              </w:rPr>
              <w:t>altitude</w:t>
            </w:r>
          </w:p>
        </w:tc>
        <w:tc>
          <w:tcPr>
            <w:tcW w:w="4400" w:type="dxa"/>
            <w:tcMar>
              <w:top w:w="100" w:type="dxa"/>
              <w:left w:w="120" w:type="dxa"/>
              <w:bottom w:w="100" w:type="dxa"/>
              <w:right w:w="120" w:type="dxa"/>
            </w:tcMar>
            <w:vAlign w:val="center"/>
          </w:tcPr>
          <w:p w14:paraId="3CF35530">
            <w:pPr>
              <w:spacing w:before="0" w:after="0" w:line="259" w:lineRule="auto"/>
              <w:jc w:val="left"/>
            </w:pPr>
            <w:r>
              <w:rPr>
                <w:rFonts w:ascii="微软雅黑" w:hAnsi="微软雅黑" w:eastAsia="微软雅黑"/>
                <w:color w:val="20262E"/>
                <w:sz w:val="18"/>
              </w:rPr>
              <w:t>飞行高度</w:t>
            </w:r>
          </w:p>
        </w:tc>
        <w:tc>
          <w:tcPr>
            <w:tcW w:w="2760" w:type="dxa"/>
            <w:tcMar>
              <w:top w:w="100" w:type="dxa"/>
              <w:left w:w="120" w:type="dxa"/>
              <w:bottom w:w="100" w:type="dxa"/>
              <w:right w:w="120" w:type="dxa"/>
            </w:tcMar>
            <w:vAlign w:val="center"/>
          </w:tcPr>
          <w:p w14:paraId="4AFC9274">
            <w:pPr>
              <w:spacing w:before="0" w:after="0" w:line="259" w:lineRule="auto"/>
              <w:jc w:val="left"/>
            </w:pPr>
            <w:r>
              <w:rPr>
                <w:rFonts w:ascii="微软雅黑" w:hAnsi="微软雅黑" w:eastAsia="微软雅黑"/>
                <w:color w:val="20262E"/>
                <w:sz w:val="18"/>
              </w:rPr>
              <w:t>可作为诊断元数据，当前不作为核心分类输入</w:t>
            </w:r>
          </w:p>
        </w:tc>
      </w:tr>
      <w:tr w14:paraId="0301B9C2">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776CC8A5">
            <w:pPr>
              <w:spacing w:before="0" w:after="0" w:line="259" w:lineRule="auto"/>
              <w:jc w:val="left"/>
            </w:pPr>
            <w:r>
              <w:rPr>
                <w:rFonts w:ascii="微软雅黑" w:hAnsi="微软雅黑" w:eastAsia="微软雅黑"/>
                <w:color w:val="20262E"/>
                <w:sz w:val="18"/>
              </w:rPr>
              <w:t>position_quality</w:t>
            </w:r>
          </w:p>
        </w:tc>
        <w:tc>
          <w:tcPr>
            <w:tcW w:w="4400" w:type="dxa"/>
            <w:tcMar>
              <w:top w:w="100" w:type="dxa"/>
              <w:left w:w="120" w:type="dxa"/>
              <w:bottom w:w="100" w:type="dxa"/>
              <w:right w:w="120" w:type="dxa"/>
            </w:tcMar>
            <w:vAlign w:val="center"/>
          </w:tcPr>
          <w:p w14:paraId="7F6A4B26">
            <w:pPr>
              <w:spacing w:before="0" w:after="0" w:line="259" w:lineRule="auto"/>
              <w:jc w:val="left"/>
            </w:pPr>
            <w:r>
              <w:rPr>
                <w:rFonts w:ascii="微软雅黑" w:hAnsi="微软雅黑" w:eastAsia="微软雅黑"/>
                <w:color w:val="20262E"/>
                <w:sz w:val="18"/>
              </w:rPr>
              <w:t>定位质量或误差估计</w:t>
            </w:r>
          </w:p>
        </w:tc>
        <w:tc>
          <w:tcPr>
            <w:tcW w:w="2760" w:type="dxa"/>
            <w:tcMar>
              <w:top w:w="100" w:type="dxa"/>
              <w:left w:w="120" w:type="dxa"/>
              <w:bottom w:w="100" w:type="dxa"/>
              <w:right w:w="120" w:type="dxa"/>
            </w:tcMar>
            <w:vAlign w:val="center"/>
          </w:tcPr>
          <w:p w14:paraId="28F5BE8F">
            <w:pPr>
              <w:spacing w:before="0" w:after="0" w:line="259" w:lineRule="auto"/>
              <w:jc w:val="left"/>
            </w:pPr>
            <w:r>
              <w:rPr>
                <w:rFonts w:ascii="微软雅黑" w:hAnsi="微软雅黑" w:eastAsia="微软雅黑"/>
                <w:color w:val="20262E"/>
                <w:sz w:val="18"/>
              </w:rPr>
              <w:t>否，用于过滤、风险解释和复飞可信度</w:t>
            </w:r>
          </w:p>
        </w:tc>
      </w:tr>
      <w:tr w14:paraId="75E6E329">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3BA1DF8D">
            <w:pPr>
              <w:spacing w:before="0" w:after="0" w:line="259" w:lineRule="auto"/>
              <w:jc w:val="left"/>
            </w:pPr>
            <w:r>
              <w:rPr>
                <w:rFonts w:ascii="微软雅黑" w:hAnsi="微软雅黑" w:eastAsia="微软雅黑"/>
                <w:color w:val="20262E"/>
                <w:sz w:val="18"/>
              </w:rPr>
              <w:t>human_label</w:t>
            </w:r>
          </w:p>
        </w:tc>
        <w:tc>
          <w:tcPr>
            <w:tcW w:w="4400" w:type="dxa"/>
            <w:tcMar>
              <w:top w:w="100" w:type="dxa"/>
              <w:left w:w="120" w:type="dxa"/>
              <w:bottom w:w="100" w:type="dxa"/>
              <w:right w:w="120" w:type="dxa"/>
            </w:tcMar>
            <w:vAlign w:val="center"/>
          </w:tcPr>
          <w:p w14:paraId="5253DA19">
            <w:pPr>
              <w:spacing w:before="0" w:after="0" w:line="259" w:lineRule="auto"/>
              <w:jc w:val="left"/>
            </w:pPr>
            <w:r>
              <w:rPr>
                <w:rFonts w:ascii="微软雅黑" w:hAnsi="微软雅黑" w:eastAsia="微软雅黑"/>
                <w:color w:val="20262E"/>
                <w:sz w:val="18"/>
              </w:rPr>
              <w:t>可选人工确认标签</w:t>
            </w:r>
          </w:p>
        </w:tc>
        <w:tc>
          <w:tcPr>
            <w:tcW w:w="2760" w:type="dxa"/>
            <w:tcMar>
              <w:top w:w="100" w:type="dxa"/>
              <w:left w:w="120" w:type="dxa"/>
              <w:bottom w:w="100" w:type="dxa"/>
              <w:right w:w="120" w:type="dxa"/>
            </w:tcMar>
            <w:vAlign w:val="center"/>
          </w:tcPr>
          <w:p w14:paraId="4380B7D5">
            <w:pPr>
              <w:spacing w:before="0" w:after="0" w:line="259" w:lineRule="auto"/>
              <w:jc w:val="left"/>
            </w:pPr>
            <w:r>
              <w:rPr>
                <w:rFonts w:ascii="微软雅黑" w:hAnsi="微软雅黑" w:eastAsia="微软雅黑"/>
                <w:color w:val="20262E"/>
                <w:sz w:val="18"/>
              </w:rPr>
              <w:t>用于训练与评测，但需要审核</w:t>
            </w:r>
          </w:p>
        </w:tc>
      </w:tr>
    </w:tbl>
    <w:p w14:paraId="095F4ED8">
      <w:pPr>
        <w:spacing w:after="40"/>
      </w:pPr>
    </w:p>
    <w:p w14:paraId="491FDAF0">
      <w:pPr>
        <w:pStyle w:val="4"/>
        <w:keepNext/>
        <w:keepLines/>
      </w:pPr>
      <w:r>
        <w:rPr>
          <w:rFonts w:ascii="微软雅黑" w:hAnsi="微软雅黑" w:eastAsia="微软雅黑"/>
          <w:color w:val="20262E"/>
        </w:rPr>
        <w:t>6.2 当前比赛仿真数据来源</w:t>
      </w:r>
    </w:p>
    <w:p w14:paraId="1C398EA3">
      <w:pPr>
        <w:spacing w:before="0" w:after="120" w:line="264" w:lineRule="auto"/>
        <w:jc w:val="both"/>
      </w:pPr>
      <w:r>
        <w:rPr>
          <w:rFonts w:ascii="微软雅黑" w:hAnsi="微软雅黑" w:eastAsia="微软雅黑"/>
          <w:color w:val="20262E"/>
          <w:sz w:val="21"/>
        </w:rPr>
        <w:t>当前阶段使用公开VisDrone航拍目标检测数据，将目标框裁剪为分类样本，按新类别出现顺序构建5个类别增量任务；再为样本生成虚拟巡检顺序、WGS84坐标、8个地理区域和高斯定位扰动，从而低成本复现“无人机沿航线持续采集—不同区域表现不同—新类别陆续出现”的业务结构。</w:t>
      </w:r>
    </w:p>
    <w:tbl>
      <w:tblPr>
        <w:tblStyle w:val="32"/>
        <w:tblW w:w="9360" w:type="dxa"/>
        <w:tblInd w:w="120" w:type="dxa"/>
        <w:tblLayout w:type="fixed"/>
        <w:tblCellMar>
          <w:top w:w="0" w:type="dxa"/>
          <w:left w:w="108" w:type="dxa"/>
          <w:bottom w:w="0" w:type="dxa"/>
          <w:right w:w="108" w:type="dxa"/>
        </w:tblCellMar>
      </w:tblPr>
      <w:tblGrid>
        <w:gridCol w:w="9360"/>
      </w:tblGrid>
      <w:tr w14:paraId="597E8F63">
        <w:tblPrEx>
          <w:tblCellMar>
            <w:top w:w="0" w:type="dxa"/>
            <w:left w:w="108" w:type="dxa"/>
            <w:bottom w:w="0" w:type="dxa"/>
            <w:right w:w="108" w:type="dxa"/>
          </w:tblCellMar>
        </w:tblPrEx>
        <w:trPr>
          <w:cantSplit/>
        </w:trPr>
        <w:tc>
          <w:tcPr>
            <w:tcW w:w="9360" w:type="dxa"/>
            <w:shd w:val="clear" w:color="auto" w:fill="FDECEC"/>
            <w:tcMar>
              <w:top w:w="100" w:type="dxa"/>
              <w:left w:w="120" w:type="dxa"/>
              <w:bottom w:w="100" w:type="dxa"/>
              <w:right w:w="120" w:type="dxa"/>
            </w:tcMar>
            <w:vAlign w:val="center"/>
          </w:tcPr>
          <w:p w14:paraId="0FA64A7E">
            <w:pPr>
              <w:spacing w:before="40" w:after="40" w:line="269" w:lineRule="auto"/>
            </w:pPr>
            <w:r>
              <w:rPr>
                <w:rFonts w:ascii="微软雅黑" w:hAnsi="微软雅黑" w:eastAsia="微软雅黑"/>
                <w:b/>
                <w:color w:val="9B1C1C"/>
                <w:sz w:val="21"/>
              </w:rPr>
              <w:t xml:space="preserve">合规表述  </w:t>
            </w:r>
            <w:r>
              <w:rPr>
                <w:rFonts w:ascii="微软雅黑" w:hAnsi="微软雅黑" w:eastAsia="微软雅黑"/>
                <w:color w:val="20262E"/>
                <w:sz w:val="21"/>
              </w:rPr>
              <w:t>公开数据是真实图像数据；经纬度、航线、定位噪声和业务区域是仿真构造。可以称为“北斗无人机巡检仿真验证”，不能称为“真实北斗外业实测”。</w:t>
            </w:r>
          </w:p>
        </w:tc>
      </w:tr>
    </w:tbl>
    <w:p w14:paraId="43ED974D">
      <w:pPr>
        <w:spacing w:after="40"/>
      </w:pPr>
    </w:p>
    <w:p w14:paraId="3C066CA4">
      <w:pPr>
        <w:pStyle w:val="3"/>
        <w:keepNext/>
        <w:keepLines/>
      </w:pPr>
      <w:r>
        <w:rPr>
          <w:rFonts w:ascii="微软雅黑" w:hAnsi="微软雅黑" w:eastAsia="微软雅黑"/>
          <w:color w:val="20262E"/>
        </w:rPr>
        <w:t>7. 完整端到端流程</w:t>
      </w:r>
    </w:p>
    <w:p w14:paraId="576B8BE9">
      <w:pPr>
        <w:keepNext/>
        <w:keepLines/>
        <w:spacing w:before="80" w:after="80"/>
        <w:jc w:val="center"/>
      </w:pPr>
      <w:r>
        <w:drawing>
          <wp:inline distT="0" distB="0" distL="114300" distR="114300">
            <wp:extent cx="5715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3429000"/>
                    </a:xfrm>
                    <a:prstGeom prst="rect">
                      <a:avLst/>
                    </a:prstGeom>
                  </pic:spPr>
                </pic:pic>
              </a:graphicData>
            </a:graphic>
          </wp:inline>
        </w:drawing>
      </w:r>
    </w:p>
    <w:p w14:paraId="79395B20">
      <w:pPr>
        <w:spacing w:before="0" w:after="160"/>
        <w:jc w:val="center"/>
      </w:pPr>
      <w:r>
        <w:rPr>
          <w:rFonts w:ascii="微软雅黑" w:hAnsi="微软雅黑" w:eastAsia="微软雅黑"/>
          <w:color w:val="667085"/>
          <w:sz w:val="17"/>
        </w:rPr>
        <w:t>图1  北斗时空信息与视觉识别采用双路协同，而非把经纬度强行输入分类器</w:t>
      </w:r>
    </w:p>
    <w:p w14:paraId="0E63BDA8">
      <w:pPr>
        <w:spacing w:before="0" w:after="120" w:line="264" w:lineRule="auto"/>
        <w:jc w:val="both"/>
      </w:pPr>
      <w:r>
        <w:rPr>
          <w:rFonts w:ascii="微软雅黑" w:hAnsi="微软雅黑" w:eastAsia="微软雅黑"/>
          <w:color w:val="20262E"/>
          <w:sz w:val="21"/>
        </w:rPr>
        <w:t>完整系统不是一个单页面，也不是一个训练脚本，而是从任务创建、数据采集、识别诊断到模型更新和复飞处置的完整链路。前端是用户入口，业务后端负责数据与任务编排，算法后端负责推理、持续学习和质量评估。</w:t>
      </w:r>
    </w:p>
    <w:p w14:paraId="5CF004E4">
      <w:pPr>
        <w:numPr>
          <w:ilvl w:val="0"/>
          <w:numId w:val="8"/>
        </w:numPr>
        <w:spacing w:after="160" w:line="280" w:lineRule="auto"/>
      </w:pPr>
      <w:r>
        <w:rPr>
          <w:rFonts w:ascii="微软雅黑" w:hAnsi="微软雅黑" w:eastAsia="微软雅黑"/>
          <w:color w:val="20262E"/>
          <w:sz w:val="21"/>
        </w:rPr>
        <w:t>运维人员在平台创建巡检任务，设置区域、航线、目标类型和任务时间。</w:t>
      </w:r>
    </w:p>
    <w:p w14:paraId="4F3DF713">
      <w:pPr>
        <w:numPr>
          <w:ilvl w:val="0"/>
          <w:numId w:val="8"/>
        </w:numPr>
        <w:spacing w:after="160" w:line="280" w:lineRule="auto"/>
      </w:pPr>
      <w:r>
        <w:rPr>
          <w:rFonts w:ascii="微软雅黑" w:hAnsi="微软雅黑" w:eastAsia="微软雅黑"/>
          <w:color w:val="20262E"/>
          <w:sz w:val="21"/>
        </w:rPr>
        <w:t>搭载北斗模块的无人机沿预定航线飞行，采集图像、时间、坐标、高度和定位质量。</w:t>
      </w:r>
    </w:p>
    <w:p w14:paraId="5DE7444C">
      <w:pPr>
        <w:numPr>
          <w:ilvl w:val="0"/>
          <w:numId w:val="8"/>
        </w:numPr>
        <w:spacing w:after="160" w:line="280" w:lineRule="auto"/>
      </w:pPr>
      <w:r>
        <w:rPr>
          <w:rFonts w:ascii="微软雅黑" w:hAnsi="微软雅黑" w:eastAsia="微软雅黑"/>
          <w:color w:val="20262E"/>
          <w:sz w:val="21"/>
        </w:rPr>
        <w:t>任务包上传后，业务后端校验字段完整性，并依据sample_id和timestamp完成图像与时空元数据关联。</w:t>
      </w:r>
    </w:p>
    <w:p w14:paraId="31EEEA55">
      <w:pPr>
        <w:numPr>
          <w:ilvl w:val="0"/>
          <w:numId w:val="8"/>
        </w:numPr>
        <w:spacing w:after="160" w:line="280" w:lineRule="auto"/>
      </w:pPr>
      <w:r>
        <w:rPr>
          <w:rFonts w:ascii="微软雅黑" w:hAnsi="微软雅黑" w:eastAsia="微软雅黑"/>
          <w:color w:val="20262E"/>
          <w:sz w:val="21"/>
        </w:rPr>
        <w:t>时空索引模块将样本分配到地理网格或业务区域，保留跨架次可追踪的位置身份。</w:t>
      </w:r>
    </w:p>
    <w:p w14:paraId="7EF4B3E4">
      <w:pPr>
        <w:numPr>
          <w:ilvl w:val="0"/>
          <w:numId w:val="8"/>
        </w:numPr>
        <w:spacing w:after="160" w:line="280" w:lineRule="auto"/>
      </w:pPr>
      <w:r>
        <w:rPr>
          <w:rFonts w:ascii="微软雅黑" w:hAnsi="微软雅黑" w:eastAsia="微软雅黑"/>
          <w:color w:val="20262E"/>
          <w:sz w:val="21"/>
        </w:rPr>
        <w:t>当前模型对图像执行识别，输出类别、置信度和必要的公开诊断字段。</w:t>
      </w:r>
    </w:p>
    <w:p w14:paraId="4FFC9E35">
      <w:pPr>
        <w:numPr>
          <w:ilvl w:val="0"/>
          <w:numId w:val="8"/>
        </w:numPr>
        <w:spacing w:after="160" w:line="280" w:lineRule="auto"/>
      </w:pPr>
      <w:r>
        <w:rPr>
          <w:rFonts w:ascii="微软雅黑" w:hAnsi="微软雅黑" w:eastAsia="微软雅黑"/>
          <w:color w:val="20262E"/>
          <w:sz w:val="21"/>
        </w:rPr>
        <w:t>诊断模块按区域计算识别率、遗忘率、定位误差、样本量和模型不稳定性。</w:t>
      </w:r>
    </w:p>
    <w:p w14:paraId="338E2A32">
      <w:pPr>
        <w:numPr>
          <w:ilvl w:val="0"/>
          <w:numId w:val="8"/>
        </w:numPr>
        <w:spacing w:after="160" w:line="280" w:lineRule="auto"/>
      </w:pPr>
      <w:r>
        <w:rPr>
          <w:rFonts w:ascii="微软雅黑" w:hAnsi="微软雅黑" w:eastAsia="微软雅黑"/>
          <w:color w:val="20262E"/>
          <w:sz w:val="21"/>
        </w:rPr>
        <w:t>风险模块把模型不稳定性与区域业务后果结合，在固定总预算下给出优先级和资源建议。</w:t>
      </w:r>
    </w:p>
    <w:p w14:paraId="67E50565">
      <w:pPr>
        <w:numPr>
          <w:ilvl w:val="0"/>
          <w:numId w:val="8"/>
        </w:numPr>
        <w:spacing w:after="160" w:line="280" w:lineRule="auto"/>
      </w:pPr>
      <w:r>
        <w:rPr>
          <w:rFonts w:ascii="微软雅黑" w:hAnsi="微软雅黑" w:eastAsia="微软雅黑"/>
          <w:color w:val="20262E"/>
          <w:sz w:val="21"/>
        </w:rPr>
        <w:t>系统生成复飞坐标、补采清单和人工复核任务，并在前端形成可解释报告。</w:t>
      </w:r>
    </w:p>
    <w:p w14:paraId="5F7A013D">
      <w:pPr>
        <w:numPr>
          <w:ilvl w:val="0"/>
          <w:numId w:val="8"/>
        </w:numPr>
        <w:spacing w:after="160" w:line="280" w:lineRule="auto"/>
      </w:pPr>
      <w:r>
        <w:rPr>
          <w:rFonts w:ascii="微软雅黑" w:hAnsi="微软雅黑" w:eastAsia="微软雅黑"/>
          <w:color w:val="20262E"/>
          <w:sz w:val="21"/>
        </w:rPr>
        <w:t>经过人工确认的新类别进入受控模型更新闭环，候选模型通过门槛后再发布。</w:t>
      </w:r>
    </w:p>
    <w:p w14:paraId="11B0195C">
      <w:pPr>
        <w:pStyle w:val="3"/>
        <w:keepNext/>
        <w:keepLines/>
      </w:pPr>
      <w:r>
        <w:rPr>
          <w:rFonts w:ascii="微软雅黑" w:hAnsi="微软雅黑" w:eastAsia="微软雅黑"/>
          <w:color w:val="20262E"/>
        </w:rPr>
        <w:t>8. 两个闭环必须分开理解</w:t>
      </w:r>
    </w:p>
    <w:p w14:paraId="441357BE">
      <w:pPr>
        <w:keepNext/>
        <w:keepLines/>
        <w:spacing w:before="80" w:after="80"/>
        <w:jc w:val="center"/>
      </w:pPr>
      <w:r>
        <w:drawing>
          <wp:inline distT="0" distB="0" distL="114300" distR="114300">
            <wp:extent cx="5715000"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581400"/>
                    </a:xfrm>
                    <a:prstGeom prst="rect">
                      <a:avLst/>
                    </a:prstGeom>
                  </pic:spPr>
                </pic:pic>
              </a:graphicData>
            </a:graphic>
          </wp:inline>
        </w:drawing>
      </w:r>
    </w:p>
    <w:p w14:paraId="5186F30D">
      <w:pPr>
        <w:spacing w:before="0" w:after="160"/>
        <w:jc w:val="center"/>
      </w:pPr>
      <w:r>
        <w:rPr>
          <w:rFonts w:ascii="微软雅黑" w:hAnsi="微软雅黑" w:eastAsia="微软雅黑"/>
          <w:color w:val="667085"/>
          <w:sz w:val="17"/>
        </w:rPr>
        <w:t>图2  日常巡检闭环负责业务运行，模型更新闭环负责受控学习</w:t>
      </w:r>
    </w:p>
    <w:p w14:paraId="1F7903FA">
      <w:pPr>
        <w:pStyle w:val="4"/>
        <w:keepNext/>
        <w:keepLines/>
      </w:pPr>
      <w:r>
        <w:rPr>
          <w:rFonts w:ascii="微软雅黑" w:hAnsi="微软雅黑" w:eastAsia="微软雅黑"/>
          <w:color w:val="20262E"/>
        </w:rPr>
        <w:t>8.1 日常巡检闭环</w:t>
      </w:r>
    </w:p>
    <w:p w14:paraId="2BF9CAF1">
      <w:pPr>
        <w:spacing w:before="0" w:after="120" w:line="264" w:lineRule="auto"/>
        <w:jc w:val="both"/>
      </w:pPr>
      <w:r>
        <w:rPr>
          <w:rFonts w:ascii="微软雅黑" w:hAnsi="微软雅黑" w:eastAsia="微软雅黑"/>
          <w:color w:val="20262E"/>
          <w:sz w:val="21"/>
        </w:rPr>
        <w:t>日常巡检的目标是及时完成识别、定位和处置。用户上传一次任务数据后，系统首先执行数据校验、推理和区域诊断，而不是立即启动模型训练。这样可以避免未经确认的新样本污染模型，也便于保持生产模型版本稳定。</w:t>
      </w:r>
    </w:p>
    <w:p w14:paraId="287B2FF2">
      <w:pPr>
        <w:pStyle w:val="4"/>
        <w:keepNext/>
        <w:keepLines/>
      </w:pPr>
      <w:r>
        <w:rPr>
          <w:rFonts w:ascii="微软雅黑" w:hAnsi="微软雅黑" w:eastAsia="微软雅黑"/>
          <w:color w:val="20262E"/>
        </w:rPr>
        <w:t>8.2 模型更新闭环</w:t>
      </w:r>
    </w:p>
    <w:p w14:paraId="29DCCA0C">
      <w:pPr>
        <w:spacing w:before="0" w:after="120" w:line="264" w:lineRule="auto"/>
        <w:jc w:val="both"/>
      </w:pPr>
      <w:r>
        <w:rPr>
          <w:rFonts w:ascii="微软雅黑" w:hAnsi="微软雅黑" w:eastAsia="微软雅黑"/>
          <w:color w:val="20262E"/>
          <w:sz w:val="21"/>
        </w:rPr>
        <w:t>模型更新由算法或模型运维人员发起。系统先汇总低置信度、未知目标和误识别样本，再由人工确认是否形成新类别；随后在服务器2的GPU1上运行私有三层持续学习引擎。候选模型必须与当前模型和ER基线在统一任务划分、统一预算和统一评测口径下比较，只有通过准确率、遗忘率和高风险区域表现门槛后才允许发布。</w:t>
      </w:r>
    </w:p>
    <w:tbl>
      <w:tblPr>
        <w:tblStyle w:val="32"/>
        <w:tblW w:w="9360" w:type="dxa"/>
        <w:tblInd w:w="120" w:type="dxa"/>
        <w:tblLayout w:type="fixed"/>
        <w:tblCellMar>
          <w:top w:w="0" w:type="dxa"/>
          <w:left w:w="108" w:type="dxa"/>
          <w:bottom w:w="0" w:type="dxa"/>
          <w:right w:w="108" w:type="dxa"/>
        </w:tblCellMar>
      </w:tblPr>
      <w:tblGrid>
        <w:gridCol w:w="9360"/>
      </w:tblGrid>
      <w:tr w14:paraId="423FFD29">
        <w:trPr>
          <w:cantSplit/>
        </w:trPr>
        <w:tc>
          <w:tcPr>
            <w:tcW w:w="9360" w:type="dxa"/>
            <w:shd w:val="clear" w:color="auto" w:fill="EAF2F8"/>
            <w:tcMar>
              <w:top w:w="100" w:type="dxa"/>
              <w:left w:w="120" w:type="dxa"/>
              <w:bottom w:w="100" w:type="dxa"/>
              <w:right w:w="120" w:type="dxa"/>
            </w:tcMar>
            <w:vAlign w:val="center"/>
          </w:tcPr>
          <w:p w14:paraId="7844CEA5">
            <w:pPr>
              <w:spacing w:before="40" w:after="40" w:line="269" w:lineRule="auto"/>
            </w:pPr>
            <w:r>
              <w:rPr>
                <w:rFonts w:ascii="微软雅黑" w:hAnsi="微软雅黑" w:eastAsia="微软雅黑"/>
                <w:b/>
                <w:color w:val="17365D"/>
                <w:sz w:val="21"/>
              </w:rPr>
              <w:t xml:space="preserve">产品原则  </w:t>
            </w:r>
            <w:r>
              <w:rPr>
                <w:rFonts w:ascii="微软雅黑" w:hAnsi="微软雅黑" w:eastAsia="微软雅黑"/>
                <w:color w:val="20262E"/>
                <w:sz w:val="21"/>
              </w:rPr>
              <w:t>训练不是每次上传后的自动副作用，而是一套可审核、可比较、可回滚的模型版本流程。</w:t>
            </w:r>
          </w:p>
        </w:tc>
      </w:tr>
    </w:tbl>
    <w:p w14:paraId="7FA2C39C">
      <w:pPr>
        <w:spacing w:after="40"/>
      </w:pPr>
    </w:p>
    <w:p w14:paraId="2C11DB8F">
      <w:pPr>
        <w:pStyle w:val="3"/>
        <w:keepNext/>
        <w:keepLines/>
      </w:pPr>
      <w:r>
        <w:rPr>
          <w:rFonts w:ascii="微软雅黑" w:hAnsi="微软雅黑" w:eastAsia="微软雅黑"/>
          <w:color w:val="20262E"/>
        </w:rPr>
        <w:t>9. 北斗与视觉模型的正确关系</w:t>
      </w:r>
    </w:p>
    <w:p w14:paraId="542F9751">
      <w:pPr>
        <w:pStyle w:val="4"/>
        <w:keepNext/>
        <w:keepLines/>
      </w:pPr>
      <w:r>
        <w:rPr>
          <w:rFonts w:ascii="微软雅黑" w:hAnsi="微软雅黑" w:eastAsia="微软雅黑"/>
          <w:color w:val="20262E"/>
        </w:rPr>
        <w:t>9.1 当前为什么不直接把经纬度输入分类网络</w:t>
      </w:r>
    </w:p>
    <w:p w14:paraId="36E0FE4D">
      <w:pPr>
        <w:spacing w:before="0" w:after="120" w:line="264" w:lineRule="auto"/>
        <w:jc w:val="both"/>
      </w:pPr>
      <w:r>
        <w:rPr>
          <w:rFonts w:ascii="微软雅黑" w:hAnsi="微软雅黑" w:eastAsia="微软雅黑"/>
          <w:color w:val="20262E"/>
          <w:sz w:val="21"/>
        </w:rPr>
        <w:t>经纬度与目标类别可能存在强烈的偶然共现。例如某段坐标在训练期经常出现卡车，模型可能把“位置”当成“卡车”的捷径；当卡车出现在另一区域，或原区域环境发生变化时，模型就会产生错误。直接输入坐标还可能让定位噪声传播到分类结果，使模型对轻微位置偏移过度敏感。</w:t>
      </w:r>
    </w:p>
    <w:p w14:paraId="78A7FBDF">
      <w:pPr>
        <w:spacing w:before="0" w:after="120" w:line="264" w:lineRule="auto"/>
        <w:jc w:val="both"/>
      </w:pPr>
      <w:r>
        <w:rPr>
          <w:rFonts w:ascii="微软雅黑" w:hAnsi="微软雅黑" w:eastAsia="微软雅黑"/>
          <w:color w:val="20262E"/>
          <w:sz w:val="21"/>
        </w:rPr>
        <w:t>因此，当前更稳妥的工程方案是双路协同：图像进入视觉模型；北斗坐标、时间和定位质量进入时空诊断模块；两路通过sample_id和timestamp关联。北斗信息影响区域统计、风险排序、回放预算建议和复飞任务，但暂不作为目标类别预测的直接特征。</w:t>
      </w:r>
    </w:p>
    <w:p w14:paraId="6E3F30B5">
      <w:pPr>
        <w:pStyle w:val="4"/>
        <w:keepNext/>
        <w:keepLines/>
      </w:pPr>
      <w:r>
        <w:rPr>
          <w:rFonts w:ascii="微软雅黑" w:hAnsi="微软雅黑" w:eastAsia="微软雅黑"/>
          <w:color w:val="20262E"/>
        </w:rPr>
        <w:t>9.2 什么时候可以研究坐标辅助输入</w:t>
      </w:r>
    </w:p>
    <w:p w14:paraId="186EB7C5">
      <w:pPr>
        <w:spacing w:before="0" w:after="120" w:line="264" w:lineRule="auto"/>
        <w:jc w:val="both"/>
      </w:pPr>
      <w:r>
        <w:rPr>
          <w:rFonts w:ascii="微软雅黑" w:hAnsi="微软雅黑" w:eastAsia="微软雅黑"/>
          <w:color w:val="20262E"/>
          <w:sz w:val="21"/>
        </w:rPr>
        <w:t>未来可以在有真实跨区域数据、严格消融实验和位置泄漏防护的前提下，研究弱位置先验或地理上下文分支。但这属于后续研究，不应在当前BP中写成已完成能力。即便加入，也必须证明提升来自可迁移的时空上下文，而不是记住训练地点。</w:t>
      </w:r>
    </w:p>
    <w:p w14:paraId="5C031144">
      <w:pPr>
        <w:pStyle w:val="3"/>
        <w:keepNext/>
        <w:keepLines/>
      </w:pPr>
      <w:r>
        <w:rPr>
          <w:rFonts w:ascii="微软雅黑" w:hAnsi="微软雅黑" w:eastAsia="微软雅黑"/>
          <w:color w:val="20262E"/>
        </w:rPr>
        <w:t>10. 私有三层算法在产品中的位置</w:t>
      </w:r>
    </w:p>
    <w:p w14:paraId="3B54265D">
      <w:pPr>
        <w:spacing w:before="0" w:after="120" w:line="264" w:lineRule="auto"/>
        <w:jc w:val="both"/>
      </w:pPr>
      <w:r>
        <w:rPr>
          <w:rFonts w:ascii="微软雅黑" w:hAnsi="微软雅黑" w:eastAsia="微软雅黑"/>
          <w:color w:val="20262E"/>
          <w:sz w:val="21"/>
        </w:rPr>
        <w:t>共享竞赛工程中的“外部私有持续学习引擎”由算法负责人独立维护。团队对外可以使用“三层因果语义回放”作为已审核的方法名称，但不应在没有论文定稿和知识产权安排的情况下披露内部结构。产品说明只需要清楚表达它承担的三类能力：在类别持续增加时吸收新知识、通过因果语义机制降低干扰因素造成的虚假关联、在有限回放预算下减少历史知识遗忘。</w:t>
      </w:r>
    </w:p>
    <w:tbl>
      <w:tblPr>
        <w:tblStyle w:val="32"/>
        <w:tblW w:w="9360" w:type="dxa"/>
        <w:tblInd w:w="120" w:type="dxa"/>
        <w:tblLayout w:type="fixed"/>
        <w:tblCellMar>
          <w:top w:w="0" w:type="dxa"/>
          <w:left w:w="108" w:type="dxa"/>
          <w:bottom w:w="0" w:type="dxa"/>
          <w:right w:w="108" w:type="dxa"/>
        </w:tblCellMar>
      </w:tblPr>
      <w:tblGrid>
        <w:gridCol w:w="2400"/>
        <w:gridCol w:w="4000"/>
        <w:gridCol w:w="2960"/>
      </w:tblGrid>
      <w:tr w14:paraId="327500F1">
        <w:tblPrEx>
          <w:tblCellMar>
            <w:top w:w="0" w:type="dxa"/>
            <w:left w:w="108" w:type="dxa"/>
            <w:bottom w:w="0" w:type="dxa"/>
            <w:right w:w="108" w:type="dxa"/>
          </w:tblCellMar>
        </w:tblPrEx>
        <w:trPr>
          <w:cantSplit/>
          <w:tblHeader/>
        </w:trPr>
        <w:tc>
          <w:tcPr>
            <w:tcW w:w="2400" w:type="dxa"/>
            <w:shd w:val="clear" w:color="auto" w:fill="F2F4F7"/>
            <w:tcMar>
              <w:top w:w="100" w:type="dxa"/>
              <w:left w:w="120" w:type="dxa"/>
              <w:bottom w:w="100" w:type="dxa"/>
              <w:right w:w="120" w:type="dxa"/>
            </w:tcMar>
            <w:vAlign w:val="center"/>
          </w:tcPr>
          <w:p w14:paraId="5F394857">
            <w:pPr>
              <w:spacing w:after="0"/>
              <w:jc w:val="center"/>
            </w:pPr>
            <w:r>
              <w:rPr>
                <w:rFonts w:ascii="微软雅黑" w:hAnsi="微软雅黑" w:eastAsia="微软雅黑"/>
                <w:b/>
                <w:color w:val="17365D"/>
                <w:sz w:val="18"/>
              </w:rPr>
              <w:t>公开可讲能力</w:t>
            </w:r>
          </w:p>
        </w:tc>
        <w:tc>
          <w:tcPr>
            <w:tcW w:w="4000" w:type="dxa"/>
            <w:shd w:val="clear" w:color="auto" w:fill="F2F4F7"/>
            <w:tcMar>
              <w:top w:w="100" w:type="dxa"/>
              <w:left w:w="120" w:type="dxa"/>
              <w:bottom w:w="100" w:type="dxa"/>
              <w:right w:w="120" w:type="dxa"/>
            </w:tcMar>
            <w:vAlign w:val="center"/>
          </w:tcPr>
          <w:p w14:paraId="726BB959">
            <w:pPr>
              <w:spacing w:after="0"/>
              <w:jc w:val="center"/>
            </w:pPr>
            <w:r>
              <w:rPr>
                <w:rFonts w:ascii="微软雅黑" w:hAnsi="微软雅黑" w:eastAsia="微软雅黑"/>
                <w:b/>
                <w:color w:val="17365D"/>
                <w:sz w:val="18"/>
              </w:rPr>
              <w:t>产品意义</w:t>
            </w:r>
          </w:p>
        </w:tc>
        <w:tc>
          <w:tcPr>
            <w:tcW w:w="2960" w:type="dxa"/>
            <w:shd w:val="clear" w:color="auto" w:fill="F2F4F7"/>
            <w:tcMar>
              <w:top w:w="100" w:type="dxa"/>
              <w:left w:w="120" w:type="dxa"/>
              <w:bottom w:w="100" w:type="dxa"/>
              <w:right w:w="120" w:type="dxa"/>
            </w:tcMar>
            <w:vAlign w:val="center"/>
          </w:tcPr>
          <w:p w14:paraId="5526BF4B">
            <w:pPr>
              <w:spacing w:after="0"/>
              <w:jc w:val="center"/>
            </w:pPr>
            <w:r>
              <w:rPr>
                <w:rFonts w:ascii="微软雅黑" w:hAnsi="微软雅黑" w:eastAsia="微软雅黑"/>
                <w:b/>
                <w:color w:val="17365D"/>
                <w:sz w:val="18"/>
              </w:rPr>
              <w:t>当前证据</w:t>
            </w:r>
          </w:p>
        </w:tc>
      </w:tr>
      <w:tr w14:paraId="303490BF">
        <w:tblPrEx>
          <w:tblCellMar>
            <w:top w:w="0" w:type="dxa"/>
            <w:left w:w="108" w:type="dxa"/>
            <w:bottom w:w="0" w:type="dxa"/>
            <w:right w:w="108" w:type="dxa"/>
          </w:tblCellMar>
        </w:tblPrEx>
        <w:trPr>
          <w:cantSplit/>
        </w:trPr>
        <w:tc>
          <w:tcPr>
            <w:tcW w:w="2400" w:type="dxa"/>
            <w:tcMar>
              <w:top w:w="100" w:type="dxa"/>
              <w:left w:w="120" w:type="dxa"/>
              <w:bottom w:w="100" w:type="dxa"/>
              <w:right w:w="120" w:type="dxa"/>
            </w:tcMar>
            <w:vAlign w:val="center"/>
          </w:tcPr>
          <w:p w14:paraId="7095784C">
            <w:pPr>
              <w:spacing w:before="0" w:after="0" w:line="259" w:lineRule="auto"/>
              <w:jc w:val="left"/>
            </w:pPr>
            <w:r>
              <w:rPr>
                <w:rFonts w:ascii="微软雅黑" w:hAnsi="微软雅黑" w:eastAsia="微软雅黑"/>
                <w:color w:val="20262E"/>
                <w:sz w:val="18"/>
              </w:rPr>
              <w:t>类别增量持续学习</w:t>
            </w:r>
          </w:p>
        </w:tc>
        <w:tc>
          <w:tcPr>
            <w:tcW w:w="4000" w:type="dxa"/>
            <w:tcMar>
              <w:top w:w="100" w:type="dxa"/>
              <w:left w:w="120" w:type="dxa"/>
              <w:bottom w:w="100" w:type="dxa"/>
              <w:right w:w="120" w:type="dxa"/>
            </w:tcMar>
            <w:vAlign w:val="center"/>
          </w:tcPr>
          <w:p w14:paraId="4AD98FA0">
            <w:pPr>
              <w:spacing w:before="0" w:after="0" w:line="259" w:lineRule="auto"/>
              <w:jc w:val="left"/>
            </w:pPr>
            <w:r>
              <w:rPr>
                <w:rFonts w:ascii="微软雅黑" w:hAnsi="微软雅黑" w:eastAsia="微软雅黑"/>
                <w:color w:val="20262E"/>
                <w:sz w:val="18"/>
              </w:rPr>
              <w:t>新类别出现时无需每次汇总全部历史数据从头训练</w:t>
            </w:r>
          </w:p>
        </w:tc>
        <w:tc>
          <w:tcPr>
            <w:tcW w:w="2960" w:type="dxa"/>
            <w:tcMar>
              <w:top w:w="100" w:type="dxa"/>
              <w:left w:w="120" w:type="dxa"/>
              <w:bottom w:w="100" w:type="dxa"/>
              <w:right w:w="120" w:type="dxa"/>
            </w:tcMar>
            <w:vAlign w:val="center"/>
          </w:tcPr>
          <w:p w14:paraId="03487C62">
            <w:pPr>
              <w:spacing w:before="0" w:after="0" w:line="259" w:lineRule="auto"/>
              <w:jc w:val="left"/>
            </w:pPr>
            <w:r>
              <w:rPr>
                <w:rFonts w:ascii="微软雅黑" w:hAnsi="微软雅黑" w:eastAsia="微软雅黑"/>
                <w:color w:val="20262E"/>
                <w:sz w:val="18"/>
              </w:rPr>
              <w:t>10类、5个顺序任务的公开数据实验</w:t>
            </w:r>
          </w:p>
        </w:tc>
      </w:tr>
      <w:tr w14:paraId="32F95B38">
        <w:tblPrEx>
          <w:tblCellMar>
            <w:top w:w="0" w:type="dxa"/>
            <w:left w:w="108" w:type="dxa"/>
            <w:bottom w:w="0" w:type="dxa"/>
            <w:right w:w="108" w:type="dxa"/>
          </w:tblCellMar>
        </w:tblPrEx>
        <w:trPr>
          <w:cantSplit/>
        </w:trPr>
        <w:tc>
          <w:tcPr>
            <w:tcW w:w="2400" w:type="dxa"/>
            <w:tcMar>
              <w:top w:w="100" w:type="dxa"/>
              <w:left w:w="120" w:type="dxa"/>
              <w:bottom w:w="100" w:type="dxa"/>
              <w:right w:w="120" w:type="dxa"/>
            </w:tcMar>
            <w:vAlign w:val="center"/>
          </w:tcPr>
          <w:p w14:paraId="7625E903">
            <w:pPr>
              <w:spacing w:before="0" w:after="0" w:line="259" w:lineRule="auto"/>
              <w:jc w:val="left"/>
            </w:pPr>
            <w:r>
              <w:rPr>
                <w:rFonts w:ascii="微软雅黑" w:hAnsi="微软雅黑" w:eastAsia="微软雅黑"/>
                <w:color w:val="20262E"/>
                <w:sz w:val="18"/>
              </w:rPr>
              <w:t>因果语义回放</w:t>
            </w:r>
          </w:p>
        </w:tc>
        <w:tc>
          <w:tcPr>
            <w:tcW w:w="4000" w:type="dxa"/>
            <w:tcMar>
              <w:top w:w="100" w:type="dxa"/>
              <w:left w:w="120" w:type="dxa"/>
              <w:bottom w:w="100" w:type="dxa"/>
              <w:right w:w="120" w:type="dxa"/>
            </w:tcMar>
            <w:vAlign w:val="center"/>
          </w:tcPr>
          <w:p w14:paraId="4192AE3B">
            <w:pPr>
              <w:spacing w:before="0" w:after="0" w:line="259" w:lineRule="auto"/>
              <w:jc w:val="left"/>
            </w:pPr>
            <w:r>
              <w:rPr>
                <w:rFonts w:ascii="微软雅黑" w:hAnsi="微软雅黑" w:eastAsia="微软雅黑"/>
                <w:color w:val="20262E"/>
                <w:sz w:val="18"/>
              </w:rPr>
              <w:t>强化目标本体语义，降低光照、视角和背景共现带来的干扰</w:t>
            </w:r>
          </w:p>
        </w:tc>
        <w:tc>
          <w:tcPr>
            <w:tcW w:w="2960" w:type="dxa"/>
            <w:tcMar>
              <w:top w:w="100" w:type="dxa"/>
              <w:left w:w="120" w:type="dxa"/>
              <w:bottom w:w="100" w:type="dxa"/>
              <w:right w:w="120" w:type="dxa"/>
            </w:tcMar>
            <w:vAlign w:val="center"/>
          </w:tcPr>
          <w:p w14:paraId="54A52430">
            <w:pPr>
              <w:spacing w:before="0" w:after="0" w:line="259" w:lineRule="auto"/>
              <w:jc w:val="left"/>
            </w:pPr>
            <w:r>
              <w:rPr>
                <w:rFonts w:ascii="微软雅黑" w:hAnsi="微软雅黑" w:eastAsia="微软雅黑"/>
                <w:color w:val="20262E"/>
                <w:sz w:val="18"/>
              </w:rPr>
              <w:t>以主方法整体准确率和遗忘率结果体现；内部实现不公开</w:t>
            </w:r>
          </w:p>
        </w:tc>
      </w:tr>
      <w:tr w14:paraId="1CBA9E8F">
        <w:tblPrEx>
          <w:tblCellMar>
            <w:top w:w="0" w:type="dxa"/>
            <w:left w:w="108" w:type="dxa"/>
            <w:bottom w:w="0" w:type="dxa"/>
            <w:right w:w="108" w:type="dxa"/>
          </w:tblCellMar>
        </w:tblPrEx>
        <w:trPr>
          <w:cantSplit/>
        </w:trPr>
        <w:tc>
          <w:tcPr>
            <w:tcW w:w="2400" w:type="dxa"/>
            <w:tcMar>
              <w:top w:w="100" w:type="dxa"/>
              <w:left w:w="120" w:type="dxa"/>
              <w:bottom w:w="100" w:type="dxa"/>
              <w:right w:w="120" w:type="dxa"/>
            </w:tcMar>
            <w:vAlign w:val="center"/>
          </w:tcPr>
          <w:p w14:paraId="18AB147D">
            <w:pPr>
              <w:spacing w:before="0" w:after="0" w:line="259" w:lineRule="auto"/>
              <w:jc w:val="left"/>
            </w:pPr>
            <w:r>
              <w:rPr>
                <w:rFonts w:ascii="微软雅黑" w:hAnsi="微软雅黑" w:eastAsia="微软雅黑"/>
                <w:color w:val="20262E"/>
                <w:sz w:val="18"/>
              </w:rPr>
              <w:t>位置特定诊断与风险预算</w:t>
            </w:r>
          </w:p>
        </w:tc>
        <w:tc>
          <w:tcPr>
            <w:tcW w:w="4000" w:type="dxa"/>
            <w:tcMar>
              <w:top w:w="100" w:type="dxa"/>
              <w:left w:w="120" w:type="dxa"/>
              <w:bottom w:w="100" w:type="dxa"/>
              <w:right w:w="120" w:type="dxa"/>
            </w:tcMar>
            <w:vAlign w:val="center"/>
          </w:tcPr>
          <w:p w14:paraId="6760E66F">
            <w:pPr>
              <w:spacing w:before="0" w:after="0" w:line="259" w:lineRule="auto"/>
              <w:jc w:val="left"/>
            </w:pPr>
            <w:r>
              <w:rPr>
                <w:rFonts w:ascii="微软雅黑" w:hAnsi="微软雅黑" w:eastAsia="微软雅黑"/>
                <w:color w:val="20262E"/>
                <w:sz w:val="18"/>
              </w:rPr>
              <w:t>识别局部薄弱区域，并在固定总量下提出区域资源配置建议</w:t>
            </w:r>
          </w:p>
        </w:tc>
        <w:tc>
          <w:tcPr>
            <w:tcW w:w="2960" w:type="dxa"/>
            <w:tcMar>
              <w:top w:w="100" w:type="dxa"/>
              <w:left w:w="120" w:type="dxa"/>
              <w:bottom w:w="100" w:type="dxa"/>
              <w:right w:w="120" w:type="dxa"/>
            </w:tcMar>
            <w:vAlign w:val="center"/>
          </w:tcPr>
          <w:p w14:paraId="01F184A4">
            <w:pPr>
              <w:spacing w:before="0" w:after="0" w:line="259" w:lineRule="auto"/>
              <w:jc w:val="left"/>
            </w:pPr>
            <w:r>
              <w:rPr>
                <w:rFonts w:ascii="微软雅黑" w:hAnsi="微软雅黑" w:eastAsia="微软雅黑"/>
                <w:color w:val="20262E"/>
                <w:sz w:val="18"/>
              </w:rPr>
              <w:t>8个虚拟区域的预测级诊断和600预算守恒</w:t>
            </w:r>
          </w:p>
        </w:tc>
      </w:tr>
    </w:tbl>
    <w:p w14:paraId="78D6CA6D">
      <w:pPr>
        <w:spacing w:after="40"/>
      </w:pPr>
    </w:p>
    <w:tbl>
      <w:tblPr>
        <w:tblStyle w:val="32"/>
        <w:tblW w:w="9360" w:type="dxa"/>
        <w:tblInd w:w="120" w:type="dxa"/>
        <w:tblLayout w:type="fixed"/>
        <w:tblCellMar>
          <w:top w:w="0" w:type="dxa"/>
          <w:left w:w="108" w:type="dxa"/>
          <w:bottom w:w="0" w:type="dxa"/>
          <w:right w:w="108" w:type="dxa"/>
        </w:tblCellMar>
      </w:tblPr>
      <w:tblGrid>
        <w:gridCol w:w="9360"/>
      </w:tblGrid>
      <w:tr w14:paraId="2DE9E4DF">
        <w:tblPrEx>
          <w:tblCellMar>
            <w:top w:w="0" w:type="dxa"/>
            <w:left w:w="108" w:type="dxa"/>
            <w:bottom w:w="0" w:type="dxa"/>
            <w:right w:w="108" w:type="dxa"/>
          </w:tblCellMar>
        </w:tblPrEx>
        <w:trPr>
          <w:cantSplit/>
        </w:trPr>
        <w:tc>
          <w:tcPr>
            <w:tcW w:w="9360" w:type="dxa"/>
            <w:shd w:val="clear" w:color="auto" w:fill="FDECEC"/>
            <w:tcMar>
              <w:top w:w="100" w:type="dxa"/>
              <w:left w:w="120" w:type="dxa"/>
              <w:bottom w:w="100" w:type="dxa"/>
              <w:right w:w="120" w:type="dxa"/>
            </w:tcMar>
            <w:vAlign w:val="center"/>
          </w:tcPr>
          <w:p w14:paraId="11AEE61C">
            <w:pPr>
              <w:spacing w:before="40" w:after="40" w:line="269" w:lineRule="auto"/>
            </w:pPr>
            <w:r>
              <w:rPr>
                <w:rFonts w:ascii="微软雅黑" w:hAnsi="微软雅黑" w:eastAsia="微软雅黑"/>
                <w:b/>
                <w:color w:val="9B1C1C"/>
                <w:sz w:val="21"/>
              </w:rPr>
              <w:t xml:space="preserve">避免错误描述  </w:t>
            </w:r>
            <w:r>
              <w:rPr>
                <w:rFonts w:ascii="微软雅黑" w:hAnsi="微软雅黑" w:eastAsia="微软雅黑"/>
                <w:color w:val="20262E"/>
                <w:sz w:val="21"/>
              </w:rPr>
              <w:t>不要把产品功能层直接等同于论文网络的“三层结构”，也不要由共享前端反推算法实现。评委需要理解的是能力闭环和结果证据，而不是看到源码。</w:t>
            </w:r>
          </w:p>
        </w:tc>
      </w:tr>
    </w:tbl>
    <w:p w14:paraId="6024D72C">
      <w:pPr>
        <w:spacing w:after="40"/>
      </w:pPr>
    </w:p>
    <w:p w14:paraId="309A579E">
      <w:pPr>
        <w:pStyle w:val="3"/>
        <w:keepNext/>
        <w:keepLines/>
      </w:pPr>
      <w:r>
        <w:rPr>
          <w:rFonts w:ascii="微软雅黑" w:hAnsi="微软雅黑" w:eastAsia="微软雅黑"/>
          <w:color w:val="20262E"/>
        </w:rPr>
        <w:t>11. 系统架构与前后端职责</w:t>
      </w:r>
    </w:p>
    <w:tbl>
      <w:tblPr>
        <w:tblStyle w:val="32"/>
        <w:tblW w:w="9360" w:type="dxa"/>
        <w:tblInd w:w="120" w:type="dxa"/>
        <w:tblLayout w:type="fixed"/>
        <w:tblCellMar>
          <w:top w:w="0" w:type="dxa"/>
          <w:left w:w="108" w:type="dxa"/>
          <w:bottom w:w="0" w:type="dxa"/>
          <w:right w:w="108" w:type="dxa"/>
        </w:tblCellMar>
      </w:tblPr>
      <w:tblGrid>
        <w:gridCol w:w="1600"/>
        <w:gridCol w:w="4750"/>
        <w:gridCol w:w="3010"/>
      </w:tblGrid>
      <w:tr w14:paraId="2E332BEC">
        <w:tblPrEx>
          <w:tblCellMar>
            <w:top w:w="0" w:type="dxa"/>
            <w:left w:w="108" w:type="dxa"/>
            <w:bottom w:w="0" w:type="dxa"/>
            <w:right w:w="108" w:type="dxa"/>
          </w:tblCellMar>
        </w:tblPrEx>
        <w:trPr>
          <w:cantSplit/>
          <w:tblHeader/>
        </w:trPr>
        <w:tc>
          <w:tcPr>
            <w:tcW w:w="1600" w:type="dxa"/>
            <w:shd w:val="clear" w:color="auto" w:fill="F2F4F7"/>
            <w:tcMar>
              <w:top w:w="100" w:type="dxa"/>
              <w:left w:w="120" w:type="dxa"/>
              <w:bottom w:w="100" w:type="dxa"/>
              <w:right w:w="120" w:type="dxa"/>
            </w:tcMar>
            <w:vAlign w:val="center"/>
          </w:tcPr>
          <w:p w14:paraId="635A8233">
            <w:pPr>
              <w:spacing w:after="0"/>
              <w:jc w:val="center"/>
            </w:pPr>
            <w:r>
              <w:rPr>
                <w:rFonts w:ascii="微软雅黑" w:hAnsi="微软雅黑" w:eastAsia="微软雅黑"/>
                <w:b/>
                <w:color w:val="17365D"/>
                <w:sz w:val="18"/>
              </w:rPr>
              <w:t>层级</w:t>
            </w:r>
          </w:p>
        </w:tc>
        <w:tc>
          <w:tcPr>
            <w:tcW w:w="4750" w:type="dxa"/>
            <w:shd w:val="clear" w:color="auto" w:fill="F2F4F7"/>
            <w:tcMar>
              <w:top w:w="100" w:type="dxa"/>
              <w:left w:w="120" w:type="dxa"/>
              <w:bottom w:w="100" w:type="dxa"/>
              <w:right w:w="120" w:type="dxa"/>
            </w:tcMar>
            <w:vAlign w:val="center"/>
          </w:tcPr>
          <w:p w14:paraId="3A9C4163">
            <w:pPr>
              <w:spacing w:after="0"/>
              <w:jc w:val="center"/>
            </w:pPr>
            <w:r>
              <w:rPr>
                <w:rFonts w:ascii="微软雅黑" w:hAnsi="微软雅黑" w:eastAsia="微软雅黑"/>
                <w:b/>
                <w:color w:val="17365D"/>
                <w:sz w:val="18"/>
              </w:rPr>
              <w:t>负责内容</w:t>
            </w:r>
          </w:p>
        </w:tc>
        <w:tc>
          <w:tcPr>
            <w:tcW w:w="3010" w:type="dxa"/>
            <w:shd w:val="clear" w:color="auto" w:fill="F2F4F7"/>
            <w:tcMar>
              <w:top w:w="100" w:type="dxa"/>
              <w:left w:w="120" w:type="dxa"/>
              <w:bottom w:w="100" w:type="dxa"/>
              <w:right w:w="120" w:type="dxa"/>
            </w:tcMar>
            <w:vAlign w:val="center"/>
          </w:tcPr>
          <w:p w14:paraId="2FC7BE5A">
            <w:pPr>
              <w:spacing w:after="0"/>
              <w:jc w:val="center"/>
            </w:pPr>
            <w:r>
              <w:rPr>
                <w:rFonts w:ascii="微软雅黑" w:hAnsi="微软雅黑" w:eastAsia="微软雅黑"/>
                <w:b/>
                <w:color w:val="17365D"/>
                <w:sz w:val="18"/>
              </w:rPr>
              <w:t>当前状态</w:t>
            </w:r>
          </w:p>
        </w:tc>
      </w:tr>
      <w:tr w14:paraId="4D230A04">
        <w:tblPrEx>
          <w:tblCellMar>
            <w:top w:w="0" w:type="dxa"/>
            <w:left w:w="108" w:type="dxa"/>
            <w:bottom w:w="0" w:type="dxa"/>
            <w:right w:w="108" w:type="dxa"/>
          </w:tblCellMar>
        </w:tblPrEx>
        <w:trPr>
          <w:cantSplit/>
        </w:trPr>
        <w:tc>
          <w:tcPr>
            <w:tcW w:w="1600" w:type="dxa"/>
            <w:tcMar>
              <w:top w:w="100" w:type="dxa"/>
              <w:left w:w="120" w:type="dxa"/>
              <w:bottom w:w="100" w:type="dxa"/>
              <w:right w:w="120" w:type="dxa"/>
            </w:tcMar>
            <w:vAlign w:val="center"/>
          </w:tcPr>
          <w:p w14:paraId="4C86D54E">
            <w:pPr>
              <w:spacing w:before="0" w:after="0" w:line="259" w:lineRule="auto"/>
              <w:jc w:val="left"/>
            </w:pPr>
            <w:r>
              <w:rPr>
                <w:rFonts w:ascii="微软雅黑" w:hAnsi="微软雅黑" w:eastAsia="微软雅黑"/>
                <w:color w:val="20262E"/>
                <w:sz w:val="18"/>
              </w:rPr>
              <w:t>用户前端</w:t>
            </w:r>
          </w:p>
        </w:tc>
        <w:tc>
          <w:tcPr>
            <w:tcW w:w="4750" w:type="dxa"/>
            <w:tcMar>
              <w:top w:w="100" w:type="dxa"/>
              <w:left w:w="120" w:type="dxa"/>
              <w:bottom w:w="100" w:type="dxa"/>
              <w:right w:w="120" w:type="dxa"/>
            </w:tcMar>
            <w:vAlign w:val="center"/>
          </w:tcPr>
          <w:p w14:paraId="7FF98436">
            <w:pPr>
              <w:spacing w:before="0" w:after="0" w:line="259" w:lineRule="auto"/>
              <w:jc w:val="left"/>
            </w:pPr>
            <w:r>
              <w:rPr>
                <w:rFonts w:ascii="微软雅黑" w:hAnsi="微软雅黑" w:eastAsia="微软雅黑"/>
                <w:color w:val="20262E"/>
                <w:sz w:val="18"/>
              </w:rPr>
              <w:t>任务创建、数据上传、地图风险、区域详情、新类别确认、复飞任务、报告导出</w:t>
            </w:r>
          </w:p>
        </w:tc>
        <w:tc>
          <w:tcPr>
            <w:tcW w:w="3010" w:type="dxa"/>
            <w:tcMar>
              <w:top w:w="100" w:type="dxa"/>
              <w:left w:w="120" w:type="dxa"/>
              <w:bottom w:w="100" w:type="dxa"/>
              <w:right w:w="120" w:type="dxa"/>
            </w:tcMar>
            <w:vAlign w:val="center"/>
          </w:tcPr>
          <w:p w14:paraId="5CB66525">
            <w:pPr>
              <w:spacing w:before="0" w:after="0" w:line="259" w:lineRule="auto"/>
              <w:jc w:val="left"/>
            </w:pPr>
            <w:r>
              <w:rPr>
                <w:rFonts w:ascii="微软雅黑" w:hAnsi="微软雅黑" w:eastAsia="微软雅黑"/>
                <w:color w:val="20262E"/>
                <w:sz w:val="18"/>
              </w:rPr>
              <w:t>已完成仿真页、结果看板和正式报告页；任务管理等仍待实现</w:t>
            </w:r>
          </w:p>
        </w:tc>
      </w:tr>
      <w:tr w14:paraId="499578B7">
        <w:tblPrEx>
          <w:tblCellMar>
            <w:top w:w="0" w:type="dxa"/>
            <w:left w:w="108" w:type="dxa"/>
            <w:bottom w:w="0" w:type="dxa"/>
            <w:right w:w="108" w:type="dxa"/>
          </w:tblCellMar>
        </w:tblPrEx>
        <w:trPr>
          <w:cantSplit/>
        </w:trPr>
        <w:tc>
          <w:tcPr>
            <w:tcW w:w="1600" w:type="dxa"/>
            <w:tcMar>
              <w:top w:w="100" w:type="dxa"/>
              <w:left w:w="120" w:type="dxa"/>
              <w:bottom w:w="100" w:type="dxa"/>
              <w:right w:w="120" w:type="dxa"/>
            </w:tcMar>
            <w:vAlign w:val="center"/>
          </w:tcPr>
          <w:p w14:paraId="3DFB93A1">
            <w:pPr>
              <w:spacing w:before="0" w:after="0" w:line="259" w:lineRule="auto"/>
              <w:jc w:val="left"/>
            </w:pPr>
            <w:r>
              <w:rPr>
                <w:rFonts w:ascii="微软雅黑" w:hAnsi="微软雅黑" w:eastAsia="微软雅黑"/>
                <w:color w:val="20262E"/>
                <w:sz w:val="18"/>
              </w:rPr>
              <w:t>业务后端</w:t>
            </w:r>
          </w:p>
        </w:tc>
        <w:tc>
          <w:tcPr>
            <w:tcW w:w="4750" w:type="dxa"/>
            <w:tcMar>
              <w:top w:w="100" w:type="dxa"/>
              <w:left w:w="120" w:type="dxa"/>
              <w:bottom w:w="100" w:type="dxa"/>
              <w:right w:w="120" w:type="dxa"/>
            </w:tcMar>
            <w:vAlign w:val="center"/>
          </w:tcPr>
          <w:p w14:paraId="560760BB">
            <w:pPr>
              <w:spacing w:before="0" w:after="0" w:line="259" w:lineRule="auto"/>
              <w:jc w:val="left"/>
            </w:pPr>
            <w:r>
              <w:rPr>
                <w:rFonts w:ascii="微软雅黑" w:hAnsi="微软雅黑" w:eastAsia="微软雅黑"/>
                <w:color w:val="20262E"/>
                <w:sz w:val="18"/>
              </w:rPr>
              <w:t>任务包校验、图像坐标关联、任务队列、权限、模型版本、API/JSON输出</w:t>
            </w:r>
          </w:p>
        </w:tc>
        <w:tc>
          <w:tcPr>
            <w:tcW w:w="3010" w:type="dxa"/>
            <w:tcMar>
              <w:top w:w="100" w:type="dxa"/>
              <w:left w:w="120" w:type="dxa"/>
              <w:bottom w:w="100" w:type="dxa"/>
              <w:right w:w="120" w:type="dxa"/>
            </w:tcMar>
            <w:vAlign w:val="center"/>
          </w:tcPr>
          <w:p w14:paraId="43F8E386">
            <w:pPr>
              <w:spacing w:before="0" w:after="0" w:line="259" w:lineRule="auto"/>
              <w:jc w:val="left"/>
            </w:pPr>
            <w:r>
              <w:rPr>
                <w:rFonts w:ascii="微软雅黑" w:hAnsi="微软雅黑" w:eastAsia="微软雅黑"/>
                <w:color w:val="20262E"/>
                <w:sz w:val="18"/>
              </w:rPr>
              <w:t>当前以静态服务和公开JSON契约为主，尚非生产后端</w:t>
            </w:r>
          </w:p>
        </w:tc>
      </w:tr>
      <w:tr w14:paraId="35E7B8A1">
        <w:tblPrEx>
          <w:tblCellMar>
            <w:top w:w="0" w:type="dxa"/>
            <w:left w:w="108" w:type="dxa"/>
            <w:bottom w:w="0" w:type="dxa"/>
            <w:right w:w="108" w:type="dxa"/>
          </w:tblCellMar>
        </w:tblPrEx>
        <w:trPr>
          <w:cantSplit/>
        </w:trPr>
        <w:tc>
          <w:tcPr>
            <w:tcW w:w="1600" w:type="dxa"/>
            <w:tcMar>
              <w:top w:w="100" w:type="dxa"/>
              <w:left w:w="120" w:type="dxa"/>
              <w:bottom w:w="100" w:type="dxa"/>
              <w:right w:w="120" w:type="dxa"/>
            </w:tcMar>
            <w:vAlign w:val="center"/>
          </w:tcPr>
          <w:p w14:paraId="4BBC1CE4">
            <w:pPr>
              <w:spacing w:before="0" w:after="0" w:line="259" w:lineRule="auto"/>
              <w:jc w:val="left"/>
            </w:pPr>
            <w:r>
              <w:rPr>
                <w:rFonts w:ascii="微软雅黑" w:hAnsi="微软雅黑" w:eastAsia="微软雅黑"/>
                <w:color w:val="20262E"/>
                <w:sz w:val="18"/>
              </w:rPr>
              <w:t>算法后端</w:t>
            </w:r>
          </w:p>
        </w:tc>
        <w:tc>
          <w:tcPr>
            <w:tcW w:w="4750" w:type="dxa"/>
            <w:tcMar>
              <w:top w:w="100" w:type="dxa"/>
              <w:left w:w="120" w:type="dxa"/>
              <w:bottom w:w="100" w:type="dxa"/>
              <w:right w:w="120" w:type="dxa"/>
            </w:tcMar>
            <w:vAlign w:val="center"/>
          </w:tcPr>
          <w:p w14:paraId="3B7DF2D4">
            <w:pPr>
              <w:spacing w:before="0" w:after="0" w:line="259" w:lineRule="auto"/>
              <w:jc w:val="left"/>
            </w:pPr>
            <w:r>
              <w:rPr>
                <w:rFonts w:ascii="微软雅黑" w:hAnsi="微软雅黑" w:eastAsia="微软雅黑"/>
                <w:color w:val="20262E"/>
                <w:sz w:val="18"/>
              </w:rPr>
              <w:t>图像推理、私有持续学习、候选模型评估、区域诊断、风险预算计算</w:t>
            </w:r>
          </w:p>
        </w:tc>
        <w:tc>
          <w:tcPr>
            <w:tcW w:w="3010" w:type="dxa"/>
            <w:tcMar>
              <w:top w:w="100" w:type="dxa"/>
              <w:left w:w="120" w:type="dxa"/>
              <w:bottom w:w="100" w:type="dxa"/>
              <w:right w:w="120" w:type="dxa"/>
            </w:tcMar>
            <w:vAlign w:val="center"/>
          </w:tcPr>
          <w:p w14:paraId="07D778AD">
            <w:pPr>
              <w:spacing w:before="0" w:after="0" w:line="259" w:lineRule="auto"/>
              <w:jc w:val="left"/>
            </w:pPr>
            <w:r>
              <w:rPr>
                <w:rFonts w:ascii="微软雅黑" w:hAnsi="微软雅黑" w:eastAsia="微软雅黑"/>
                <w:color w:val="20262E"/>
                <w:sz w:val="18"/>
              </w:rPr>
              <w:t>私有训练侧与公开结果导出链路已分离；未开放给队员</w:t>
            </w:r>
          </w:p>
        </w:tc>
      </w:tr>
      <w:tr w14:paraId="5CCF85A4">
        <w:tblPrEx>
          <w:tblCellMar>
            <w:top w:w="0" w:type="dxa"/>
            <w:left w:w="108" w:type="dxa"/>
            <w:bottom w:w="0" w:type="dxa"/>
            <w:right w:w="108" w:type="dxa"/>
          </w:tblCellMar>
        </w:tblPrEx>
        <w:trPr>
          <w:cantSplit/>
        </w:trPr>
        <w:tc>
          <w:tcPr>
            <w:tcW w:w="1600" w:type="dxa"/>
            <w:tcMar>
              <w:top w:w="100" w:type="dxa"/>
              <w:left w:w="120" w:type="dxa"/>
              <w:bottom w:w="100" w:type="dxa"/>
              <w:right w:w="120" w:type="dxa"/>
            </w:tcMar>
            <w:vAlign w:val="center"/>
          </w:tcPr>
          <w:p w14:paraId="166592C7">
            <w:pPr>
              <w:spacing w:before="0" w:after="0" w:line="259" w:lineRule="auto"/>
              <w:jc w:val="left"/>
            </w:pPr>
            <w:r>
              <w:rPr>
                <w:rFonts w:ascii="微软雅黑" w:hAnsi="微软雅黑" w:eastAsia="微软雅黑"/>
                <w:color w:val="20262E"/>
                <w:sz w:val="18"/>
              </w:rPr>
              <w:t>数据与存储</w:t>
            </w:r>
          </w:p>
        </w:tc>
        <w:tc>
          <w:tcPr>
            <w:tcW w:w="4750" w:type="dxa"/>
            <w:tcMar>
              <w:top w:w="100" w:type="dxa"/>
              <w:left w:w="120" w:type="dxa"/>
              <w:bottom w:w="100" w:type="dxa"/>
              <w:right w:w="120" w:type="dxa"/>
            </w:tcMar>
            <w:vAlign w:val="center"/>
          </w:tcPr>
          <w:p w14:paraId="6BC16F0D">
            <w:pPr>
              <w:spacing w:before="0" w:after="0" w:line="259" w:lineRule="auto"/>
              <w:jc w:val="left"/>
            </w:pPr>
            <w:r>
              <w:rPr>
                <w:rFonts w:ascii="微软雅黑" w:hAnsi="微软雅黑" w:eastAsia="微软雅黑"/>
                <w:color w:val="20262E"/>
                <w:sz w:val="18"/>
              </w:rPr>
              <w:t>任务元数据、时空索引、预测、模型版本、报告和审计记录</w:t>
            </w:r>
          </w:p>
        </w:tc>
        <w:tc>
          <w:tcPr>
            <w:tcW w:w="3010" w:type="dxa"/>
            <w:tcMar>
              <w:top w:w="100" w:type="dxa"/>
              <w:left w:w="120" w:type="dxa"/>
              <w:bottom w:w="100" w:type="dxa"/>
              <w:right w:w="120" w:type="dxa"/>
            </w:tcMar>
            <w:vAlign w:val="center"/>
          </w:tcPr>
          <w:p w14:paraId="1BE45993">
            <w:pPr>
              <w:spacing w:before="0" w:after="0" w:line="259" w:lineRule="auto"/>
              <w:jc w:val="left"/>
            </w:pPr>
            <w:r>
              <w:rPr>
                <w:rFonts w:ascii="微软雅黑" w:hAnsi="微软雅黑" w:eastAsia="微软雅黑"/>
                <w:color w:val="20262E"/>
                <w:sz w:val="18"/>
              </w:rPr>
              <w:t>当前公开仓库只保留白名单结果与仿真数据</w:t>
            </w:r>
          </w:p>
        </w:tc>
      </w:tr>
    </w:tbl>
    <w:p w14:paraId="3F80A811">
      <w:pPr>
        <w:spacing w:after="40"/>
      </w:pPr>
    </w:p>
    <w:p w14:paraId="230F505D">
      <w:pPr>
        <w:spacing w:before="0" w:after="120" w:line="264" w:lineRule="auto"/>
        <w:jc w:val="both"/>
      </w:pPr>
      <w:r>
        <w:rPr>
          <w:rFonts w:ascii="微软雅黑" w:hAnsi="微软雅黑" w:eastAsia="微软雅黑"/>
          <w:color w:val="20262E"/>
          <w:sz w:val="21"/>
        </w:rPr>
        <w:t>后端是计算和治理核心，前端是用户直接操作和理解系统的入口。竞赛阶段前端具有重要作用：它把抽象算法指标转化为地图、风险区域、预算分配和复飞任务，让评委看到算法如何形成业务价值。但不能因为前端做得完整，就把静态仿真误写成真实在线产品。</w:t>
      </w:r>
    </w:p>
    <w:p w14:paraId="5A6156F2">
      <w:pPr>
        <w:pStyle w:val="3"/>
        <w:keepNext/>
        <w:keepLines/>
      </w:pPr>
      <w:r>
        <w:rPr>
          <w:rFonts w:ascii="微软雅黑" w:hAnsi="微软雅黑" w:eastAsia="微软雅黑"/>
          <w:color w:val="20262E"/>
        </w:rPr>
        <w:t>12. 当前前端究竟做了什么</w:t>
      </w:r>
    </w:p>
    <w:tbl>
      <w:tblPr>
        <w:tblStyle w:val="32"/>
        <w:tblW w:w="9360" w:type="dxa"/>
        <w:tblInd w:w="120" w:type="dxa"/>
        <w:tblLayout w:type="fixed"/>
        <w:tblCellMar>
          <w:top w:w="0" w:type="dxa"/>
          <w:left w:w="108" w:type="dxa"/>
          <w:bottom w:w="0" w:type="dxa"/>
          <w:right w:w="108" w:type="dxa"/>
        </w:tblCellMar>
      </w:tblPr>
      <w:tblGrid>
        <w:gridCol w:w="2200"/>
        <w:gridCol w:w="3500"/>
        <w:gridCol w:w="1500"/>
        <w:gridCol w:w="2160"/>
      </w:tblGrid>
      <w:tr w14:paraId="4E2DF4A8">
        <w:tblPrEx>
          <w:tblCellMar>
            <w:top w:w="0" w:type="dxa"/>
            <w:left w:w="108" w:type="dxa"/>
            <w:bottom w:w="0" w:type="dxa"/>
            <w:right w:w="108" w:type="dxa"/>
          </w:tblCellMar>
        </w:tblPrEx>
        <w:trPr>
          <w:cantSplit/>
          <w:tblHeader/>
        </w:trPr>
        <w:tc>
          <w:tcPr>
            <w:tcW w:w="2200" w:type="dxa"/>
            <w:shd w:val="clear" w:color="auto" w:fill="F2F4F7"/>
            <w:tcMar>
              <w:top w:w="100" w:type="dxa"/>
              <w:left w:w="120" w:type="dxa"/>
              <w:bottom w:w="100" w:type="dxa"/>
              <w:right w:w="120" w:type="dxa"/>
            </w:tcMar>
            <w:vAlign w:val="center"/>
          </w:tcPr>
          <w:p w14:paraId="55ABFCE7">
            <w:pPr>
              <w:spacing w:after="0"/>
              <w:jc w:val="center"/>
            </w:pPr>
            <w:r>
              <w:rPr>
                <w:rFonts w:ascii="微软雅黑" w:hAnsi="微软雅黑" w:eastAsia="微软雅黑"/>
                <w:b/>
                <w:color w:val="17365D"/>
                <w:sz w:val="18"/>
              </w:rPr>
              <w:t>页面</w:t>
            </w:r>
          </w:p>
        </w:tc>
        <w:tc>
          <w:tcPr>
            <w:tcW w:w="3500" w:type="dxa"/>
            <w:shd w:val="clear" w:color="auto" w:fill="F2F4F7"/>
            <w:tcMar>
              <w:top w:w="100" w:type="dxa"/>
              <w:left w:w="120" w:type="dxa"/>
              <w:bottom w:w="100" w:type="dxa"/>
              <w:right w:w="120" w:type="dxa"/>
            </w:tcMar>
            <w:vAlign w:val="center"/>
          </w:tcPr>
          <w:p w14:paraId="29AF959D">
            <w:pPr>
              <w:spacing w:after="0"/>
              <w:jc w:val="center"/>
            </w:pPr>
            <w:r>
              <w:rPr>
                <w:rFonts w:ascii="微软雅黑" w:hAnsi="微软雅黑" w:eastAsia="微软雅黑"/>
                <w:b/>
                <w:color w:val="17365D"/>
                <w:sz w:val="18"/>
              </w:rPr>
              <w:t>当前功能</w:t>
            </w:r>
          </w:p>
        </w:tc>
        <w:tc>
          <w:tcPr>
            <w:tcW w:w="1500" w:type="dxa"/>
            <w:shd w:val="clear" w:color="auto" w:fill="F2F4F7"/>
            <w:tcMar>
              <w:top w:w="100" w:type="dxa"/>
              <w:left w:w="120" w:type="dxa"/>
              <w:bottom w:w="100" w:type="dxa"/>
              <w:right w:w="120" w:type="dxa"/>
            </w:tcMar>
            <w:vAlign w:val="center"/>
          </w:tcPr>
          <w:p w14:paraId="6DB294E5">
            <w:pPr>
              <w:spacing w:after="0"/>
              <w:jc w:val="center"/>
            </w:pPr>
            <w:r>
              <w:rPr>
                <w:rFonts w:ascii="微软雅黑" w:hAnsi="微软雅黑" w:eastAsia="微软雅黑"/>
                <w:b/>
                <w:color w:val="17365D"/>
                <w:sz w:val="18"/>
              </w:rPr>
              <w:t>证据类型</w:t>
            </w:r>
          </w:p>
        </w:tc>
        <w:tc>
          <w:tcPr>
            <w:tcW w:w="2160" w:type="dxa"/>
            <w:shd w:val="clear" w:color="auto" w:fill="F2F4F7"/>
            <w:tcMar>
              <w:top w:w="100" w:type="dxa"/>
              <w:left w:w="120" w:type="dxa"/>
              <w:bottom w:w="100" w:type="dxa"/>
              <w:right w:w="120" w:type="dxa"/>
            </w:tcMar>
            <w:vAlign w:val="center"/>
          </w:tcPr>
          <w:p w14:paraId="5591591A">
            <w:pPr>
              <w:spacing w:after="0"/>
              <w:jc w:val="center"/>
            </w:pPr>
            <w:r>
              <w:rPr>
                <w:rFonts w:ascii="微软雅黑" w:hAnsi="微软雅黑" w:eastAsia="微软雅黑"/>
                <w:b/>
                <w:color w:val="17365D"/>
                <w:sz w:val="18"/>
              </w:rPr>
              <w:t>不能宣称</w:t>
            </w:r>
          </w:p>
        </w:tc>
      </w:tr>
      <w:tr w14:paraId="7E5D4820">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7129D00C">
            <w:pPr>
              <w:spacing w:before="0" w:after="0" w:line="259" w:lineRule="auto"/>
              <w:jc w:val="left"/>
            </w:pPr>
            <w:r>
              <w:rPr>
                <w:rFonts w:ascii="微软雅黑" w:hAnsi="微软雅黑" w:eastAsia="微软雅黑"/>
                <w:color w:val="20262E"/>
                <w:sz w:val="18"/>
              </w:rPr>
              <w:t>交互仿真页 frontend/index.html</w:t>
            </w:r>
          </w:p>
        </w:tc>
        <w:tc>
          <w:tcPr>
            <w:tcW w:w="3500" w:type="dxa"/>
            <w:tcMar>
              <w:top w:w="100" w:type="dxa"/>
              <w:left w:w="120" w:type="dxa"/>
              <w:bottom w:w="100" w:type="dxa"/>
              <w:right w:w="120" w:type="dxa"/>
            </w:tcMar>
            <w:vAlign w:val="center"/>
          </w:tcPr>
          <w:p w14:paraId="7FACEF72">
            <w:pPr>
              <w:spacing w:before="0" w:after="0" w:line="259" w:lineRule="auto"/>
              <w:jc w:val="left"/>
            </w:pPr>
            <w:r>
              <w:rPr>
                <w:rFonts w:ascii="微软雅黑" w:hAnsi="微软雅黑" w:eastAsia="微软雅黑"/>
                <w:color w:val="20262E"/>
                <w:sz w:val="18"/>
              </w:rPr>
              <w:t>模拟航线、定位扰动、8个区域、风险、预算和复飞队列；支持交互演示</w:t>
            </w:r>
          </w:p>
        </w:tc>
        <w:tc>
          <w:tcPr>
            <w:tcW w:w="1500" w:type="dxa"/>
            <w:tcMar>
              <w:top w:w="100" w:type="dxa"/>
              <w:left w:w="120" w:type="dxa"/>
              <w:bottom w:w="100" w:type="dxa"/>
              <w:right w:w="120" w:type="dxa"/>
            </w:tcMar>
            <w:vAlign w:val="center"/>
          </w:tcPr>
          <w:p w14:paraId="2E606FA5">
            <w:pPr>
              <w:spacing w:before="0" w:after="0" w:line="259" w:lineRule="auto"/>
              <w:jc w:val="left"/>
            </w:pPr>
            <w:r>
              <w:rPr>
                <w:rFonts w:ascii="微软雅黑" w:hAnsi="微软雅黑" w:eastAsia="微软雅黑"/>
                <w:color w:val="20262E"/>
                <w:sz w:val="18"/>
              </w:rPr>
              <w:t>simulation_only</w:t>
            </w:r>
          </w:p>
        </w:tc>
        <w:tc>
          <w:tcPr>
            <w:tcW w:w="2160" w:type="dxa"/>
            <w:tcMar>
              <w:top w:w="100" w:type="dxa"/>
              <w:left w:w="120" w:type="dxa"/>
              <w:bottom w:w="100" w:type="dxa"/>
              <w:right w:w="120" w:type="dxa"/>
            </w:tcMar>
            <w:vAlign w:val="center"/>
          </w:tcPr>
          <w:p w14:paraId="42E9BCF6">
            <w:pPr>
              <w:spacing w:before="0" w:after="0" w:line="259" w:lineRule="auto"/>
              <w:jc w:val="left"/>
            </w:pPr>
            <w:r>
              <w:rPr>
                <w:rFonts w:ascii="微软雅黑" w:hAnsi="微软雅黑" w:eastAsia="微软雅黑"/>
                <w:color w:val="20262E"/>
                <w:sz w:val="18"/>
              </w:rPr>
              <w:t>不能称为真实模型在线训练或真实北斗航迹</w:t>
            </w:r>
          </w:p>
        </w:tc>
      </w:tr>
      <w:tr w14:paraId="39FD1EBE">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6E0C73AF">
            <w:pPr>
              <w:spacing w:before="0" w:after="0" w:line="259" w:lineRule="auto"/>
              <w:jc w:val="left"/>
            </w:pPr>
            <w:r>
              <w:rPr>
                <w:rFonts w:ascii="微软雅黑" w:hAnsi="微软雅黑" w:eastAsia="微软雅黑"/>
                <w:color w:val="20262E"/>
                <w:sz w:val="18"/>
              </w:rPr>
              <w:t>结果看板 frontend/dashboard.html</w:t>
            </w:r>
          </w:p>
        </w:tc>
        <w:tc>
          <w:tcPr>
            <w:tcW w:w="3500" w:type="dxa"/>
            <w:tcMar>
              <w:top w:w="100" w:type="dxa"/>
              <w:left w:w="120" w:type="dxa"/>
              <w:bottom w:w="100" w:type="dxa"/>
              <w:right w:w="120" w:type="dxa"/>
            </w:tcMar>
            <w:vAlign w:val="center"/>
          </w:tcPr>
          <w:p w14:paraId="01B5B62C">
            <w:pPr>
              <w:spacing w:before="0" w:after="0" w:line="259" w:lineRule="auto"/>
              <w:jc w:val="left"/>
            </w:pPr>
            <w:r>
              <w:rPr>
                <w:rFonts w:ascii="微软雅黑" w:hAnsi="微软雅黑" w:eastAsia="微软雅黑"/>
                <w:color w:val="20262E"/>
                <w:sz w:val="18"/>
              </w:rPr>
              <w:t>读取public_result.json，展示方法指标、区域结果和预算分配</w:t>
            </w:r>
          </w:p>
        </w:tc>
        <w:tc>
          <w:tcPr>
            <w:tcW w:w="1500" w:type="dxa"/>
            <w:tcMar>
              <w:top w:w="100" w:type="dxa"/>
              <w:left w:w="120" w:type="dxa"/>
              <w:bottom w:w="100" w:type="dxa"/>
              <w:right w:w="120" w:type="dxa"/>
            </w:tcMar>
            <w:vAlign w:val="center"/>
          </w:tcPr>
          <w:p w14:paraId="0B0FCBCC">
            <w:pPr>
              <w:spacing w:before="0" w:after="0" w:line="259" w:lineRule="auto"/>
              <w:jc w:val="left"/>
            </w:pPr>
            <w:r>
              <w:rPr>
                <w:rFonts w:ascii="微软雅黑" w:hAnsi="微软雅黑" w:eastAsia="微软雅黑"/>
                <w:color w:val="20262E"/>
                <w:sz w:val="18"/>
              </w:rPr>
              <w:t>prediction_backed</w:t>
            </w:r>
          </w:p>
        </w:tc>
        <w:tc>
          <w:tcPr>
            <w:tcW w:w="2160" w:type="dxa"/>
            <w:tcMar>
              <w:top w:w="100" w:type="dxa"/>
              <w:left w:w="120" w:type="dxa"/>
              <w:bottom w:w="100" w:type="dxa"/>
              <w:right w:w="120" w:type="dxa"/>
            </w:tcMar>
            <w:vAlign w:val="center"/>
          </w:tcPr>
          <w:p w14:paraId="543C0204">
            <w:pPr>
              <w:spacing w:before="0" w:after="0" w:line="259" w:lineRule="auto"/>
              <w:jc w:val="left"/>
            </w:pPr>
            <w:r>
              <w:rPr>
                <w:rFonts w:ascii="微软雅黑" w:hAnsi="微软雅黑" w:eastAsia="微软雅黑"/>
                <w:color w:val="20262E"/>
                <w:sz w:val="18"/>
              </w:rPr>
              <w:t>不能推导真实外业、机载部署或客户验收</w:t>
            </w:r>
          </w:p>
        </w:tc>
      </w:tr>
      <w:tr w14:paraId="69C0182B">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0B2909DB">
            <w:pPr>
              <w:spacing w:before="0" w:after="0" w:line="259" w:lineRule="auto"/>
              <w:jc w:val="left"/>
            </w:pPr>
            <w:r>
              <w:rPr>
                <w:rFonts w:ascii="微软雅黑" w:hAnsi="微软雅黑" w:eastAsia="微软雅黑"/>
                <w:color w:val="20262E"/>
                <w:sz w:val="18"/>
              </w:rPr>
              <w:t>正式报告页 frontend/report.html</w:t>
            </w:r>
          </w:p>
        </w:tc>
        <w:tc>
          <w:tcPr>
            <w:tcW w:w="3500" w:type="dxa"/>
            <w:tcMar>
              <w:top w:w="100" w:type="dxa"/>
              <w:left w:w="120" w:type="dxa"/>
              <w:bottom w:w="100" w:type="dxa"/>
              <w:right w:w="120" w:type="dxa"/>
            </w:tcMar>
            <w:vAlign w:val="center"/>
          </w:tcPr>
          <w:p w14:paraId="3CE56765">
            <w:pPr>
              <w:spacing w:before="0" w:after="0" w:line="259" w:lineRule="auto"/>
              <w:jc w:val="left"/>
            </w:pPr>
            <w:r>
              <w:rPr>
                <w:rFonts w:ascii="微软雅黑" w:hAnsi="微软雅黑" w:eastAsia="微软雅黑"/>
                <w:color w:val="20262E"/>
                <w:sz w:val="18"/>
              </w:rPr>
              <w:t>基于审核JSON生成可打印的诊断报告</w:t>
            </w:r>
          </w:p>
        </w:tc>
        <w:tc>
          <w:tcPr>
            <w:tcW w:w="1500" w:type="dxa"/>
            <w:tcMar>
              <w:top w:w="100" w:type="dxa"/>
              <w:left w:w="120" w:type="dxa"/>
              <w:bottom w:w="100" w:type="dxa"/>
              <w:right w:w="120" w:type="dxa"/>
            </w:tcMar>
            <w:vAlign w:val="center"/>
          </w:tcPr>
          <w:p w14:paraId="1547A66D">
            <w:pPr>
              <w:spacing w:before="0" w:after="0" w:line="259" w:lineRule="auto"/>
              <w:jc w:val="left"/>
            </w:pPr>
            <w:r>
              <w:rPr>
                <w:rFonts w:ascii="微软雅黑" w:hAnsi="微软雅黑" w:eastAsia="微软雅黑"/>
                <w:color w:val="20262E"/>
                <w:sz w:val="18"/>
              </w:rPr>
              <w:t>沿用正式JSON状态</w:t>
            </w:r>
          </w:p>
        </w:tc>
        <w:tc>
          <w:tcPr>
            <w:tcW w:w="2160" w:type="dxa"/>
            <w:tcMar>
              <w:top w:w="100" w:type="dxa"/>
              <w:left w:w="120" w:type="dxa"/>
              <w:bottom w:w="100" w:type="dxa"/>
              <w:right w:w="120" w:type="dxa"/>
            </w:tcMar>
            <w:vAlign w:val="center"/>
          </w:tcPr>
          <w:p w14:paraId="61ACC58E">
            <w:pPr>
              <w:spacing w:before="0" w:after="0" w:line="259" w:lineRule="auto"/>
              <w:jc w:val="left"/>
            </w:pPr>
            <w:r>
              <w:rPr>
                <w:rFonts w:ascii="微软雅黑" w:hAnsi="微软雅黑" w:eastAsia="微软雅黑"/>
                <w:color w:val="20262E"/>
                <w:sz w:val="18"/>
              </w:rPr>
              <w:t>不能加入JSON之外的真实指标</w:t>
            </w:r>
          </w:p>
        </w:tc>
      </w:tr>
    </w:tbl>
    <w:p w14:paraId="730C63D2">
      <w:pPr>
        <w:spacing w:after="40"/>
      </w:pPr>
    </w:p>
    <w:p w14:paraId="44661C0B">
      <w:pPr>
        <w:keepNext/>
        <w:keepLines/>
        <w:spacing w:before="80" w:after="80"/>
        <w:jc w:val="center"/>
      </w:pPr>
      <w:r>
        <w:drawing>
          <wp:inline distT="0" distB="0" distL="114300" distR="114300">
            <wp:extent cx="5623560" cy="351472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23560" cy="3514725"/>
                    </a:xfrm>
                    <a:prstGeom prst="rect">
                      <a:avLst/>
                    </a:prstGeom>
                  </pic:spPr>
                </pic:pic>
              </a:graphicData>
            </a:graphic>
          </wp:inline>
        </w:drawing>
      </w:r>
    </w:p>
    <w:p w14:paraId="12056236">
      <w:pPr>
        <w:spacing w:before="0" w:after="160"/>
        <w:jc w:val="center"/>
      </w:pPr>
      <w:r>
        <w:rPr>
          <w:rFonts w:ascii="微软雅黑" w:hAnsi="微软雅黑" w:eastAsia="微软雅黑"/>
          <w:color w:val="667085"/>
          <w:sz w:val="17"/>
        </w:rPr>
        <w:t>图3  当前竞赛产品板：用于解释航线、区域风险、方法结果与证据状态</w:t>
      </w:r>
    </w:p>
    <w:p w14:paraId="7DE47ED6">
      <w:pPr>
        <w:pStyle w:val="4"/>
        <w:keepNext/>
        <w:keepLines/>
      </w:pPr>
      <w:r>
        <w:rPr>
          <w:rFonts w:ascii="微软雅黑" w:hAnsi="微软雅黑" w:eastAsia="微软雅黑"/>
          <w:color w:val="20262E"/>
        </w:rPr>
        <w:t>12.1 完整产品还需要补齐的前端能力</w:t>
      </w:r>
    </w:p>
    <w:p w14:paraId="42F4372C">
      <w:pPr>
        <w:numPr>
          <w:ilvl w:val="0"/>
          <w:numId w:val="9"/>
        </w:numPr>
        <w:spacing w:after="160" w:line="280" w:lineRule="auto"/>
      </w:pPr>
      <w:r>
        <w:rPr>
          <w:rFonts w:ascii="微软雅黑" w:hAnsi="微软雅黑" w:eastAsia="微软雅黑"/>
          <w:color w:val="20262E"/>
          <w:sz w:val="21"/>
        </w:rPr>
        <w:t>任务中心：创建巡检任务、选择区域和航线、查看任务状态与历史架次。</w:t>
      </w:r>
    </w:p>
    <w:p w14:paraId="44396935">
      <w:pPr>
        <w:numPr>
          <w:ilvl w:val="0"/>
          <w:numId w:val="9"/>
        </w:numPr>
        <w:spacing w:after="160" w:line="280" w:lineRule="auto"/>
      </w:pPr>
      <w:r>
        <w:rPr>
          <w:rFonts w:ascii="微软雅黑" w:hAnsi="微软雅黑" w:eastAsia="微软雅黑"/>
          <w:color w:val="20262E"/>
          <w:sz w:val="21"/>
        </w:rPr>
        <w:t>数据接入：上传图像/视频与CSV或标准任务包，显示字段校验和关联失败原因。</w:t>
      </w:r>
    </w:p>
    <w:p w14:paraId="6F7724EC">
      <w:pPr>
        <w:numPr>
          <w:ilvl w:val="0"/>
          <w:numId w:val="9"/>
        </w:numPr>
        <w:spacing w:after="160" w:line="280" w:lineRule="auto"/>
      </w:pPr>
      <w:r>
        <w:rPr>
          <w:rFonts w:ascii="微软雅黑" w:hAnsi="微软雅黑" w:eastAsia="微软雅黑"/>
          <w:color w:val="20262E"/>
          <w:sz w:val="21"/>
        </w:rPr>
        <w:t>地图诊断：在真实地图或GIS底图上查看区域风险、定位质量、样本覆盖和历史趋势。</w:t>
      </w:r>
    </w:p>
    <w:p w14:paraId="78162E2E">
      <w:pPr>
        <w:numPr>
          <w:ilvl w:val="0"/>
          <w:numId w:val="9"/>
        </w:numPr>
        <w:spacing w:after="160" w:line="280" w:lineRule="auto"/>
      </w:pPr>
      <w:r>
        <w:rPr>
          <w:rFonts w:ascii="微软雅黑" w:hAnsi="微软雅黑" w:eastAsia="微软雅黑"/>
          <w:color w:val="20262E"/>
          <w:sz w:val="21"/>
        </w:rPr>
        <w:t>样本审核：查看低置信度和未知目标，完成人工确认、新类别命名与审核。</w:t>
      </w:r>
    </w:p>
    <w:p w14:paraId="63AFEAC3">
      <w:pPr>
        <w:numPr>
          <w:ilvl w:val="0"/>
          <w:numId w:val="9"/>
        </w:numPr>
        <w:spacing w:after="160" w:line="280" w:lineRule="auto"/>
      </w:pPr>
      <w:r>
        <w:rPr>
          <w:rFonts w:ascii="微软雅黑" w:hAnsi="微软雅黑" w:eastAsia="微软雅黑"/>
          <w:color w:val="20262E"/>
          <w:sz w:val="21"/>
        </w:rPr>
        <w:t>模型版本：展示当前模型、候选模型、指标门槛、发布记录和回滚入口。</w:t>
      </w:r>
    </w:p>
    <w:p w14:paraId="44EF0224">
      <w:pPr>
        <w:numPr>
          <w:ilvl w:val="0"/>
          <w:numId w:val="9"/>
        </w:numPr>
        <w:spacing w:after="160" w:line="280" w:lineRule="auto"/>
      </w:pPr>
      <w:r>
        <w:rPr>
          <w:rFonts w:ascii="微软雅黑" w:hAnsi="微软雅黑" w:eastAsia="微软雅黑"/>
          <w:color w:val="20262E"/>
          <w:sz w:val="21"/>
        </w:rPr>
        <w:t>处置闭环：生成复飞任务、补采清单、人工复核工单并跟踪完成状态。</w:t>
      </w:r>
    </w:p>
    <w:p w14:paraId="67628090">
      <w:pPr>
        <w:pStyle w:val="3"/>
        <w:keepNext/>
        <w:keepLines/>
      </w:pPr>
      <w:r>
        <w:rPr>
          <w:rFonts w:ascii="微软雅黑" w:hAnsi="微软雅黑" w:eastAsia="微软雅黑"/>
          <w:color w:val="20262E"/>
        </w:rPr>
        <w:t>13. 当前仿真如何计算</w:t>
      </w:r>
    </w:p>
    <w:p w14:paraId="7C452E33">
      <w:pPr>
        <w:pStyle w:val="4"/>
        <w:keepNext/>
        <w:keepLines/>
      </w:pPr>
      <w:r>
        <w:rPr>
          <w:rFonts w:ascii="微软雅黑" w:hAnsi="微软雅黑" w:eastAsia="微软雅黑"/>
          <w:color w:val="20262E"/>
        </w:rPr>
        <w:t>13.1 仿真任务流</w:t>
      </w:r>
    </w:p>
    <w:p w14:paraId="48A8687B">
      <w:pPr>
        <w:numPr>
          <w:ilvl w:val="0"/>
          <w:numId w:val="10"/>
        </w:numPr>
        <w:spacing w:after="160" w:line="280" w:lineRule="auto"/>
      </w:pPr>
      <w:r>
        <w:rPr>
          <w:rFonts w:ascii="微软雅黑" w:hAnsi="微软雅黑" w:eastAsia="微软雅黑"/>
          <w:color w:val="20262E"/>
          <w:sz w:val="21"/>
        </w:rPr>
        <w:t>从VisDrone检测数据中裁剪目标实例，形成10类航拍目标分类样本。</w:t>
      </w:r>
    </w:p>
    <w:p w14:paraId="172B1822">
      <w:pPr>
        <w:numPr>
          <w:ilvl w:val="0"/>
          <w:numId w:val="10"/>
        </w:numPr>
        <w:spacing w:after="160" w:line="280" w:lineRule="auto"/>
      </w:pPr>
      <w:r>
        <w:rPr>
          <w:rFonts w:ascii="微软雅黑" w:hAnsi="微软雅黑" w:eastAsia="微软雅黑"/>
          <w:color w:val="20262E"/>
          <w:sz w:val="21"/>
        </w:rPr>
        <w:t>按照新类别陆续出现的顺序划分为5个任务，模拟无人机长期巡检中目标集合扩展。</w:t>
      </w:r>
    </w:p>
    <w:p w14:paraId="55E3B86A">
      <w:pPr>
        <w:numPr>
          <w:ilvl w:val="0"/>
          <w:numId w:val="10"/>
        </w:numPr>
        <w:spacing w:after="160" w:line="280" w:lineRule="auto"/>
      </w:pPr>
      <w:r>
        <w:rPr>
          <w:rFonts w:ascii="微软雅黑" w:hAnsi="微软雅黑" w:eastAsia="微软雅黑"/>
          <w:color w:val="20262E"/>
          <w:sz w:val="21"/>
        </w:rPr>
        <w:t>按虚拟蛇形航线给样本分配时间和经纬度，并加入定位扰动，模拟北斗位置偏差。</w:t>
      </w:r>
    </w:p>
    <w:p w14:paraId="74237A09">
      <w:pPr>
        <w:numPr>
          <w:ilvl w:val="0"/>
          <w:numId w:val="10"/>
        </w:numPr>
        <w:spacing w:after="160" w:line="280" w:lineRule="auto"/>
      </w:pPr>
      <w:r>
        <w:rPr>
          <w:rFonts w:ascii="微软雅黑" w:hAnsi="微软雅黑" w:eastAsia="微软雅黑"/>
          <w:color w:val="20262E"/>
          <w:sz w:val="21"/>
        </w:rPr>
        <w:t>根据坐标将样本划入8个业务区域，例如输电走廊、山区边坡和施工扰动区。</w:t>
      </w:r>
    </w:p>
    <w:p w14:paraId="2E6BE0A7">
      <w:pPr>
        <w:numPr>
          <w:ilvl w:val="0"/>
          <w:numId w:val="10"/>
        </w:numPr>
        <w:spacing w:after="160" w:line="280" w:lineRule="auto"/>
      </w:pPr>
      <w:r>
        <w:rPr>
          <w:rFonts w:ascii="微软雅黑" w:hAnsi="微软雅黑" w:eastAsia="微软雅黑"/>
          <w:color w:val="20262E"/>
          <w:sz w:val="21"/>
        </w:rPr>
        <w:t>ER和三层方法使用相同任务流、相同预算和相同评测数据运行，输出逐样本预测。</w:t>
      </w:r>
    </w:p>
    <w:p w14:paraId="6C3CDDD7">
      <w:pPr>
        <w:numPr>
          <w:ilvl w:val="0"/>
          <w:numId w:val="10"/>
        </w:numPr>
        <w:spacing w:after="160" w:line="280" w:lineRule="auto"/>
      </w:pPr>
      <w:r>
        <w:rPr>
          <w:rFonts w:ascii="微软雅黑" w:hAnsi="微软雅黑" w:eastAsia="微软雅黑"/>
          <w:color w:val="20262E"/>
          <w:sz w:val="21"/>
        </w:rPr>
        <w:t>诊断程序按location_id汇总识别率、历史正确状态、遗忘率、定位误差和样本量。</w:t>
      </w:r>
    </w:p>
    <w:p w14:paraId="253323B8">
      <w:pPr>
        <w:numPr>
          <w:ilvl w:val="0"/>
          <w:numId w:val="10"/>
        </w:numPr>
        <w:spacing w:after="160" w:line="280" w:lineRule="auto"/>
      </w:pPr>
      <w:r>
        <w:rPr>
          <w:rFonts w:ascii="微软雅黑" w:hAnsi="微软雅黑" w:eastAsia="微软雅黑"/>
          <w:color w:val="20262E"/>
          <w:sz w:val="21"/>
        </w:rPr>
        <w:t>综合模型不稳定性与业务后果形成区域风险，并在总预算600不变的条件下分配建议额度。</w:t>
      </w:r>
    </w:p>
    <w:p w14:paraId="73612754">
      <w:pPr>
        <w:pStyle w:val="4"/>
        <w:keepNext/>
        <w:keepLines/>
      </w:pPr>
      <w:r>
        <w:rPr>
          <w:rFonts w:ascii="微软雅黑" w:hAnsi="微软雅黑" w:eastAsia="微软雅黑"/>
          <w:color w:val="20262E"/>
        </w:rPr>
        <w:t>13.2 区域风险的业务解释</w:t>
      </w:r>
    </w:p>
    <w:p w14:paraId="16EAEC89">
      <w:pPr>
        <w:spacing w:before="0" w:after="120" w:line="264" w:lineRule="auto"/>
        <w:jc w:val="both"/>
      </w:pPr>
      <w:r>
        <w:rPr>
          <w:rFonts w:ascii="微软雅黑" w:hAnsi="微软雅黑" w:eastAsia="微软雅黑"/>
          <w:color w:val="20262E"/>
          <w:sz w:val="21"/>
        </w:rPr>
        <w:t>当前公开结果把区域风险理解为“模型不稳定性 × 业务后果”的综合量。模型不稳定性来源于识别率下降、遗忘、定位质量和样本表现等诊断信息；业务后果表示该区域一旦漏检可能造成的影响。它不是通用安全概率，也不是事故发生概率，而是用于排序补采、复飞和模型维护优先级的内部决策指标。</w:t>
      </w:r>
    </w:p>
    <w:tbl>
      <w:tblPr>
        <w:tblStyle w:val="32"/>
        <w:tblW w:w="9360" w:type="dxa"/>
        <w:tblInd w:w="120" w:type="dxa"/>
        <w:tblLayout w:type="fixed"/>
        <w:tblCellMar>
          <w:top w:w="0" w:type="dxa"/>
          <w:left w:w="108" w:type="dxa"/>
          <w:bottom w:w="0" w:type="dxa"/>
          <w:right w:w="108" w:type="dxa"/>
        </w:tblCellMar>
      </w:tblPr>
      <w:tblGrid>
        <w:gridCol w:w="9360"/>
      </w:tblGrid>
      <w:tr w14:paraId="07DCAAD5">
        <w:tblPrEx>
          <w:tblCellMar>
            <w:top w:w="0" w:type="dxa"/>
            <w:left w:w="108" w:type="dxa"/>
            <w:bottom w:w="0" w:type="dxa"/>
            <w:right w:w="108" w:type="dxa"/>
          </w:tblCellMar>
        </w:tblPrEx>
        <w:trPr>
          <w:cantSplit/>
        </w:trPr>
        <w:tc>
          <w:tcPr>
            <w:tcW w:w="9360" w:type="dxa"/>
            <w:shd w:val="clear" w:color="auto" w:fill="FDECEC"/>
            <w:tcMar>
              <w:top w:w="100" w:type="dxa"/>
              <w:left w:w="120" w:type="dxa"/>
              <w:bottom w:w="100" w:type="dxa"/>
              <w:right w:w="120" w:type="dxa"/>
            </w:tcMar>
            <w:vAlign w:val="center"/>
          </w:tcPr>
          <w:p w14:paraId="2C235831">
            <w:pPr>
              <w:spacing w:before="40" w:after="40" w:line="269" w:lineRule="auto"/>
            </w:pPr>
            <w:r>
              <w:rPr>
                <w:rFonts w:ascii="微软雅黑" w:hAnsi="微软雅黑" w:eastAsia="微软雅黑"/>
                <w:b/>
                <w:color w:val="9B1C1C"/>
                <w:sz w:val="21"/>
              </w:rPr>
              <w:t xml:space="preserve">当前实现边界  </w:t>
            </w:r>
            <w:r>
              <w:rPr>
                <w:rFonts w:ascii="微软雅黑" w:hAnsi="微软雅黑" w:eastAsia="微软雅黑"/>
                <w:color w:val="20262E"/>
                <w:sz w:val="21"/>
              </w:rPr>
              <w:t>位置风险已经参与区域诊断和预算建议，但公开材料应谨慎区分“预算建议已计算”与“预算已反向控制私有训练缓存”。后者需要在私有训练侧完成联调和对照实验后才能宣称。</w:t>
            </w:r>
          </w:p>
        </w:tc>
      </w:tr>
    </w:tbl>
    <w:p w14:paraId="35164CC3">
      <w:pPr>
        <w:spacing w:after="40"/>
      </w:pPr>
    </w:p>
    <w:p w14:paraId="2E127287">
      <w:pPr>
        <w:pStyle w:val="3"/>
        <w:keepNext/>
        <w:keepLines/>
      </w:pPr>
      <w:r>
        <w:rPr>
          <w:rFonts w:ascii="微软雅黑" w:hAnsi="微软雅黑" w:eastAsia="微软雅黑"/>
          <w:color w:val="20262E"/>
        </w:rPr>
        <w:t>14. 实验设置与正式结果</w:t>
      </w:r>
    </w:p>
    <w:tbl>
      <w:tblPr>
        <w:tblStyle w:val="32"/>
        <w:tblW w:w="9360" w:type="dxa"/>
        <w:tblInd w:w="120" w:type="dxa"/>
        <w:tblLayout w:type="fixed"/>
        <w:tblCellMar>
          <w:top w:w="0" w:type="dxa"/>
          <w:left w:w="108" w:type="dxa"/>
          <w:bottom w:w="0" w:type="dxa"/>
          <w:right w:w="108" w:type="dxa"/>
        </w:tblCellMar>
      </w:tblPr>
      <w:tblGrid>
        <w:gridCol w:w="2200"/>
        <w:gridCol w:w="7160"/>
      </w:tblGrid>
      <w:tr w14:paraId="368CD860">
        <w:tblPrEx>
          <w:tblCellMar>
            <w:top w:w="0" w:type="dxa"/>
            <w:left w:w="108" w:type="dxa"/>
            <w:bottom w:w="0" w:type="dxa"/>
            <w:right w:w="108" w:type="dxa"/>
          </w:tblCellMar>
        </w:tblPrEx>
        <w:trPr>
          <w:cantSplit/>
          <w:tblHeader/>
        </w:trPr>
        <w:tc>
          <w:tcPr>
            <w:tcW w:w="2200" w:type="dxa"/>
            <w:shd w:val="clear" w:color="auto" w:fill="F2F4F7"/>
            <w:tcMar>
              <w:top w:w="100" w:type="dxa"/>
              <w:left w:w="120" w:type="dxa"/>
              <w:bottom w:w="100" w:type="dxa"/>
              <w:right w:w="120" w:type="dxa"/>
            </w:tcMar>
            <w:vAlign w:val="center"/>
          </w:tcPr>
          <w:p w14:paraId="17559E02">
            <w:pPr>
              <w:spacing w:after="0"/>
              <w:jc w:val="center"/>
            </w:pPr>
            <w:r>
              <w:rPr>
                <w:rFonts w:ascii="微软雅黑" w:hAnsi="微软雅黑" w:eastAsia="微软雅黑"/>
                <w:b/>
                <w:color w:val="17365D"/>
                <w:sz w:val="18"/>
              </w:rPr>
              <w:t>项目</w:t>
            </w:r>
          </w:p>
        </w:tc>
        <w:tc>
          <w:tcPr>
            <w:tcW w:w="7160" w:type="dxa"/>
            <w:shd w:val="clear" w:color="auto" w:fill="F2F4F7"/>
            <w:tcMar>
              <w:top w:w="100" w:type="dxa"/>
              <w:left w:w="120" w:type="dxa"/>
              <w:bottom w:w="100" w:type="dxa"/>
              <w:right w:w="120" w:type="dxa"/>
            </w:tcMar>
            <w:vAlign w:val="center"/>
          </w:tcPr>
          <w:p w14:paraId="0DDD3219">
            <w:pPr>
              <w:spacing w:after="0"/>
              <w:jc w:val="center"/>
            </w:pPr>
            <w:r>
              <w:rPr>
                <w:rFonts w:ascii="微软雅黑" w:hAnsi="微软雅黑" w:eastAsia="微软雅黑"/>
                <w:b/>
                <w:color w:val="17365D"/>
                <w:sz w:val="18"/>
              </w:rPr>
              <w:t>当前正式设置</w:t>
            </w:r>
          </w:p>
        </w:tc>
      </w:tr>
      <w:tr w14:paraId="39B60D10">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59B30AD2">
            <w:pPr>
              <w:spacing w:before="0" w:after="0" w:line="259" w:lineRule="auto"/>
              <w:jc w:val="left"/>
            </w:pPr>
            <w:r>
              <w:rPr>
                <w:rFonts w:ascii="微软雅黑" w:hAnsi="微软雅黑" w:eastAsia="微软雅黑"/>
                <w:color w:val="20262E"/>
                <w:sz w:val="18"/>
              </w:rPr>
              <w:t>数据集</w:t>
            </w:r>
          </w:p>
        </w:tc>
        <w:tc>
          <w:tcPr>
            <w:tcW w:w="7160" w:type="dxa"/>
            <w:tcMar>
              <w:top w:w="100" w:type="dxa"/>
              <w:left w:w="120" w:type="dxa"/>
              <w:bottom w:w="100" w:type="dxa"/>
              <w:right w:w="120" w:type="dxa"/>
            </w:tcMar>
            <w:vAlign w:val="center"/>
          </w:tcPr>
          <w:p w14:paraId="47502699">
            <w:pPr>
              <w:spacing w:before="0" w:after="0" w:line="259" w:lineRule="auto"/>
              <w:jc w:val="left"/>
            </w:pPr>
            <w:r>
              <w:rPr>
                <w:rFonts w:ascii="微软雅黑" w:hAnsi="微软雅黑" w:eastAsia="微软雅黑"/>
                <w:color w:val="20262E"/>
                <w:sz w:val="18"/>
              </w:rPr>
              <w:t>VisDrone-DET目标裁剪分类 + 模拟北斗坐标</w:t>
            </w:r>
          </w:p>
        </w:tc>
      </w:tr>
      <w:tr w14:paraId="3312C229">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0958B93B">
            <w:pPr>
              <w:spacing w:before="0" w:after="0" w:line="259" w:lineRule="auto"/>
              <w:jc w:val="left"/>
            </w:pPr>
            <w:r>
              <w:rPr>
                <w:rFonts w:ascii="微软雅黑" w:hAnsi="微软雅黑" w:eastAsia="微软雅黑"/>
                <w:color w:val="20262E"/>
                <w:sz w:val="18"/>
              </w:rPr>
              <w:t>数据规模</w:t>
            </w:r>
          </w:p>
        </w:tc>
        <w:tc>
          <w:tcPr>
            <w:tcW w:w="7160" w:type="dxa"/>
            <w:tcMar>
              <w:top w:w="100" w:type="dxa"/>
              <w:left w:w="120" w:type="dxa"/>
              <w:bottom w:w="100" w:type="dxa"/>
              <w:right w:w="120" w:type="dxa"/>
            </w:tcMar>
            <w:vAlign w:val="center"/>
          </w:tcPr>
          <w:p w14:paraId="24D1181F">
            <w:pPr>
              <w:spacing w:before="0" w:after="0" w:line="259" w:lineRule="auto"/>
              <w:jc w:val="left"/>
            </w:pPr>
            <w:r>
              <w:rPr>
                <w:rFonts w:ascii="微软雅黑" w:hAnsi="微软雅黑" w:eastAsia="微软雅黑"/>
                <w:color w:val="20262E"/>
                <w:sz w:val="18"/>
              </w:rPr>
              <w:t>4301条元数据、4301条预测记录</w:t>
            </w:r>
          </w:p>
        </w:tc>
      </w:tr>
      <w:tr w14:paraId="0E87A759">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0386DCF9">
            <w:pPr>
              <w:spacing w:before="0" w:after="0" w:line="259" w:lineRule="auto"/>
              <w:jc w:val="left"/>
            </w:pPr>
            <w:r>
              <w:rPr>
                <w:rFonts w:ascii="微软雅黑" w:hAnsi="微软雅黑" w:eastAsia="微软雅黑"/>
                <w:color w:val="20262E"/>
                <w:sz w:val="18"/>
              </w:rPr>
              <w:t>类别/任务</w:t>
            </w:r>
          </w:p>
        </w:tc>
        <w:tc>
          <w:tcPr>
            <w:tcW w:w="7160" w:type="dxa"/>
            <w:tcMar>
              <w:top w:w="100" w:type="dxa"/>
              <w:left w:w="120" w:type="dxa"/>
              <w:bottom w:w="100" w:type="dxa"/>
              <w:right w:w="120" w:type="dxa"/>
            </w:tcMar>
            <w:vAlign w:val="center"/>
          </w:tcPr>
          <w:p w14:paraId="0EB90E5D">
            <w:pPr>
              <w:spacing w:before="0" w:after="0" w:line="259" w:lineRule="auto"/>
              <w:jc w:val="left"/>
            </w:pPr>
            <w:r>
              <w:rPr>
                <w:rFonts w:ascii="微软雅黑" w:hAnsi="微软雅黑" w:eastAsia="微软雅黑"/>
                <w:color w:val="20262E"/>
                <w:sz w:val="18"/>
              </w:rPr>
              <w:t>10类、5个顺序类别增量任务</w:t>
            </w:r>
          </w:p>
        </w:tc>
      </w:tr>
      <w:tr w14:paraId="1C36CC15">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1E445BAB">
            <w:pPr>
              <w:spacing w:before="0" w:after="0" w:line="259" w:lineRule="auto"/>
              <w:jc w:val="left"/>
            </w:pPr>
            <w:r>
              <w:rPr>
                <w:rFonts w:ascii="微软雅黑" w:hAnsi="微软雅黑" w:eastAsia="微软雅黑"/>
                <w:color w:val="20262E"/>
                <w:sz w:val="18"/>
              </w:rPr>
              <w:t>对比方法</w:t>
            </w:r>
          </w:p>
        </w:tc>
        <w:tc>
          <w:tcPr>
            <w:tcW w:w="7160" w:type="dxa"/>
            <w:tcMar>
              <w:top w:w="100" w:type="dxa"/>
              <w:left w:w="120" w:type="dxa"/>
              <w:bottom w:w="100" w:type="dxa"/>
              <w:right w:w="120" w:type="dxa"/>
            </w:tcMar>
            <w:vAlign w:val="center"/>
          </w:tcPr>
          <w:p w14:paraId="01850C49">
            <w:pPr>
              <w:spacing w:before="0" w:after="0" w:line="259" w:lineRule="auto"/>
              <w:jc w:val="left"/>
            </w:pPr>
            <w:r>
              <w:rPr>
                <w:rFonts w:ascii="微软雅黑" w:hAnsi="微软雅黑" w:eastAsia="微软雅黑"/>
                <w:color w:val="20262E"/>
                <w:sz w:val="18"/>
              </w:rPr>
              <w:t>ER经验回放 vs. 三层因果语义回放</w:t>
            </w:r>
          </w:p>
        </w:tc>
      </w:tr>
      <w:tr w14:paraId="6DBE144F">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531C38AE">
            <w:pPr>
              <w:spacing w:before="0" w:after="0" w:line="259" w:lineRule="auto"/>
              <w:jc w:val="left"/>
            </w:pPr>
            <w:r>
              <w:rPr>
                <w:rFonts w:ascii="微软雅黑" w:hAnsi="微软雅黑" w:eastAsia="微软雅黑"/>
                <w:color w:val="20262E"/>
                <w:sz w:val="18"/>
              </w:rPr>
              <w:t>回放预算</w:t>
            </w:r>
          </w:p>
        </w:tc>
        <w:tc>
          <w:tcPr>
            <w:tcW w:w="7160" w:type="dxa"/>
            <w:tcMar>
              <w:top w:w="100" w:type="dxa"/>
              <w:left w:w="120" w:type="dxa"/>
              <w:bottom w:w="100" w:type="dxa"/>
              <w:right w:w="120" w:type="dxa"/>
            </w:tcMar>
            <w:vAlign w:val="center"/>
          </w:tcPr>
          <w:p w14:paraId="2A5BDF0E">
            <w:pPr>
              <w:spacing w:before="0" w:after="0" w:line="259" w:lineRule="auto"/>
              <w:jc w:val="left"/>
            </w:pPr>
            <w:r>
              <w:rPr>
                <w:rFonts w:ascii="微软雅黑" w:hAnsi="微软雅黑" w:eastAsia="微软雅黑"/>
                <w:color w:val="20262E"/>
                <w:sz w:val="18"/>
              </w:rPr>
              <w:t>固定总预算600，分配总和600</w:t>
            </w:r>
          </w:p>
        </w:tc>
      </w:tr>
      <w:tr w14:paraId="75ED265E">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78B2D52D">
            <w:pPr>
              <w:spacing w:before="0" w:after="0" w:line="259" w:lineRule="auto"/>
              <w:jc w:val="left"/>
            </w:pPr>
            <w:r>
              <w:rPr>
                <w:rFonts w:ascii="微软雅黑" w:hAnsi="微软雅黑" w:eastAsia="微软雅黑"/>
                <w:color w:val="20262E"/>
                <w:sz w:val="18"/>
              </w:rPr>
              <w:t>地理区域</w:t>
            </w:r>
          </w:p>
        </w:tc>
        <w:tc>
          <w:tcPr>
            <w:tcW w:w="7160" w:type="dxa"/>
            <w:tcMar>
              <w:top w:w="100" w:type="dxa"/>
              <w:left w:w="120" w:type="dxa"/>
              <w:bottom w:w="100" w:type="dxa"/>
              <w:right w:w="120" w:type="dxa"/>
            </w:tcMar>
            <w:vAlign w:val="center"/>
          </w:tcPr>
          <w:p w14:paraId="2A1B057B">
            <w:pPr>
              <w:spacing w:before="0" w:after="0" w:line="259" w:lineRule="auto"/>
              <w:jc w:val="left"/>
            </w:pPr>
            <w:r>
              <w:rPr>
                <w:rFonts w:ascii="微软雅黑" w:hAnsi="微软雅黑" w:eastAsia="微软雅黑"/>
                <w:color w:val="20262E"/>
                <w:sz w:val="18"/>
              </w:rPr>
              <w:t>8个虚拟业务区域，含定位误差、定位质量、遗忘和风险指标</w:t>
            </w:r>
          </w:p>
        </w:tc>
      </w:tr>
      <w:tr w14:paraId="3559A655">
        <w:tblPrEx>
          <w:tblCellMar>
            <w:top w:w="0" w:type="dxa"/>
            <w:left w:w="108" w:type="dxa"/>
            <w:bottom w:w="0" w:type="dxa"/>
            <w:right w:w="108" w:type="dxa"/>
          </w:tblCellMar>
        </w:tblPrEx>
        <w:trPr>
          <w:cantSplit/>
        </w:trPr>
        <w:tc>
          <w:tcPr>
            <w:tcW w:w="2200" w:type="dxa"/>
            <w:tcMar>
              <w:top w:w="100" w:type="dxa"/>
              <w:left w:w="120" w:type="dxa"/>
              <w:bottom w:w="100" w:type="dxa"/>
              <w:right w:w="120" w:type="dxa"/>
            </w:tcMar>
            <w:vAlign w:val="center"/>
          </w:tcPr>
          <w:p w14:paraId="4F5E0DD2">
            <w:pPr>
              <w:spacing w:before="0" w:after="0" w:line="259" w:lineRule="auto"/>
              <w:jc w:val="left"/>
            </w:pPr>
            <w:r>
              <w:rPr>
                <w:rFonts w:ascii="微软雅黑" w:hAnsi="微软雅黑" w:eastAsia="微软雅黑"/>
                <w:color w:val="20262E"/>
                <w:sz w:val="18"/>
              </w:rPr>
              <w:t>结果状态</w:t>
            </w:r>
          </w:p>
        </w:tc>
        <w:tc>
          <w:tcPr>
            <w:tcW w:w="7160" w:type="dxa"/>
            <w:tcMar>
              <w:top w:w="100" w:type="dxa"/>
              <w:left w:w="120" w:type="dxa"/>
              <w:bottom w:w="100" w:type="dxa"/>
              <w:right w:w="120" w:type="dxa"/>
            </w:tcMar>
            <w:vAlign w:val="center"/>
          </w:tcPr>
          <w:p w14:paraId="2EAAE4C6">
            <w:pPr>
              <w:spacing w:before="0" w:after="0" w:line="259" w:lineRule="auto"/>
              <w:jc w:val="left"/>
            </w:pPr>
            <w:r>
              <w:rPr>
                <w:rFonts w:ascii="微软雅黑" w:hAnsi="微软雅黑" w:eastAsia="微软雅黑"/>
                <w:color w:val="20262E"/>
                <w:sz w:val="18"/>
              </w:rPr>
              <w:t>competition_candidate / recommended_for_bp = true</w:t>
            </w:r>
          </w:p>
        </w:tc>
      </w:tr>
    </w:tbl>
    <w:p w14:paraId="3E986D06">
      <w:pPr>
        <w:spacing w:after="40"/>
      </w:pPr>
    </w:p>
    <w:p w14:paraId="193E51B7">
      <w:pPr>
        <w:pStyle w:val="4"/>
        <w:keepNext/>
        <w:keepLines/>
      </w:pPr>
      <w:r>
        <w:rPr>
          <w:rFonts w:ascii="微软雅黑" w:hAnsi="微软雅黑" w:eastAsia="微软雅黑"/>
          <w:color w:val="20262E"/>
        </w:rPr>
        <w:t>14.1 方法对比</w:t>
      </w:r>
    </w:p>
    <w:tbl>
      <w:tblPr>
        <w:tblStyle w:val="32"/>
        <w:tblW w:w="9360" w:type="dxa"/>
        <w:tblInd w:w="120" w:type="dxa"/>
        <w:tblLayout w:type="fixed"/>
        <w:tblCellMar>
          <w:top w:w="0" w:type="dxa"/>
          <w:left w:w="108" w:type="dxa"/>
          <w:bottom w:w="0" w:type="dxa"/>
          <w:right w:w="108" w:type="dxa"/>
        </w:tblCellMar>
      </w:tblPr>
      <w:tblGrid>
        <w:gridCol w:w="3400"/>
        <w:gridCol w:w="1980"/>
        <w:gridCol w:w="1980"/>
        <w:gridCol w:w="2000"/>
      </w:tblGrid>
      <w:tr w14:paraId="3A4C9A7F">
        <w:tblPrEx>
          <w:tblCellMar>
            <w:top w:w="0" w:type="dxa"/>
            <w:left w:w="108" w:type="dxa"/>
            <w:bottom w:w="0" w:type="dxa"/>
            <w:right w:w="108" w:type="dxa"/>
          </w:tblCellMar>
        </w:tblPrEx>
        <w:trPr>
          <w:cantSplit/>
          <w:tblHeader/>
        </w:trPr>
        <w:tc>
          <w:tcPr>
            <w:tcW w:w="3400" w:type="dxa"/>
            <w:shd w:val="clear" w:color="auto" w:fill="F2F4F7"/>
            <w:tcMar>
              <w:top w:w="100" w:type="dxa"/>
              <w:left w:w="120" w:type="dxa"/>
              <w:bottom w:w="100" w:type="dxa"/>
              <w:right w:w="120" w:type="dxa"/>
            </w:tcMar>
            <w:vAlign w:val="center"/>
          </w:tcPr>
          <w:p w14:paraId="777206C1">
            <w:pPr>
              <w:spacing w:after="0"/>
              <w:jc w:val="center"/>
            </w:pPr>
            <w:r>
              <w:rPr>
                <w:rFonts w:ascii="微软雅黑" w:hAnsi="微软雅黑" w:eastAsia="微软雅黑"/>
                <w:b/>
                <w:color w:val="17365D"/>
                <w:sz w:val="18"/>
              </w:rPr>
              <w:t>方法</w:t>
            </w:r>
          </w:p>
        </w:tc>
        <w:tc>
          <w:tcPr>
            <w:tcW w:w="1980" w:type="dxa"/>
            <w:shd w:val="clear" w:color="auto" w:fill="F2F4F7"/>
            <w:tcMar>
              <w:top w:w="100" w:type="dxa"/>
              <w:left w:w="120" w:type="dxa"/>
              <w:bottom w:w="100" w:type="dxa"/>
              <w:right w:w="120" w:type="dxa"/>
            </w:tcMar>
            <w:vAlign w:val="center"/>
          </w:tcPr>
          <w:p w14:paraId="303F9992">
            <w:pPr>
              <w:spacing w:after="0"/>
              <w:jc w:val="center"/>
            </w:pPr>
            <w:r>
              <w:rPr>
                <w:rFonts w:ascii="微软雅黑" w:hAnsi="微软雅黑" w:eastAsia="微软雅黑"/>
                <w:b/>
                <w:color w:val="17365D"/>
                <w:sz w:val="18"/>
              </w:rPr>
              <w:t>最终平均准确率</w:t>
            </w:r>
          </w:p>
        </w:tc>
        <w:tc>
          <w:tcPr>
            <w:tcW w:w="1980" w:type="dxa"/>
            <w:shd w:val="clear" w:color="auto" w:fill="F2F4F7"/>
            <w:tcMar>
              <w:top w:w="100" w:type="dxa"/>
              <w:left w:w="120" w:type="dxa"/>
              <w:bottom w:w="100" w:type="dxa"/>
              <w:right w:w="120" w:type="dxa"/>
            </w:tcMar>
            <w:vAlign w:val="center"/>
          </w:tcPr>
          <w:p w14:paraId="435DCA6B">
            <w:pPr>
              <w:spacing w:after="0"/>
              <w:jc w:val="center"/>
            </w:pPr>
            <w:r>
              <w:rPr>
                <w:rFonts w:ascii="微软雅黑" w:hAnsi="微软雅黑" w:eastAsia="微软雅黑"/>
                <w:b/>
                <w:color w:val="17365D"/>
                <w:sz w:val="18"/>
              </w:rPr>
              <w:t>宏平均准确率</w:t>
            </w:r>
          </w:p>
        </w:tc>
        <w:tc>
          <w:tcPr>
            <w:tcW w:w="2000" w:type="dxa"/>
            <w:shd w:val="clear" w:color="auto" w:fill="F2F4F7"/>
            <w:tcMar>
              <w:top w:w="100" w:type="dxa"/>
              <w:left w:w="120" w:type="dxa"/>
              <w:bottom w:w="100" w:type="dxa"/>
              <w:right w:w="120" w:type="dxa"/>
            </w:tcMar>
            <w:vAlign w:val="center"/>
          </w:tcPr>
          <w:p w14:paraId="5D26B972">
            <w:pPr>
              <w:spacing w:after="0"/>
              <w:jc w:val="center"/>
            </w:pPr>
            <w:r>
              <w:rPr>
                <w:rFonts w:ascii="微软雅黑" w:hAnsi="微软雅黑" w:eastAsia="微软雅黑"/>
                <w:b/>
                <w:color w:val="17365D"/>
                <w:sz w:val="18"/>
              </w:rPr>
              <w:t>平均遗忘率</w:t>
            </w:r>
          </w:p>
        </w:tc>
      </w:tr>
      <w:tr w14:paraId="434E7D8A">
        <w:tblPrEx>
          <w:tblCellMar>
            <w:top w:w="0" w:type="dxa"/>
            <w:left w:w="108" w:type="dxa"/>
            <w:bottom w:w="0" w:type="dxa"/>
            <w:right w:w="108" w:type="dxa"/>
          </w:tblCellMar>
        </w:tblPrEx>
        <w:trPr>
          <w:cantSplit/>
        </w:trPr>
        <w:tc>
          <w:tcPr>
            <w:tcW w:w="3400" w:type="dxa"/>
            <w:tcMar>
              <w:top w:w="100" w:type="dxa"/>
              <w:left w:w="120" w:type="dxa"/>
              <w:bottom w:w="100" w:type="dxa"/>
              <w:right w:w="120" w:type="dxa"/>
            </w:tcMar>
            <w:vAlign w:val="center"/>
          </w:tcPr>
          <w:p w14:paraId="73B3C964">
            <w:pPr>
              <w:spacing w:before="0" w:after="0" w:line="259" w:lineRule="auto"/>
              <w:jc w:val="left"/>
            </w:pPr>
            <w:r>
              <w:rPr>
                <w:rFonts w:ascii="微软雅黑" w:hAnsi="微软雅黑" w:eastAsia="微软雅黑"/>
                <w:color w:val="20262E"/>
                <w:sz w:val="18"/>
              </w:rPr>
              <w:t>ER经验回放</w:t>
            </w:r>
          </w:p>
        </w:tc>
        <w:tc>
          <w:tcPr>
            <w:tcW w:w="1980" w:type="dxa"/>
            <w:tcMar>
              <w:top w:w="100" w:type="dxa"/>
              <w:left w:w="120" w:type="dxa"/>
              <w:bottom w:w="100" w:type="dxa"/>
              <w:right w:w="120" w:type="dxa"/>
            </w:tcMar>
            <w:vAlign w:val="center"/>
          </w:tcPr>
          <w:p w14:paraId="503D7CD7">
            <w:pPr>
              <w:spacing w:before="0" w:after="0" w:line="259" w:lineRule="auto"/>
              <w:jc w:val="center"/>
            </w:pPr>
            <w:r>
              <w:rPr>
                <w:rFonts w:ascii="微软雅黑" w:hAnsi="微软雅黑" w:eastAsia="微软雅黑"/>
                <w:color w:val="20262E"/>
                <w:sz w:val="18"/>
              </w:rPr>
              <w:t>31.48%</w:t>
            </w:r>
          </w:p>
        </w:tc>
        <w:tc>
          <w:tcPr>
            <w:tcW w:w="1980" w:type="dxa"/>
            <w:tcMar>
              <w:top w:w="100" w:type="dxa"/>
              <w:left w:w="120" w:type="dxa"/>
              <w:bottom w:w="100" w:type="dxa"/>
              <w:right w:w="120" w:type="dxa"/>
            </w:tcMar>
            <w:vAlign w:val="center"/>
          </w:tcPr>
          <w:p w14:paraId="40830799">
            <w:pPr>
              <w:spacing w:before="0" w:after="0" w:line="259" w:lineRule="auto"/>
              <w:jc w:val="center"/>
            </w:pPr>
            <w:r>
              <w:rPr>
                <w:rFonts w:ascii="微软雅黑" w:hAnsi="微软雅黑" w:eastAsia="微软雅黑"/>
                <w:color w:val="20262E"/>
                <w:sz w:val="18"/>
              </w:rPr>
              <w:t>37.27%</w:t>
            </w:r>
          </w:p>
        </w:tc>
        <w:tc>
          <w:tcPr>
            <w:tcW w:w="2000" w:type="dxa"/>
            <w:tcMar>
              <w:top w:w="100" w:type="dxa"/>
              <w:left w:w="120" w:type="dxa"/>
              <w:bottom w:w="100" w:type="dxa"/>
              <w:right w:w="120" w:type="dxa"/>
            </w:tcMar>
            <w:vAlign w:val="center"/>
          </w:tcPr>
          <w:p w14:paraId="3E2C3ACF">
            <w:pPr>
              <w:spacing w:before="0" w:after="0" w:line="259" w:lineRule="auto"/>
              <w:jc w:val="center"/>
            </w:pPr>
            <w:r>
              <w:rPr>
                <w:rFonts w:ascii="微软雅黑" w:hAnsi="微软雅黑" w:eastAsia="微软雅黑"/>
                <w:color w:val="20262E"/>
                <w:sz w:val="18"/>
              </w:rPr>
              <w:t>51.32%</w:t>
            </w:r>
          </w:p>
        </w:tc>
      </w:tr>
      <w:tr w14:paraId="7645DCD6">
        <w:tblPrEx>
          <w:tblCellMar>
            <w:top w:w="0" w:type="dxa"/>
            <w:left w:w="108" w:type="dxa"/>
            <w:bottom w:w="0" w:type="dxa"/>
            <w:right w:w="108" w:type="dxa"/>
          </w:tblCellMar>
        </w:tblPrEx>
        <w:trPr>
          <w:cantSplit/>
        </w:trPr>
        <w:tc>
          <w:tcPr>
            <w:tcW w:w="3400" w:type="dxa"/>
            <w:tcMar>
              <w:top w:w="100" w:type="dxa"/>
              <w:left w:w="120" w:type="dxa"/>
              <w:bottom w:w="100" w:type="dxa"/>
              <w:right w:w="120" w:type="dxa"/>
            </w:tcMar>
            <w:vAlign w:val="center"/>
          </w:tcPr>
          <w:p w14:paraId="6D43FDA8">
            <w:pPr>
              <w:spacing w:before="0" w:after="0" w:line="259" w:lineRule="auto"/>
              <w:jc w:val="left"/>
            </w:pPr>
            <w:r>
              <w:rPr>
                <w:rFonts w:ascii="微软雅黑" w:hAnsi="微软雅黑" w:eastAsia="微软雅黑"/>
                <w:color w:val="20262E"/>
                <w:sz w:val="18"/>
              </w:rPr>
              <w:t>三层因果语义回放</w:t>
            </w:r>
          </w:p>
        </w:tc>
        <w:tc>
          <w:tcPr>
            <w:tcW w:w="1980" w:type="dxa"/>
            <w:tcMar>
              <w:top w:w="100" w:type="dxa"/>
              <w:left w:w="120" w:type="dxa"/>
              <w:bottom w:w="100" w:type="dxa"/>
              <w:right w:w="120" w:type="dxa"/>
            </w:tcMar>
            <w:vAlign w:val="center"/>
          </w:tcPr>
          <w:p w14:paraId="279CCD81">
            <w:pPr>
              <w:spacing w:before="0" w:after="0" w:line="259" w:lineRule="auto"/>
              <w:jc w:val="center"/>
            </w:pPr>
            <w:r>
              <w:rPr>
                <w:rFonts w:ascii="微软雅黑" w:hAnsi="微软雅黑" w:eastAsia="微软雅黑"/>
                <w:color w:val="20262E"/>
                <w:sz w:val="18"/>
              </w:rPr>
              <w:t>43.59%</w:t>
            </w:r>
          </w:p>
        </w:tc>
        <w:tc>
          <w:tcPr>
            <w:tcW w:w="1980" w:type="dxa"/>
            <w:tcMar>
              <w:top w:w="100" w:type="dxa"/>
              <w:left w:w="120" w:type="dxa"/>
              <w:bottom w:w="100" w:type="dxa"/>
              <w:right w:w="120" w:type="dxa"/>
            </w:tcMar>
            <w:vAlign w:val="center"/>
          </w:tcPr>
          <w:p w14:paraId="12169CDF">
            <w:pPr>
              <w:spacing w:before="0" w:after="0" w:line="259" w:lineRule="auto"/>
              <w:jc w:val="center"/>
            </w:pPr>
            <w:r>
              <w:rPr>
                <w:rFonts w:ascii="微软雅黑" w:hAnsi="微软雅黑" w:eastAsia="微软雅黑"/>
                <w:color w:val="20262E"/>
                <w:sz w:val="18"/>
              </w:rPr>
              <w:t>43.33%</w:t>
            </w:r>
          </w:p>
        </w:tc>
        <w:tc>
          <w:tcPr>
            <w:tcW w:w="2000" w:type="dxa"/>
            <w:tcMar>
              <w:top w:w="100" w:type="dxa"/>
              <w:left w:w="120" w:type="dxa"/>
              <w:bottom w:w="100" w:type="dxa"/>
              <w:right w:w="120" w:type="dxa"/>
            </w:tcMar>
            <w:vAlign w:val="center"/>
          </w:tcPr>
          <w:p w14:paraId="0D1DAF00">
            <w:pPr>
              <w:spacing w:before="0" w:after="0" w:line="259" w:lineRule="auto"/>
              <w:jc w:val="center"/>
            </w:pPr>
            <w:r>
              <w:rPr>
                <w:rFonts w:ascii="微软雅黑" w:hAnsi="微软雅黑" w:eastAsia="微软雅黑"/>
                <w:color w:val="20262E"/>
                <w:sz w:val="18"/>
              </w:rPr>
              <w:t>32.09%</w:t>
            </w:r>
          </w:p>
        </w:tc>
      </w:tr>
      <w:tr w14:paraId="28991A46">
        <w:tblPrEx>
          <w:tblCellMar>
            <w:top w:w="0" w:type="dxa"/>
            <w:left w:w="108" w:type="dxa"/>
            <w:bottom w:w="0" w:type="dxa"/>
            <w:right w:w="108" w:type="dxa"/>
          </w:tblCellMar>
        </w:tblPrEx>
        <w:trPr>
          <w:cantSplit/>
        </w:trPr>
        <w:tc>
          <w:tcPr>
            <w:tcW w:w="3400" w:type="dxa"/>
            <w:tcMar>
              <w:top w:w="100" w:type="dxa"/>
              <w:left w:w="120" w:type="dxa"/>
              <w:bottom w:w="100" w:type="dxa"/>
              <w:right w:w="120" w:type="dxa"/>
            </w:tcMar>
            <w:vAlign w:val="center"/>
          </w:tcPr>
          <w:p w14:paraId="042AB903">
            <w:pPr>
              <w:spacing w:before="0" w:after="0" w:line="259" w:lineRule="auto"/>
              <w:jc w:val="left"/>
            </w:pPr>
            <w:r>
              <w:rPr>
                <w:rFonts w:ascii="微软雅黑" w:hAnsi="微软雅黑" w:eastAsia="微软雅黑"/>
                <w:color w:val="20262E"/>
                <w:sz w:val="18"/>
              </w:rPr>
              <w:t>差异</w:t>
            </w:r>
          </w:p>
        </w:tc>
        <w:tc>
          <w:tcPr>
            <w:tcW w:w="1980" w:type="dxa"/>
            <w:tcMar>
              <w:top w:w="100" w:type="dxa"/>
              <w:left w:w="120" w:type="dxa"/>
              <w:bottom w:w="100" w:type="dxa"/>
              <w:right w:w="120" w:type="dxa"/>
            </w:tcMar>
            <w:vAlign w:val="center"/>
          </w:tcPr>
          <w:p w14:paraId="477D6394">
            <w:pPr>
              <w:spacing w:before="0" w:after="0" w:line="259" w:lineRule="auto"/>
              <w:jc w:val="center"/>
            </w:pPr>
            <w:r>
              <w:rPr>
                <w:rFonts w:ascii="微软雅黑" w:hAnsi="微软雅黑" w:eastAsia="微软雅黑"/>
                <w:color w:val="20262E"/>
                <w:sz w:val="18"/>
              </w:rPr>
              <w:t>+12.11 pp</w:t>
            </w:r>
          </w:p>
        </w:tc>
        <w:tc>
          <w:tcPr>
            <w:tcW w:w="1980" w:type="dxa"/>
            <w:tcMar>
              <w:top w:w="100" w:type="dxa"/>
              <w:left w:w="120" w:type="dxa"/>
              <w:bottom w:w="100" w:type="dxa"/>
              <w:right w:w="120" w:type="dxa"/>
            </w:tcMar>
            <w:vAlign w:val="center"/>
          </w:tcPr>
          <w:p w14:paraId="7E9375A3">
            <w:pPr>
              <w:spacing w:before="0" w:after="0" w:line="259" w:lineRule="auto"/>
              <w:jc w:val="center"/>
            </w:pPr>
            <w:r>
              <w:rPr>
                <w:rFonts w:ascii="微软雅黑" w:hAnsi="微软雅黑" w:eastAsia="微软雅黑"/>
                <w:color w:val="20262E"/>
                <w:sz w:val="18"/>
              </w:rPr>
              <w:t>+6.06 pp</w:t>
            </w:r>
          </w:p>
        </w:tc>
        <w:tc>
          <w:tcPr>
            <w:tcW w:w="2000" w:type="dxa"/>
            <w:tcMar>
              <w:top w:w="100" w:type="dxa"/>
              <w:left w:w="120" w:type="dxa"/>
              <w:bottom w:w="100" w:type="dxa"/>
              <w:right w:w="120" w:type="dxa"/>
            </w:tcMar>
            <w:vAlign w:val="center"/>
          </w:tcPr>
          <w:p w14:paraId="0F42CE10">
            <w:pPr>
              <w:spacing w:before="0" w:after="0" w:line="259" w:lineRule="auto"/>
              <w:jc w:val="center"/>
            </w:pPr>
            <w:r>
              <w:rPr>
                <w:rFonts w:ascii="微软雅黑" w:hAnsi="微软雅黑" w:eastAsia="微软雅黑"/>
                <w:color w:val="20262E"/>
                <w:sz w:val="18"/>
              </w:rPr>
              <w:t>-19.23 pp</w:t>
            </w:r>
          </w:p>
        </w:tc>
      </w:tr>
    </w:tbl>
    <w:p w14:paraId="4AC66B71">
      <w:pPr>
        <w:spacing w:after="40"/>
      </w:pPr>
    </w:p>
    <w:p w14:paraId="3CC3E36A">
      <w:pPr>
        <w:spacing w:before="0" w:after="120" w:line="264" w:lineRule="auto"/>
        <w:jc w:val="both"/>
      </w:pPr>
      <w:r>
        <w:rPr>
          <w:rFonts w:ascii="微软雅黑" w:hAnsi="微软雅黑" w:eastAsia="微软雅黑"/>
          <w:color w:val="20262E"/>
          <w:sz w:val="21"/>
        </w:rPr>
        <w:t>这里的“准确率”用于评估模型在连续学习全部任务后，能否同时识别已经学过的新旧类别；“遗忘率”用于衡量旧任务在后续学习后下降了多少。对于持续学习项目，只有当前任务准确率高并不够，必须证明模型没有把前面学过的类别大规模忘掉。</w:t>
      </w:r>
    </w:p>
    <w:p w14:paraId="0B27CC7A">
      <w:pPr>
        <w:pStyle w:val="4"/>
        <w:keepNext/>
        <w:keepLines/>
      </w:pPr>
      <w:r>
        <w:rPr>
          <w:rFonts w:ascii="微软雅黑" w:hAnsi="微软雅黑" w:eastAsia="微软雅黑"/>
          <w:color w:val="20262E"/>
        </w:rPr>
        <w:t>14.2 区域风险与预算</w:t>
      </w:r>
    </w:p>
    <w:tbl>
      <w:tblPr>
        <w:tblStyle w:val="32"/>
        <w:tblW w:w="9360" w:type="dxa"/>
        <w:tblInd w:w="120" w:type="dxa"/>
        <w:tblLayout w:type="fixed"/>
        <w:tblCellMar>
          <w:top w:w="0" w:type="dxa"/>
          <w:left w:w="108" w:type="dxa"/>
          <w:bottom w:w="0" w:type="dxa"/>
          <w:right w:w="108" w:type="dxa"/>
        </w:tblCellMar>
      </w:tblPr>
      <w:tblGrid>
        <w:gridCol w:w="2600"/>
        <w:gridCol w:w="1100"/>
        <w:gridCol w:w="1400"/>
        <w:gridCol w:w="1400"/>
        <w:gridCol w:w="1300"/>
        <w:gridCol w:w="1560"/>
      </w:tblGrid>
      <w:tr w14:paraId="0FC0F4CB">
        <w:tblPrEx>
          <w:tblCellMar>
            <w:top w:w="0" w:type="dxa"/>
            <w:left w:w="108" w:type="dxa"/>
            <w:bottom w:w="0" w:type="dxa"/>
            <w:right w:w="108" w:type="dxa"/>
          </w:tblCellMar>
        </w:tblPrEx>
        <w:trPr>
          <w:cantSplit/>
          <w:tblHeader/>
        </w:trPr>
        <w:tc>
          <w:tcPr>
            <w:tcW w:w="2600" w:type="dxa"/>
            <w:shd w:val="clear" w:color="auto" w:fill="F2F4F7"/>
            <w:tcMar>
              <w:top w:w="100" w:type="dxa"/>
              <w:left w:w="120" w:type="dxa"/>
              <w:bottom w:w="100" w:type="dxa"/>
              <w:right w:w="120" w:type="dxa"/>
            </w:tcMar>
            <w:vAlign w:val="center"/>
          </w:tcPr>
          <w:p w14:paraId="2F8CA5ED">
            <w:pPr>
              <w:spacing w:after="0"/>
              <w:jc w:val="center"/>
            </w:pPr>
            <w:r>
              <w:rPr>
                <w:rFonts w:ascii="微软雅黑" w:hAnsi="微软雅黑" w:eastAsia="微软雅黑"/>
                <w:b/>
                <w:color w:val="17365D"/>
                <w:sz w:val="18"/>
              </w:rPr>
              <w:t>区域</w:t>
            </w:r>
          </w:p>
        </w:tc>
        <w:tc>
          <w:tcPr>
            <w:tcW w:w="1100" w:type="dxa"/>
            <w:shd w:val="clear" w:color="auto" w:fill="F2F4F7"/>
            <w:tcMar>
              <w:top w:w="100" w:type="dxa"/>
              <w:left w:w="120" w:type="dxa"/>
              <w:bottom w:w="100" w:type="dxa"/>
              <w:right w:w="120" w:type="dxa"/>
            </w:tcMar>
            <w:vAlign w:val="center"/>
          </w:tcPr>
          <w:p w14:paraId="0DA69C46">
            <w:pPr>
              <w:spacing w:after="0"/>
              <w:jc w:val="center"/>
            </w:pPr>
            <w:r>
              <w:rPr>
                <w:rFonts w:ascii="微软雅黑" w:hAnsi="微软雅黑" w:eastAsia="微软雅黑"/>
                <w:b/>
                <w:color w:val="17365D"/>
                <w:sz w:val="18"/>
              </w:rPr>
              <w:t>样本数</w:t>
            </w:r>
          </w:p>
        </w:tc>
        <w:tc>
          <w:tcPr>
            <w:tcW w:w="1400" w:type="dxa"/>
            <w:shd w:val="clear" w:color="auto" w:fill="F2F4F7"/>
            <w:tcMar>
              <w:top w:w="100" w:type="dxa"/>
              <w:left w:w="120" w:type="dxa"/>
              <w:bottom w:w="100" w:type="dxa"/>
              <w:right w:w="120" w:type="dxa"/>
            </w:tcMar>
            <w:vAlign w:val="center"/>
          </w:tcPr>
          <w:p w14:paraId="0445F1F6">
            <w:pPr>
              <w:spacing w:after="0"/>
              <w:jc w:val="center"/>
            </w:pPr>
            <w:r>
              <w:rPr>
                <w:rFonts w:ascii="微软雅黑" w:hAnsi="微软雅黑" w:eastAsia="微软雅黑"/>
                <w:b/>
                <w:color w:val="17365D"/>
                <w:sz w:val="18"/>
              </w:rPr>
              <w:t>识别率</w:t>
            </w:r>
          </w:p>
        </w:tc>
        <w:tc>
          <w:tcPr>
            <w:tcW w:w="1400" w:type="dxa"/>
            <w:shd w:val="clear" w:color="auto" w:fill="F2F4F7"/>
            <w:tcMar>
              <w:top w:w="100" w:type="dxa"/>
              <w:left w:w="120" w:type="dxa"/>
              <w:bottom w:w="100" w:type="dxa"/>
              <w:right w:w="120" w:type="dxa"/>
            </w:tcMar>
            <w:vAlign w:val="center"/>
          </w:tcPr>
          <w:p w14:paraId="791D087C">
            <w:pPr>
              <w:spacing w:after="0"/>
              <w:jc w:val="center"/>
            </w:pPr>
            <w:r>
              <w:rPr>
                <w:rFonts w:ascii="微软雅黑" w:hAnsi="微软雅黑" w:eastAsia="微软雅黑"/>
                <w:b/>
                <w:color w:val="17365D"/>
                <w:sz w:val="18"/>
              </w:rPr>
              <w:t>遗忘率</w:t>
            </w:r>
          </w:p>
        </w:tc>
        <w:tc>
          <w:tcPr>
            <w:tcW w:w="1300" w:type="dxa"/>
            <w:shd w:val="clear" w:color="auto" w:fill="F2F4F7"/>
            <w:tcMar>
              <w:top w:w="100" w:type="dxa"/>
              <w:left w:w="120" w:type="dxa"/>
              <w:bottom w:w="100" w:type="dxa"/>
              <w:right w:w="120" w:type="dxa"/>
            </w:tcMar>
            <w:vAlign w:val="center"/>
          </w:tcPr>
          <w:p w14:paraId="5B28563B">
            <w:pPr>
              <w:spacing w:after="0"/>
              <w:jc w:val="center"/>
            </w:pPr>
            <w:r>
              <w:rPr>
                <w:rFonts w:ascii="微软雅黑" w:hAnsi="微软雅黑" w:eastAsia="微软雅黑"/>
                <w:b/>
                <w:color w:val="17365D"/>
                <w:sz w:val="18"/>
              </w:rPr>
              <w:t>风险</w:t>
            </w:r>
          </w:p>
        </w:tc>
        <w:tc>
          <w:tcPr>
            <w:tcW w:w="1560" w:type="dxa"/>
            <w:shd w:val="clear" w:color="auto" w:fill="F2F4F7"/>
            <w:tcMar>
              <w:top w:w="100" w:type="dxa"/>
              <w:left w:w="120" w:type="dxa"/>
              <w:bottom w:w="100" w:type="dxa"/>
              <w:right w:w="120" w:type="dxa"/>
            </w:tcMar>
            <w:vAlign w:val="center"/>
          </w:tcPr>
          <w:p w14:paraId="170A0E97">
            <w:pPr>
              <w:spacing w:after="0"/>
              <w:jc w:val="center"/>
            </w:pPr>
            <w:r>
              <w:rPr>
                <w:rFonts w:ascii="微软雅黑" w:hAnsi="微软雅黑" w:eastAsia="微软雅黑"/>
                <w:b/>
                <w:color w:val="17365D"/>
                <w:sz w:val="18"/>
              </w:rPr>
              <w:t>预算建议</w:t>
            </w:r>
          </w:p>
        </w:tc>
      </w:tr>
      <w:tr w14:paraId="566E61DE">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0F309E4A">
            <w:pPr>
              <w:spacing w:before="0" w:after="0" w:line="259" w:lineRule="auto"/>
              <w:jc w:val="left"/>
            </w:pPr>
            <w:r>
              <w:rPr>
                <w:rFonts w:ascii="微软雅黑" w:hAnsi="微软雅黑" w:eastAsia="微软雅黑"/>
                <w:color w:val="20262E"/>
                <w:sz w:val="18"/>
              </w:rPr>
              <w:t>G02 山区边坡</w:t>
            </w:r>
          </w:p>
        </w:tc>
        <w:tc>
          <w:tcPr>
            <w:tcW w:w="1100" w:type="dxa"/>
            <w:tcMar>
              <w:top w:w="100" w:type="dxa"/>
              <w:left w:w="120" w:type="dxa"/>
              <w:bottom w:w="100" w:type="dxa"/>
              <w:right w:w="120" w:type="dxa"/>
            </w:tcMar>
            <w:vAlign w:val="center"/>
          </w:tcPr>
          <w:p w14:paraId="257D8572">
            <w:pPr>
              <w:spacing w:before="0" w:after="0" w:line="259" w:lineRule="auto"/>
              <w:jc w:val="center"/>
            </w:pPr>
            <w:r>
              <w:rPr>
                <w:rFonts w:ascii="微软雅黑" w:hAnsi="微软雅黑" w:eastAsia="微软雅黑"/>
                <w:color w:val="20262E"/>
                <w:sz w:val="18"/>
              </w:rPr>
              <w:t>526</w:t>
            </w:r>
          </w:p>
        </w:tc>
        <w:tc>
          <w:tcPr>
            <w:tcW w:w="1400" w:type="dxa"/>
            <w:tcMar>
              <w:top w:w="100" w:type="dxa"/>
              <w:left w:w="120" w:type="dxa"/>
              <w:bottom w:w="100" w:type="dxa"/>
              <w:right w:w="120" w:type="dxa"/>
            </w:tcMar>
            <w:vAlign w:val="center"/>
          </w:tcPr>
          <w:p w14:paraId="4760DD75">
            <w:pPr>
              <w:spacing w:before="0" w:after="0" w:line="259" w:lineRule="auto"/>
              <w:jc w:val="center"/>
            </w:pPr>
            <w:r>
              <w:rPr>
                <w:rFonts w:ascii="微软雅黑" w:hAnsi="微软雅黑" w:eastAsia="微软雅黑"/>
                <w:color w:val="20262E"/>
                <w:sz w:val="18"/>
              </w:rPr>
              <w:t>41.83%</w:t>
            </w:r>
          </w:p>
        </w:tc>
        <w:tc>
          <w:tcPr>
            <w:tcW w:w="1400" w:type="dxa"/>
            <w:tcMar>
              <w:top w:w="100" w:type="dxa"/>
              <w:left w:w="120" w:type="dxa"/>
              <w:bottom w:w="100" w:type="dxa"/>
              <w:right w:w="120" w:type="dxa"/>
            </w:tcMar>
            <w:vAlign w:val="center"/>
          </w:tcPr>
          <w:p w14:paraId="385F766A">
            <w:pPr>
              <w:spacing w:before="0" w:after="0" w:line="259" w:lineRule="auto"/>
              <w:jc w:val="center"/>
            </w:pPr>
            <w:r>
              <w:rPr>
                <w:rFonts w:ascii="微软雅黑" w:hAnsi="微软雅黑" w:eastAsia="微软雅黑"/>
                <w:color w:val="20262E"/>
                <w:sz w:val="18"/>
              </w:rPr>
              <w:t>33.64%</w:t>
            </w:r>
          </w:p>
        </w:tc>
        <w:tc>
          <w:tcPr>
            <w:tcW w:w="1300" w:type="dxa"/>
            <w:tcMar>
              <w:top w:w="100" w:type="dxa"/>
              <w:left w:w="120" w:type="dxa"/>
              <w:bottom w:w="100" w:type="dxa"/>
              <w:right w:w="120" w:type="dxa"/>
            </w:tcMar>
            <w:vAlign w:val="center"/>
          </w:tcPr>
          <w:p w14:paraId="2A4C4501">
            <w:pPr>
              <w:spacing w:before="0" w:after="0" w:line="259" w:lineRule="auto"/>
              <w:jc w:val="center"/>
            </w:pPr>
            <w:r>
              <w:rPr>
                <w:rFonts w:ascii="微软雅黑" w:hAnsi="微软雅黑" w:eastAsia="微软雅黑"/>
                <w:color w:val="20262E"/>
                <w:sz w:val="18"/>
              </w:rPr>
              <w:t>0.445</w:t>
            </w:r>
          </w:p>
        </w:tc>
        <w:tc>
          <w:tcPr>
            <w:tcW w:w="1560" w:type="dxa"/>
            <w:tcMar>
              <w:top w:w="100" w:type="dxa"/>
              <w:left w:w="120" w:type="dxa"/>
              <w:bottom w:w="100" w:type="dxa"/>
              <w:right w:w="120" w:type="dxa"/>
            </w:tcMar>
            <w:vAlign w:val="center"/>
          </w:tcPr>
          <w:p w14:paraId="127C36F7">
            <w:pPr>
              <w:spacing w:before="0" w:after="0" w:line="259" w:lineRule="auto"/>
              <w:jc w:val="center"/>
            </w:pPr>
            <w:r>
              <w:rPr>
                <w:rFonts w:ascii="微软雅黑" w:hAnsi="微软雅黑" w:eastAsia="微软雅黑"/>
                <w:color w:val="20262E"/>
                <w:sz w:val="18"/>
              </w:rPr>
              <w:t>92</w:t>
            </w:r>
          </w:p>
        </w:tc>
      </w:tr>
      <w:tr w14:paraId="6A1A4E7D">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6A817363">
            <w:pPr>
              <w:spacing w:before="0" w:after="0" w:line="259" w:lineRule="auto"/>
              <w:jc w:val="left"/>
            </w:pPr>
            <w:r>
              <w:rPr>
                <w:rFonts w:ascii="微软雅黑" w:hAnsi="微软雅黑" w:eastAsia="微软雅黑"/>
                <w:color w:val="20262E"/>
                <w:sz w:val="18"/>
              </w:rPr>
              <w:t>G01 输电走廊</w:t>
            </w:r>
          </w:p>
        </w:tc>
        <w:tc>
          <w:tcPr>
            <w:tcW w:w="1100" w:type="dxa"/>
            <w:tcMar>
              <w:top w:w="100" w:type="dxa"/>
              <w:left w:w="120" w:type="dxa"/>
              <w:bottom w:w="100" w:type="dxa"/>
              <w:right w:w="120" w:type="dxa"/>
            </w:tcMar>
            <w:vAlign w:val="center"/>
          </w:tcPr>
          <w:p w14:paraId="2FE48092">
            <w:pPr>
              <w:spacing w:before="0" w:after="0" w:line="259" w:lineRule="auto"/>
              <w:jc w:val="center"/>
            </w:pPr>
            <w:r>
              <w:rPr>
                <w:rFonts w:ascii="微软雅黑" w:hAnsi="微软雅黑" w:eastAsia="微软雅黑"/>
                <w:color w:val="20262E"/>
                <w:sz w:val="18"/>
              </w:rPr>
              <w:t>619</w:t>
            </w:r>
          </w:p>
        </w:tc>
        <w:tc>
          <w:tcPr>
            <w:tcW w:w="1400" w:type="dxa"/>
            <w:tcMar>
              <w:top w:w="100" w:type="dxa"/>
              <w:left w:w="120" w:type="dxa"/>
              <w:bottom w:w="100" w:type="dxa"/>
              <w:right w:w="120" w:type="dxa"/>
            </w:tcMar>
            <w:vAlign w:val="center"/>
          </w:tcPr>
          <w:p w14:paraId="66F8F51D">
            <w:pPr>
              <w:spacing w:before="0" w:after="0" w:line="259" w:lineRule="auto"/>
              <w:jc w:val="center"/>
            </w:pPr>
            <w:r>
              <w:rPr>
                <w:rFonts w:ascii="微软雅黑" w:hAnsi="微软雅黑" w:eastAsia="微软雅黑"/>
                <w:color w:val="20262E"/>
                <w:sz w:val="18"/>
              </w:rPr>
              <w:t>45.56%</w:t>
            </w:r>
          </w:p>
        </w:tc>
        <w:tc>
          <w:tcPr>
            <w:tcW w:w="1400" w:type="dxa"/>
            <w:tcMar>
              <w:top w:w="100" w:type="dxa"/>
              <w:left w:w="120" w:type="dxa"/>
              <w:bottom w:w="100" w:type="dxa"/>
              <w:right w:w="120" w:type="dxa"/>
            </w:tcMar>
            <w:vAlign w:val="center"/>
          </w:tcPr>
          <w:p w14:paraId="0B5D1C07">
            <w:pPr>
              <w:spacing w:before="0" w:after="0" w:line="259" w:lineRule="auto"/>
              <w:jc w:val="center"/>
            </w:pPr>
            <w:r>
              <w:rPr>
                <w:rFonts w:ascii="微软雅黑" w:hAnsi="微软雅黑" w:eastAsia="微软雅黑"/>
                <w:color w:val="20262E"/>
                <w:sz w:val="18"/>
              </w:rPr>
              <w:t>29.57%</w:t>
            </w:r>
          </w:p>
        </w:tc>
        <w:tc>
          <w:tcPr>
            <w:tcW w:w="1300" w:type="dxa"/>
            <w:tcMar>
              <w:top w:w="100" w:type="dxa"/>
              <w:left w:w="120" w:type="dxa"/>
              <w:bottom w:w="100" w:type="dxa"/>
              <w:right w:w="120" w:type="dxa"/>
            </w:tcMar>
            <w:vAlign w:val="center"/>
          </w:tcPr>
          <w:p w14:paraId="57AD2EDE">
            <w:pPr>
              <w:spacing w:before="0" w:after="0" w:line="259" w:lineRule="auto"/>
              <w:jc w:val="center"/>
            </w:pPr>
            <w:r>
              <w:rPr>
                <w:rFonts w:ascii="微软雅黑" w:hAnsi="微软雅黑" w:eastAsia="微软雅黑"/>
                <w:color w:val="20262E"/>
                <w:sz w:val="18"/>
              </w:rPr>
              <w:t>0.443</w:t>
            </w:r>
          </w:p>
        </w:tc>
        <w:tc>
          <w:tcPr>
            <w:tcW w:w="1560" w:type="dxa"/>
            <w:tcMar>
              <w:top w:w="100" w:type="dxa"/>
              <w:left w:w="120" w:type="dxa"/>
              <w:bottom w:w="100" w:type="dxa"/>
              <w:right w:w="120" w:type="dxa"/>
            </w:tcMar>
            <w:vAlign w:val="center"/>
          </w:tcPr>
          <w:p w14:paraId="12F67D1B">
            <w:pPr>
              <w:spacing w:before="0" w:after="0" w:line="259" w:lineRule="auto"/>
              <w:jc w:val="center"/>
            </w:pPr>
            <w:r>
              <w:rPr>
                <w:rFonts w:ascii="微软雅黑" w:hAnsi="微软雅黑" w:eastAsia="微软雅黑"/>
                <w:color w:val="20262E"/>
                <w:sz w:val="18"/>
              </w:rPr>
              <w:t>91</w:t>
            </w:r>
          </w:p>
        </w:tc>
      </w:tr>
      <w:tr w14:paraId="39D7418F">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7E5F7E77">
            <w:pPr>
              <w:spacing w:before="0" w:after="0" w:line="259" w:lineRule="auto"/>
              <w:jc w:val="left"/>
            </w:pPr>
            <w:r>
              <w:rPr>
                <w:rFonts w:ascii="微软雅黑" w:hAnsi="微软雅黑" w:eastAsia="微软雅黑"/>
                <w:color w:val="20262E"/>
                <w:sz w:val="18"/>
              </w:rPr>
              <w:t>G07 施工扰动区</w:t>
            </w:r>
          </w:p>
        </w:tc>
        <w:tc>
          <w:tcPr>
            <w:tcW w:w="1100" w:type="dxa"/>
            <w:tcMar>
              <w:top w:w="100" w:type="dxa"/>
              <w:left w:w="120" w:type="dxa"/>
              <w:bottom w:w="100" w:type="dxa"/>
              <w:right w:w="120" w:type="dxa"/>
            </w:tcMar>
            <w:vAlign w:val="center"/>
          </w:tcPr>
          <w:p w14:paraId="1A9CB9B0">
            <w:pPr>
              <w:spacing w:before="0" w:after="0" w:line="259" w:lineRule="auto"/>
              <w:jc w:val="center"/>
            </w:pPr>
            <w:r>
              <w:rPr>
                <w:rFonts w:ascii="微软雅黑" w:hAnsi="微软雅黑" w:eastAsia="微软雅黑"/>
                <w:color w:val="20262E"/>
                <w:sz w:val="18"/>
              </w:rPr>
              <w:t>494</w:t>
            </w:r>
          </w:p>
        </w:tc>
        <w:tc>
          <w:tcPr>
            <w:tcW w:w="1400" w:type="dxa"/>
            <w:tcMar>
              <w:top w:w="100" w:type="dxa"/>
              <w:left w:w="120" w:type="dxa"/>
              <w:bottom w:w="100" w:type="dxa"/>
              <w:right w:w="120" w:type="dxa"/>
            </w:tcMar>
            <w:vAlign w:val="center"/>
          </w:tcPr>
          <w:p w14:paraId="2CFC56EB">
            <w:pPr>
              <w:spacing w:before="0" w:after="0" w:line="259" w:lineRule="auto"/>
              <w:jc w:val="center"/>
            </w:pPr>
            <w:r>
              <w:rPr>
                <w:rFonts w:ascii="微软雅黑" w:hAnsi="微软雅黑" w:eastAsia="微软雅黑"/>
                <w:color w:val="20262E"/>
                <w:sz w:val="18"/>
              </w:rPr>
              <w:t>38.46%</w:t>
            </w:r>
          </w:p>
        </w:tc>
        <w:tc>
          <w:tcPr>
            <w:tcW w:w="1400" w:type="dxa"/>
            <w:tcMar>
              <w:top w:w="100" w:type="dxa"/>
              <w:left w:w="120" w:type="dxa"/>
              <w:bottom w:w="100" w:type="dxa"/>
              <w:right w:w="120" w:type="dxa"/>
            </w:tcMar>
            <w:vAlign w:val="center"/>
          </w:tcPr>
          <w:p w14:paraId="2630E479">
            <w:pPr>
              <w:spacing w:before="0" w:after="0" w:line="259" w:lineRule="auto"/>
              <w:jc w:val="center"/>
            </w:pPr>
            <w:r>
              <w:rPr>
                <w:rFonts w:ascii="微软雅黑" w:hAnsi="微软雅黑" w:eastAsia="微软雅黑"/>
                <w:color w:val="20262E"/>
                <w:sz w:val="18"/>
              </w:rPr>
              <w:t>36.65%</w:t>
            </w:r>
          </w:p>
        </w:tc>
        <w:tc>
          <w:tcPr>
            <w:tcW w:w="1300" w:type="dxa"/>
            <w:tcMar>
              <w:top w:w="100" w:type="dxa"/>
              <w:left w:w="120" w:type="dxa"/>
              <w:bottom w:w="100" w:type="dxa"/>
              <w:right w:w="120" w:type="dxa"/>
            </w:tcMar>
            <w:vAlign w:val="center"/>
          </w:tcPr>
          <w:p w14:paraId="797447FE">
            <w:pPr>
              <w:spacing w:before="0" w:after="0" w:line="259" w:lineRule="auto"/>
              <w:jc w:val="center"/>
            </w:pPr>
            <w:r>
              <w:rPr>
                <w:rFonts w:ascii="微软雅黑" w:hAnsi="微软雅黑" w:eastAsia="微软雅黑"/>
                <w:color w:val="20262E"/>
                <w:sz w:val="18"/>
              </w:rPr>
              <w:t>0.437</w:t>
            </w:r>
          </w:p>
        </w:tc>
        <w:tc>
          <w:tcPr>
            <w:tcW w:w="1560" w:type="dxa"/>
            <w:tcMar>
              <w:top w:w="100" w:type="dxa"/>
              <w:left w:w="120" w:type="dxa"/>
              <w:bottom w:w="100" w:type="dxa"/>
              <w:right w:w="120" w:type="dxa"/>
            </w:tcMar>
            <w:vAlign w:val="center"/>
          </w:tcPr>
          <w:p w14:paraId="7F3C9748">
            <w:pPr>
              <w:spacing w:before="0" w:after="0" w:line="259" w:lineRule="auto"/>
              <w:jc w:val="center"/>
            </w:pPr>
            <w:r>
              <w:rPr>
                <w:rFonts w:ascii="微软雅黑" w:hAnsi="微软雅黑" w:eastAsia="微软雅黑"/>
                <w:color w:val="20262E"/>
                <w:sz w:val="18"/>
              </w:rPr>
              <w:t>87</w:t>
            </w:r>
          </w:p>
        </w:tc>
      </w:tr>
      <w:tr w14:paraId="770E28D8">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4C3D0540">
            <w:pPr>
              <w:spacing w:before="0" w:after="0" w:line="259" w:lineRule="auto"/>
              <w:jc w:val="left"/>
            </w:pPr>
            <w:r>
              <w:rPr>
                <w:rFonts w:ascii="微软雅黑" w:hAnsi="微软雅黑" w:eastAsia="微软雅黑"/>
                <w:color w:val="20262E"/>
                <w:sz w:val="18"/>
              </w:rPr>
              <w:t>G06 通信塔区</w:t>
            </w:r>
          </w:p>
        </w:tc>
        <w:tc>
          <w:tcPr>
            <w:tcW w:w="1100" w:type="dxa"/>
            <w:tcMar>
              <w:top w:w="100" w:type="dxa"/>
              <w:left w:w="120" w:type="dxa"/>
              <w:bottom w:w="100" w:type="dxa"/>
              <w:right w:w="120" w:type="dxa"/>
            </w:tcMar>
            <w:vAlign w:val="center"/>
          </w:tcPr>
          <w:p w14:paraId="093DEE7B">
            <w:pPr>
              <w:spacing w:before="0" w:after="0" w:line="259" w:lineRule="auto"/>
              <w:jc w:val="center"/>
            </w:pPr>
            <w:r>
              <w:rPr>
                <w:rFonts w:ascii="微软雅黑" w:hAnsi="微软雅黑" w:eastAsia="微软雅黑"/>
                <w:color w:val="20262E"/>
                <w:sz w:val="18"/>
              </w:rPr>
              <w:t>531</w:t>
            </w:r>
          </w:p>
        </w:tc>
        <w:tc>
          <w:tcPr>
            <w:tcW w:w="1400" w:type="dxa"/>
            <w:tcMar>
              <w:top w:w="100" w:type="dxa"/>
              <w:left w:w="120" w:type="dxa"/>
              <w:bottom w:w="100" w:type="dxa"/>
              <w:right w:w="120" w:type="dxa"/>
            </w:tcMar>
            <w:vAlign w:val="center"/>
          </w:tcPr>
          <w:p w14:paraId="394FDAD3">
            <w:pPr>
              <w:spacing w:before="0" w:after="0" w:line="259" w:lineRule="auto"/>
              <w:jc w:val="center"/>
            </w:pPr>
            <w:r>
              <w:rPr>
                <w:rFonts w:ascii="微软雅黑" w:hAnsi="微软雅黑" w:eastAsia="微软雅黑"/>
                <w:color w:val="20262E"/>
                <w:sz w:val="18"/>
              </w:rPr>
              <w:t>45.39%</w:t>
            </w:r>
          </w:p>
        </w:tc>
        <w:tc>
          <w:tcPr>
            <w:tcW w:w="1400" w:type="dxa"/>
            <w:tcMar>
              <w:top w:w="100" w:type="dxa"/>
              <w:left w:w="120" w:type="dxa"/>
              <w:bottom w:w="100" w:type="dxa"/>
              <w:right w:w="120" w:type="dxa"/>
            </w:tcMar>
            <w:vAlign w:val="center"/>
          </w:tcPr>
          <w:p w14:paraId="2B7C244C">
            <w:pPr>
              <w:spacing w:before="0" w:after="0" w:line="259" w:lineRule="auto"/>
              <w:jc w:val="center"/>
            </w:pPr>
            <w:r>
              <w:rPr>
                <w:rFonts w:ascii="微软雅黑" w:hAnsi="微软雅黑" w:eastAsia="微软雅黑"/>
                <w:color w:val="20262E"/>
                <w:sz w:val="18"/>
              </w:rPr>
              <w:t>28.93%</w:t>
            </w:r>
          </w:p>
        </w:tc>
        <w:tc>
          <w:tcPr>
            <w:tcW w:w="1300" w:type="dxa"/>
            <w:tcMar>
              <w:top w:w="100" w:type="dxa"/>
              <w:left w:w="120" w:type="dxa"/>
              <w:bottom w:w="100" w:type="dxa"/>
              <w:right w:w="120" w:type="dxa"/>
            </w:tcMar>
            <w:vAlign w:val="center"/>
          </w:tcPr>
          <w:p w14:paraId="150A8DFD">
            <w:pPr>
              <w:spacing w:before="0" w:after="0" w:line="259" w:lineRule="auto"/>
              <w:jc w:val="center"/>
            </w:pPr>
            <w:r>
              <w:rPr>
                <w:rFonts w:ascii="微软雅黑" w:hAnsi="微软雅黑" w:eastAsia="微软雅黑"/>
                <w:color w:val="20262E"/>
                <w:sz w:val="18"/>
              </w:rPr>
              <w:t>0.408</w:t>
            </w:r>
          </w:p>
        </w:tc>
        <w:tc>
          <w:tcPr>
            <w:tcW w:w="1560" w:type="dxa"/>
            <w:tcMar>
              <w:top w:w="100" w:type="dxa"/>
              <w:left w:w="120" w:type="dxa"/>
              <w:bottom w:w="100" w:type="dxa"/>
              <w:right w:w="120" w:type="dxa"/>
            </w:tcMar>
            <w:vAlign w:val="center"/>
          </w:tcPr>
          <w:p w14:paraId="5B2B2AF3">
            <w:pPr>
              <w:spacing w:before="0" w:after="0" w:line="259" w:lineRule="auto"/>
              <w:jc w:val="center"/>
            </w:pPr>
            <w:r>
              <w:rPr>
                <w:rFonts w:ascii="微软雅黑" w:hAnsi="微软雅黑" w:eastAsia="微软雅黑"/>
                <w:color w:val="20262E"/>
                <w:sz w:val="18"/>
              </w:rPr>
              <w:t>80</w:t>
            </w:r>
          </w:p>
        </w:tc>
      </w:tr>
      <w:tr w14:paraId="1EF0378E">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7D0748CA">
            <w:pPr>
              <w:spacing w:before="0" w:after="0" w:line="259" w:lineRule="auto"/>
              <w:jc w:val="left"/>
            </w:pPr>
            <w:r>
              <w:rPr>
                <w:rFonts w:ascii="微软雅黑" w:hAnsi="微软雅黑" w:eastAsia="微软雅黑"/>
                <w:color w:val="20262E"/>
                <w:sz w:val="18"/>
              </w:rPr>
              <w:t>G03 河谷跨越</w:t>
            </w:r>
          </w:p>
        </w:tc>
        <w:tc>
          <w:tcPr>
            <w:tcW w:w="1100" w:type="dxa"/>
            <w:tcMar>
              <w:top w:w="100" w:type="dxa"/>
              <w:left w:w="120" w:type="dxa"/>
              <w:bottom w:w="100" w:type="dxa"/>
              <w:right w:w="120" w:type="dxa"/>
            </w:tcMar>
            <w:vAlign w:val="center"/>
          </w:tcPr>
          <w:p w14:paraId="1E39E0F9">
            <w:pPr>
              <w:spacing w:before="0" w:after="0" w:line="259" w:lineRule="auto"/>
              <w:jc w:val="center"/>
            </w:pPr>
            <w:r>
              <w:rPr>
                <w:rFonts w:ascii="微软雅黑" w:hAnsi="微软雅黑" w:eastAsia="微软雅黑"/>
                <w:color w:val="20262E"/>
                <w:sz w:val="18"/>
              </w:rPr>
              <w:t>503</w:t>
            </w:r>
          </w:p>
        </w:tc>
        <w:tc>
          <w:tcPr>
            <w:tcW w:w="1400" w:type="dxa"/>
            <w:tcMar>
              <w:top w:w="100" w:type="dxa"/>
              <w:left w:w="120" w:type="dxa"/>
              <w:bottom w:w="100" w:type="dxa"/>
              <w:right w:w="120" w:type="dxa"/>
            </w:tcMar>
            <w:vAlign w:val="center"/>
          </w:tcPr>
          <w:p w14:paraId="4A8773D5">
            <w:pPr>
              <w:spacing w:before="0" w:after="0" w:line="259" w:lineRule="auto"/>
              <w:jc w:val="center"/>
            </w:pPr>
            <w:r>
              <w:rPr>
                <w:rFonts w:ascii="微软雅黑" w:hAnsi="微软雅黑" w:eastAsia="微软雅黑"/>
                <w:color w:val="20262E"/>
                <w:sz w:val="18"/>
              </w:rPr>
              <w:t>39.76%</w:t>
            </w:r>
          </w:p>
        </w:tc>
        <w:tc>
          <w:tcPr>
            <w:tcW w:w="1400" w:type="dxa"/>
            <w:tcMar>
              <w:top w:w="100" w:type="dxa"/>
              <w:left w:w="120" w:type="dxa"/>
              <w:bottom w:w="100" w:type="dxa"/>
              <w:right w:w="120" w:type="dxa"/>
            </w:tcMar>
            <w:vAlign w:val="center"/>
          </w:tcPr>
          <w:p w14:paraId="78620129">
            <w:pPr>
              <w:spacing w:before="0" w:after="0" w:line="259" w:lineRule="auto"/>
              <w:jc w:val="center"/>
            </w:pPr>
            <w:r>
              <w:rPr>
                <w:rFonts w:ascii="微软雅黑" w:hAnsi="微软雅黑" w:eastAsia="微软雅黑"/>
                <w:color w:val="20262E"/>
                <w:sz w:val="18"/>
              </w:rPr>
              <w:t>32.08%</w:t>
            </w:r>
          </w:p>
        </w:tc>
        <w:tc>
          <w:tcPr>
            <w:tcW w:w="1300" w:type="dxa"/>
            <w:tcMar>
              <w:top w:w="100" w:type="dxa"/>
              <w:left w:w="120" w:type="dxa"/>
              <w:bottom w:w="100" w:type="dxa"/>
              <w:right w:w="120" w:type="dxa"/>
            </w:tcMar>
            <w:vAlign w:val="center"/>
          </w:tcPr>
          <w:p w14:paraId="3A75EB66">
            <w:pPr>
              <w:spacing w:before="0" w:after="0" w:line="259" w:lineRule="auto"/>
              <w:jc w:val="center"/>
            </w:pPr>
            <w:r>
              <w:rPr>
                <w:rFonts w:ascii="微软雅黑" w:hAnsi="微软雅黑" w:eastAsia="微软雅黑"/>
                <w:color w:val="20262E"/>
                <w:sz w:val="18"/>
              </w:rPr>
              <w:t>0.404</w:t>
            </w:r>
          </w:p>
        </w:tc>
        <w:tc>
          <w:tcPr>
            <w:tcW w:w="1560" w:type="dxa"/>
            <w:tcMar>
              <w:top w:w="100" w:type="dxa"/>
              <w:left w:w="120" w:type="dxa"/>
              <w:bottom w:w="100" w:type="dxa"/>
              <w:right w:w="120" w:type="dxa"/>
            </w:tcMar>
            <w:vAlign w:val="center"/>
          </w:tcPr>
          <w:p w14:paraId="1D0277DB">
            <w:pPr>
              <w:spacing w:before="0" w:after="0" w:line="259" w:lineRule="auto"/>
              <w:jc w:val="center"/>
            </w:pPr>
            <w:r>
              <w:rPr>
                <w:rFonts w:ascii="微软雅黑" w:hAnsi="微软雅黑" w:eastAsia="微软雅黑"/>
                <w:color w:val="20262E"/>
                <w:sz w:val="18"/>
              </w:rPr>
              <w:t>79</w:t>
            </w:r>
          </w:p>
        </w:tc>
      </w:tr>
      <w:tr w14:paraId="068A7D7C">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78197852">
            <w:pPr>
              <w:spacing w:before="0" w:after="0" w:line="259" w:lineRule="auto"/>
              <w:jc w:val="left"/>
            </w:pPr>
            <w:r>
              <w:rPr>
                <w:rFonts w:ascii="微软雅黑" w:hAnsi="微软雅黑" w:eastAsia="微软雅黑"/>
                <w:color w:val="20262E"/>
                <w:sz w:val="18"/>
              </w:rPr>
              <w:t>G05 光伏场站</w:t>
            </w:r>
          </w:p>
        </w:tc>
        <w:tc>
          <w:tcPr>
            <w:tcW w:w="1100" w:type="dxa"/>
            <w:tcMar>
              <w:top w:w="100" w:type="dxa"/>
              <w:left w:w="120" w:type="dxa"/>
              <w:bottom w:w="100" w:type="dxa"/>
              <w:right w:w="120" w:type="dxa"/>
            </w:tcMar>
            <w:vAlign w:val="center"/>
          </w:tcPr>
          <w:p w14:paraId="7A30F97E">
            <w:pPr>
              <w:spacing w:before="0" w:after="0" w:line="259" w:lineRule="auto"/>
              <w:jc w:val="center"/>
            </w:pPr>
            <w:r>
              <w:rPr>
                <w:rFonts w:ascii="微软雅黑" w:hAnsi="微软雅黑" w:eastAsia="微软雅黑"/>
                <w:color w:val="20262E"/>
                <w:sz w:val="18"/>
              </w:rPr>
              <w:t>630</w:t>
            </w:r>
          </w:p>
        </w:tc>
        <w:tc>
          <w:tcPr>
            <w:tcW w:w="1400" w:type="dxa"/>
            <w:tcMar>
              <w:top w:w="100" w:type="dxa"/>
              <w:left w:w="120" w:type="dxa"/>
              <w:bottom w:w="100" w:type="dxa"/>
              <w:right w:w="120" w:type="dxa"/>
            </w:tcMar>
            <w:vAlign w:val="center"/>
          </w:tcPr>
          <w:p w14:paraId="68C1D3DF">
            <w:pPr>
              <w:spacing w:before="0" w:after="0" w:line="259" w:lineRule="auto"/>
              <w:jc w:val="center"/>
            </w:pPr>
            <w:r>
              <w:rPr>
                <w:rFonts w:ascii="微软雅黑" w:hAnsi="微软雅黑" w:eastAsia="微软雅黑"/>
                <w:color w:val="20262E"/>
                <w:sz w:val="18"/>
              </w:rPr>
              <w:t>46.35%</w:t>
            </w:r>
          </w:p>
        </w:tc>
        <w:tc>
          <w:tcPr>
            <w:tcW w:w="1400" w:type="dxa"/>
            <w:tcMar>
              <w:top w:w="100" w:type="dxa"/>
              <w:left w:w="120" w:type="dxa"/>
              <w:bottom w:w="100" w:type="dxa"/>
              <w:right w:w="120" w:type="dxa"/>
            </w:tcMar>
            <w:vAlign w:val="center"/>
          </w:tcPr>
          <w:p w14:paraId="36C49C80">
            <w:pPr>
              <w:spacing w:before="0" w:after="0" w:line="259" w:lineRule="auto"/>
              <w:jc w:val="center"/>
            </w:pPr>
            <w:r>
              <w:rPr>
                <w:rFonts w:ascii="微软雅黑" w:hAnsi="微软雅黑" w:eastAsia="微软雅黑"/>
                <w:color w:val="20262E"/>
                <w:sz w:val="18"/>
              </w:rPr>
              <w:t>32.15%</w:t>
            </w:r>
          </w:p>
        </w:tc>
        <w:tc>
          <w:tcPr>
            <w:tcW w:w="1300" w:type="dxa"/>
            <w:tcMar>
              <w:top w:w="100" w:type="dxa"/>
              <w:left w:w="120" w:type="dxa"/>
              <w:bottom w:w="100" w:type="dxa"/>
              <w:right w:w="120" w:type="dxa"/>
            </w:tcMar>
            <w:vAlign w:val="center"/>
          </w:tcPr>
          <w:p w14:paraId="546CCA4E">
            <w:pPr>
              <w:spacing w:before="0" w:after="0" w:line="259" w:lineRule="auto"/>
              <w:jc w:val="center"/>
            </w:pPr>
            <w:r>
              <w:rPr>
                <w:rFonts w:ascii="微软雅黑" w:hAnsi="微软雅黑" w:eastAsia="微软雅黑"/>
                <w:color w:val="20262E"/>
                <w:sz w:val="18"/>
              </w:rPr>
              <w:t>0.379</w:t>
            </w:r>
          </w:p>
        </w:tc>
        <w:tc>
          <w:tcPr>
            <w:tcW w:w="1560" w:type="dxa"/>
            <w:tcMar>
              <w:top w:w="100" w:type="dxa"/>
              <w:left w:w="120" w:type="dxa"/>
              <w:bottom w:w="100" w:type="dxa"/>
              <w:right w:w="120" w:type="dxa"/>
            </w:tcMar>
            <w:vAlign w:val="center"/>
          </w:tcPr>
          <w:p w14:paraId="7EE64FC3">
            <w:pPr>
              <w:spacing w:before="0" w:after="0" w:line="259" w:lineRule="auto"/>
              <w:jc w:val="center"/>
            </w:pPr>
            <w:r>
              <w:rPr>
                <w:rFonts w:ascii="微软雅黑" w:hAnsi="微软雅黑" w:eastAsia="微软雅黑"/>
                <w:color w:val="20262E"/>
                <w:sz w:val="18"/>
              </w:rPr>
              <w:t>73</w:t>
            </w:r>
          </w:p>
        </w:tc>
      </w:tr>
      <w:tr w14:paraId="0EFD31BA">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61C96457">
            <w:pPr>
              <w:spacing w:before="0" w:after="0" w:line="259" w:lineRule="auto"/>
              <w:jc w:val="left"/>
            </w:pPr>
            <w:r>
              <w:rPr>
                <w:rFonts w:ascii="微软雅黑" w:hAnsi="微软雅黑" w:eastAsia="微软雅黑"/>
                <w:color w:val="20262E"/>
                <w:sz w:val="18"/>
              </w:rPr>
              <w:t>G04 城郊围栏</w:t>
            </w:r>
          </w:p>
        </w:tc>
        <w:tc>
          <w:tcPr>
            <w:tcW w:w="1100" w:type="dxa"/>
            <w:tcMar>
              <w:top w:w="100" w:type="dxa"/>
              <w:left w:w="120" w:type="dxa"/>
              <w:bottom w:w="100" w:type="dxa"/>
              <w:right w:w="120" w:type="dxa"/>
            </w:tcMar>
            <w:vAlign w:val="center"/>
          </w:tcPr>
          <w:p w14:paraId="61A17584">
            <w:pPr>
              <w:spacing w:before="0" w:after="0" w:line="259" w:lineRule="auto"/>
              <w:jc w:val="center"/>
            </w:pPr>
            <w:r>
              <w:rPr>
                <w:rFonts w:ascii="微软雅黑" w:hAnsi="微软雅黑" w:eastAsia="微软雅黑"/>
                <w:color w:val="20262E"/>
                <w:sz w:val="18"/>
              </w:rPr>
              <w:t>503</w:t>
            </w:r>
          </w:p>
        </w:tc>
        <w:tc>
          <w:tcPr>
            <w:tcW w:w="1400" w:type="dxa"/>
            <w:tcMar>
              <w:top w:w="100" w:type="dxa"/>
              <w:left w:w="120" w:type="dxa"/>
              <w:bottom w:w="100" w:type="dxa"/>
              <w:right w:w="120" w:type="dxa"/>
            </w:tcMar>
            <w:vAlign w:val="center"/>
          </w:tcPr>
          <w:p w14:paraId="3187063F">
            <w:pPr>
              <w:spacing w:before="0" w:after="0" w:line="259" w:lineRule="auto"/>
              <w:jc w:val="center"/>
            </w:pPr>
            <w:r>
              <w:rPr>
                <w:rFonts w:ascii="微软雅黑" w:hAnsi="微软雅黑" w:eastAsia="微软雅黑"/>
                <w:color w:val="20262E"/>
                <w:sz w:val="18"/>
              </w:rPr>
              <w:t>45.33%</w:t>
            </w:r>
          </w:p>
        </w:tc>
        <w:tc>
          <w:tcPr>
            <w:tcW w:w="1400" w:type="dxa"/>
            <w:tcMar>
              <w:top w:w="100" w:type="dxa"/>
              <w:left w:w="120" w:type="dxa"/>
              <w:bottom w:w="100" w:type="dxa"/>
              <w:right w:w="120" w:type="dxa"/>
            </w:tcMar>
            <w:vAlign w:val="center"/>
          </w:tcPr>
          <w:p w14:paraId="6DCEC7F5">
            <w:pPr>
              <w:spacing w:before="0" w:after="0" w:line="259" w:lineRule="auto"/>
              <w:jc w:val="center"/>
            </w:pPr>
            <w:r>
              <w:rPr>
                <w:rFonts w:ascii="微软雅黑" w:hAnsi="微软雅黑" w:eastAsia="微软雅黑"/>
                <w:color w:val="20262E"/>
                <w:sz w:val="18"/>
              </w:rPr>
              <w:t>31.25%</w:t>
            </w:r>
          </w:p>
        </w:tc>
        <w:tc>
          <w:tcPr>
            <w:tcW w:w="1300" w:type="dxa"/>
            <w:tcMar>
              <w:top w:w="100" w:type="dxa"/>
              <w:left w:w="120" w:type="dxa"/>
              <w:bottom w:w="100" w:type="dxa"/>
              <w:right w:w="120" w:type="dxa"/>
            </w:tcMar>
            <w:vAlign w:val="center"/>
          </w:tcPr>
          <w:p w14:paraId="53A162A4">
            <w:pPr>
              <w:spacing w:before="0" w:after="0" w:line="259" w:lineRule="auto"/>
              <w:jc w:val="center"/>
            </w:pPr>
            <w:r>
              <w:rPr>
                <w:rFonts w:ascii="微软雅黑" w:hAnsi="微软雅黑" w:eastAsia="微软雅黑"/>
                <w:color w:val="20262E"/>
                <w:sz w:val="18"/>
              </w:rPr>
              <w:t>0.329</w:t>
            </w:r>
          </w:p>
        </w:tc>
        <w:tc>
          <w:tcPr>
            <w:tcW w:w="1560" w:type="dxa"/>
            <w:tcMar>
              <w:top w:w="100" w:type="dxa"/>
              <w:left w:w="120" w:type="dxa"/>
              <w:bottom w:w="100" w:type="dxa"/>
              <w:right w:w="120" w:type="dxa"/>
            </w:tcMar>
            <w:vAlign w:val="center"/>
          </w:tcPr>
          <w:p w14:paraId="59A3640E">
            <w:pPr>
              <w:spacing w:before="0" w:after="0" w:line="259" w:lineRule="auto"/>
              <w:jc w:val="center"/>
            </w:pPr>
            <w:r>
              <w:rPr>
                <w:rFonts w:ascii="微软雅黑" w:hAnsi="微软雅黑" w:eastAsia="微软雅黑"/>
                <w:color w:val="20262E"/>
                <w:sz w:val="18"/>
              </w:rPr>
              <w:t>62</w:t>
            </w:r>
          </w:p>
        </w:tc>
      </w:tr>
      <w:tr w14:paraId="177B12AD">
        <w:tblPrEx>
          <w:tblCellMar>
            <w:top w:w="0" w:type="dxa"/>
            <w:left w:w="108" w:type="dxa"/>
            <w:bottom w:w="0" w:type="dxa"/>
            <w:right w:w="108" w:type="dxa"/>
          </w:tblCellMar>
        </w:tblPrEx>
        <w:trPr>
          <w:cantSplit/>
        </w:trPr>
        <w:tc>
          <w:tcPr>
            <w:tcW w:w="2600" w:type="dxa"/>
            <w:tcMar>
              <w:top w:w="100" w:type="dxa"/>
              <w:left w:w="120" w:type="dxa"/>
              <w:bottom w:w="100" w:type="dxa"/>
              <w:right w:w="120" w:type="dxa"/>
            </w:tcMar>
            <w:vAlign w:val="center"/>
          </w:tcPr>
          <w:p w14:paraId="1C7A431F">
            <w:pPr>
              <w:spacing w:before="0" w:after="0" w:line="259" w:lineRule="auto"/>
              <w:jc w:val="left"/>
            </w:pPr>
            <w:r>
              <w:rPr>
                <w:rFonts w:ascii="微软雅黑" w:hAnsi="微软雅黑" w:eastAsia="微软雅黑"/>
                <w:color w:val="20262E"/>
                <w:sz w:val="18"/>
              </w:rPr>
              <w:t>G08 农田缓冲区</w:t>
            </w:r>
          </w:p>
        </w:tc>
        <w:tc>
          <w:tcPr>
            <w:tcW w:w="1100" w:type="dxa"/>
            <w:tcMar>
              <w:top w:w="100" w:type="dxa"/>
              <w:left w:w="120" w:type="dxa"/>
              <w:bottom w:w="100" w:type="dxa"/>
              <w:right w:w="120" w:type="dxa"/>
            </w:tcMar>
            <w:vAlign w:val="center"/>
          </w:tcPr>
          <w:p w14:paraId="1C010B51">
            <w:pPr>
              <w:spacing w:before="0" w:after="0" w:line="259" w:lineRule="auto"/>
              <w:jc w:val="center"/>
            </w:pPr>
            <w:r>
              <w:rPr>
                <w:rFonts w:ascii="微软雅黑" w:hAnsi="微软雅黑" w:eastAsia="微软雅黑"/>
                <w:color w:val="20262E"/>
                <w:sz w:val="18"/>
              </w:rPr>
              <w:t>495</w:t>
            </w:r>
          </w:p>
        </w:tc>
        <w:tc>
          <w:tcPr>
            <w:tcW w:w="1400" w:type="dxa"/>
            <w:tcMar>
              <w:top w:w="100" w:type="dxa"/>
              <w:left w:w="120" w:type="dxa"/>
              <w:bottom w:w="100" w:type="dxa"/>
              <w:right w:w="120" w:type="dxa"/>
            </w:tcMar>
            <w:vAlign w:val="center"/>
          </w:tcPr>
          <w:p w14:paraId="5603510C">
            <w:pPr>
              <w:spacing w:before="0" w:after="0" w:line="259" w:lineRule="auto"/>
              <w:jc w:val="center"/>
            </w:pPr>
            <w:r>
              <w:rPr>
                <w:rFonts w:ascii="微软雅黑" w:hAnsi="微软雅黑" w:eastAsia="微软雅黑"/>
                <w:color w:val="20262E"/>
                <w:sz w:val="18"/>
              </w:rPr>
              <w:t>44.85%</w:t>
            </w:r>
          </w:p>
        </w:tc>
        <w:tc>
          <w:tcPr>
            <w:tcW w:w="1400" w:type="dxa"/>
            <w:tcMar>
              <w:top w:w="100" w:type="dxa"/>
              <w:left w:w="120" w:type="dxa"/>
              <w:bottom w:w="100" w:type="dxa"/>
              <w:right w:w="120" w:type="dxa"/>
            </w:tcMar>
            <w:vAlign w:val="center"/>
          </w:tcPr>
          <w:p w14:paraId="4C3D6A10">
            <w:pPr>
              <w:spacing w:before="0" w:after="0" w:line="259" w:lineRule="auto"/>
              <w:jc w:val="center"/>
            </w:pPr>
            <w:r>
              <w:rPr>
                <w:rFonts w:ascii="微软雅黑" w:hAnsi="微软雅黑" w:eastAsia="微软雅黑"/>
                <w:color w:val="20262E"/>
                <w:sz w:val="18"/>
              </w:rPr>
              <w:t>33.23%</w:t>
            </w:r>
          </w:p>
        </w:tc>
        <w:tc>
          <w:tcPr>
            <w:tcW w:w="1300" w:type="dxa"/>
            <w:tcMar>
              <w:top w:w="100" w:type="dxa"/>
              <w:left w:w="120" w:type="dxa"/>
              <w:bottom w:w="100" w:type="dxa"/>
              <w:right w:w="120" w:type="dxa"/>
            </w:tcMar>
            <w:vAlign w:val="center"/>
          </w:tcPr>
          <w:p w14:paraId="6E4E9A29">
            <w:pPr>
              <w:spacing w:before="0" w:after="0" w:line="259" w:lineRule="auto"/>
              <w:jc w:val="center"/>
            </w:pPr>
            <w:r>
              <w:rPr>
                <w:rFonts w:ascii="微软雅黑" w:hAnsi="微软雅黑" w:eastAsia="微软雅黑"/>
                <w:color w:val="20262E"/>
                <w:sz w:val="18"/>
              </w:rPr>
              <w:t>0.200</w:t>
            </w:r>
          </w:p>
        </w:tc>
        <w:tc>
          <w:tcPr>
            <w:tcW w:w="1560" w:type="dxa"/>
            <w:tcMar>
              <w:top w:w="100" w:type="dxa"/>
              <w:left w:w="120" w:type="dxa"/>
              <w:bottom w:w="100" w:type="dxa"/>
              <w:right w:w="120" w:type="dxa"/>
            </w:tcMar>
            <w:vAlign w:val="center"/>
          </w:tcPr>
          <w:p w14:paraId="07F09A7A">
            <w:pPr>
              <w:spacing w:before="0" w:after="0" w:line="259" w:lineRule="auto"/>
              <w:jc w:val="center"/>
            </w:pPr>
            <w:r>
              <w:rPr>
                <w:rFonts w:ascii="微软雅黑" w:hAnsi="微软雅黑" w:eastAsia="微软雅黑"/>
                <w:color w:val="20262E"/>
                <w:sz w:val="18"/>
              </w:rPr>
              <w:t>36</w:t>
            </w:r>
          </w:p>
        </w:tc>
      </w:tr>
    </w:tbl>
    <w:p w14:paraId="0EC5CCCE">
      <w:pPr>
        <w:spacing w:after="40"/>
      </w:pPr>
    </w:p>
    <w:p w14:paraId="7D2DC25B">
      <w:pPr>
        <w:spacing w:before="0" w:after="120" w:line="264" w:lineRule="auto"/>
        <w:jc w:val="both"/>
      </w:pPr>
      <w:r>
        <w:rPr>
          <w:rFonts w:ascii="微软雅黑" w:hAnsi="微软雅黑" w:eastAsia="微软雅黑"/>
          <w:color w:val="20262E"/>
          <w:sz w:val="21"/>
        </w:rPr>
        <w:t>风险最高的三个区域是G02山区边坡、G01输电走廊和G07施工扰动区，合计获得270/600=45%的预算建议。这个结果用于说明固定总量下的资源倾斜逻辑，不代表真实客户已经按该额度完成训练或复飞。</w:t>
      </w:r>
    </w:p>
    <w:p w14:paraId="7A754FE1">
      <w:pPr>
        <w:pStyle w:val="3"/>
        <w:keepNext/>
        <w:keepLines/>
      </w:pPr>
      <w:r>
        <w:rPr>
          <w:rFonts w:ascii="微软雅黑" w:hAnsi="微软雅黑" w:eastAsia="微软雅黑"/>
          <w:color w:val="20262E"/>
        </w:rPr>
        <w:t>15. 43.59%准确率对项目有什么作用</w:t>
      </w:r>
    </w:p>
    <w:p w14:paraId="3C01CBFD">
      <w:pPr>
        <w:spacing w:before="0" w:after="120" w:line="264" w:lineRule="auto"/>
        <w:jc w:val="both"/>
      </w:pPr>
      <w:r>
        <w:rPr>
          <w:rFonts w:ascii="微软雅黑" w:hAnsi="微软雅黑" w:eastAsia="微软雅黑"/>
          <w:color w:val="20262E"/>
          <w:sz w:val="21"/>
        </w:rPr>
        <w:t>43.59%不是一个可以脱离任务难度单独判断“高或低”的产品指标。它的价值首先来自可比性：在同一公开数据、同一10类5任务、同一固定预算和同一评测流程下，三层方法比ER高12.11个百分点，同时遗忘率低19.23个百分点。这支持“方法在持续学习场景下比普通经验回放更能保留旧知识”的结论。</w:t>
      </w:r>
    </w:p>
    <w:p w14:paraId="16EC3AB3">
      <w:pPr>
        <w:spacing w:before="0" w:after="120" w:line="264" w:lineRule="auto"/>
        <w:jc w:val="both"/>
      </w:pPr>
      <w:r>
        <w:rPr>
          <w:rFonts w:ascii="微软雅黑" w:hAnsi="微软雅黑" w:eastAsia="微软雅黑"/>
          <w:color w:val="20262E"/>
          <w:sz w:val="21"/>
        </w:rPr>
        <w:t>它还不能支持三类结论：不能说真实电网巡检准确率达到43.59%；不能说已经满足商业部署阈值；不能用一个随机种子代表所有运行都稳定。更强的BP证据应增加多随机种子均值和标准差、类别级结果、任务级曲线、消融实验，以及位置风险预算真正接入训练后的对照结果。</w:t>
      </w:r>
    </w:p>
    <w:tbl>
      <w:tblPr>
        <w:tblStyle w:val="32"/>
        <w:tblW w:w="9360" w:type="dxa"/>
        <w:tblInd w:w="120" w:type="dxa"/>
        <w:tblLayout w:type="fixed"/>
        <w:tblCellMar>
          <w:top w:w="0" w:type="dxa"/>
          <w:left w:w="108" w:type="dxa"/>
          <w:bottom w:w="0" w:type="dxa"/>
          <w:right w:w="108" w:type="dxa"/>
        </w:tblCellMar>
      </w:tblPr>
      <w:tblGrid>
        <w:gridCol w:w="4680"/>
        <w:gridCol w:w="4680"/>
      </w:tblGrid>
      <w:tr w14:paraId="4A3F4357">
        <w:tblPrEx>
          <w:tblCellMar>
            <w:top w:w="0" w:type="dxa"/>
            <w:left w:w="108" w:type="dxa"/>
            <w:bottom w:w="0" w:type="dxa"/>
            <w:right w:w="108" w:type="dxa"/>
          </w:tblCellMar>
        </w:tblPrEx>
        <w:trPr>
          <w:cantSplit/>
          <w:tblHeader/>
        </w:trPr>
        <w:tc>
          <w:tcPr>
            <w:tcW w:w="4680" w:type="dxa"/>
            <w:shd w:val="clear" w:color="auto" w:fill="F2F4F7"/>
            <w:tcMar>
              <w:top w:w="100" w:type="dxa"/>
              <w:left w:w="120" w:type="dxa"/>
              <w:bottom w:w="100" w:type="dxa"/>
              <w:right w:w="120" w:type="dxa"/>
            </w:tcMar>
            <w:vAlign w:val="center"/>
          </w:tcPr>
          <w:p w14:paraId="09D09FAB">
            <w:pPr>
              <w:spacing w:after="0"/>
              <w:jc w:val="center"/>
            </w:pPr>
            <w:r>
              <w:rPr>
                <w:rFonts w:ascii="微软雅黑" w:hAnsi="微软雅黑" w:eastAsia="微软雅黑"/>
                <w:b/>
                <w:color w:val="17365D"/>
                <w:sz w:val="18"/>
              </w:rPr>
              <w:t>可以支持</w:t>
            </w:r>
          </w:p>
        </w:tc>
        <w:tc>
          <w:tcPr>
            <w:tcW w:w="4680" w:type="dxa"/>
            <w:shd w:val="clear" w:color="auto" w:fill="F2F4F7"/>
            <w:tcMar>
              <w:top w:w="100" w:type="dxa"/>
              <w:left w:w="120" w:type="dxa"/>
              <w:bottom w:w="100" w:type="dxa"/>
              <w:right w:w="120" w:type="dxa"/>
            </w:tcMar>
            <w:vAlign w:val="center"/>
          </w:tcPr>
          <w:p w14:paraId="5160B3DE">
            <w:pPr>
              <w:spacing w:after="0"/>
              <w:jc w:val="center"/>
            </w:pPr>
            <w:r>
              <w:rPr>
                <w:rFonts w:ascii="微软雅黑" w:hAnsi="微软雅黑" w:eastAsia="微软雅黑"/>
                <w:b/>
                <w:color w:val="17365D"/>
                <w:sz w:val="18"/>
              </w:rPr>
              <w:t>暂时不能支持</w:t>
            </w:r>
          </w:p>
        </w:tc>
      </w:tr>
      <w:tr w14:paraId="69958BAC">
        <w:tblPrEx>
          <w:tblCellMar>
            <w:top w:w="0" w:type="dxa"/>
            <w:left w:w="108" w:type="dxa"/>
            <w:bottom w:w="0" w:type="dxa"/>
            <w:right w:w="108" w:type="dxa"/>
          </w:tblCellMar>
        </w:tblPrEx>
        <w:trPr>
          <w:cantSplit/>
        </w:trPr>
        <w:tc>
          <w:tcPr>
            <w:tcW w:w="4680" w:type="dxa"/>
            <w:tcMar>
              <w:top w:w="100" w:type="dxa"/>
              <w:left w:w="120" w:type="dxa"/>
              <w:bottom w:w="100" w:type="dxa"/>
              <w:right w:w="120" w:type="dxa"/>
            </w:tcMar>
            <w:vAlign w:val="center"/>
          </w:tcPr>
          <w:p w14:paraId="0752CF4F">
            <w:pPr>
              <w:spacing w:before="0" w:after="0" w:line="259" w:lineRule="auto"/>
              <w:jc w:val="left"/>
            </w:pPr>
            <w:r>
              <w:rPr>
                <w:rFonts w:ascii="微软雅黑" w:hAnsi="微软雅黑" w:eastAsia="微软雅黑"/>
                <w:color w:val="20262E"/>
                <w:sz w:val="18"/>
              </w:rPr>
              <w:t>三层方法在当前统一设置下优于ER</w:t>
            </w:r>
          </w:p>
        </w:tc>
        <w:tc>
          <w:tcPr>
            <w:tcW w:w="4680" w:type="dxa"/>
            <w:tcMar>
              <w:top w:w="100" w:type="dxa"/>
              <w:left w:w="120" w:type="dxa"/>
              <w:bottom w:w="100" w:type="dxa"/>
              <w:right w:w="120" w:type="dxa"/>
            </w:tcMar>
            <w:vAlign w:val="center"/>
          </w:tcPr>
          <w:p w14:paraId="4CCE7951">
            <w:pPr>
              <w:spacing w:before="0" w:after="0" w:line="259" w:lineRule="auto"/>
              <w:jc w:val="left"/>
            </w:pPr>
            <w:r>
              <w:rPr>
                <w:rFonts w:ascii="微软雅黑" w:hAnsi="微软雅黑" w:eastAsia="微软雅黑"/>
                <w:color w:val="20262E"/>
                <w:sz w:val="18"/>
              </w:rPr>
              <w:t>真实外业识别精度或漏检率</w:t>
            </w:r>
          </w:p>
        </w:tc>
      </w:tr>
      <w:tr w14:paraId="7BF79350">
        <w:tblPrEx>
          <w:tblCellMar>
            <w:top w:w="0" w:type="dxa"/>
            <w:left w:w="108" w:type="dxa"/>
            <w:bottom w:w="0" w:type="dxa"/>
            <w:right w:w="108" w:type="dxa"/>
          </w:tblCellMar>
        </w:tblPrEx>
        <w:trPr>
          <w:cantSplit/>
        </w:trPr>
        <w:tc>
          <w:tcPr>
            <w:tcW w:w="4680" w:type="dxa"/>
            <w:tcMar>
              <w:top w:w="100" w:type="dxa"/>
              <w:left w:w="120" w:type="dxa"/>
              <w:bottom w:w="100" w:type="dxa"/>
              <w:right w:w="120" w:type="dxa"/>
            </w:tcMar>
            <w:vAlign w:val="center"/>
          </w:tcPr>
          <w:p w14:paraId="7C995BA7">
            <w:pPr>
              <w:spacing w:before="0" w:after="0" w:line="259" w:lineRule="auto"/>
              <w:jc w:val="left"/>
            </w:pPr>
            <w:r>
              <w:rPr>
                <w:rFonts w:ascii="微软雅黑" w:hAnsi="微软雅黑" w:eastAsia="微软雅黑"/>
                <w:color w:val="20262E"/>
                <w:sz w:val="18"/>
              </w:rPr>
              <w:t>持续学习中的灾难性遗忘得到明显缓解</w:t>
            </w:r>
          </w:p>
        </w:tc>
        <w:tc>
          <w:tcPr>
            <w:tcW w:w="4680" w:type="dxa"/>
            <w:tcMar>
              <w:top w:w="100" w:type="dxa"/>
              <w:left w:w="120" w:type="dxa"/>
              <w:bottom w:w="100" w:type="dxa"/>
              <w:right w:w="120" w:type="dxa"/>
            </w:tcMar>
            <w:vAlign w:val="center"/>
          </w:tcPr>
          <w:p w14:paraId="154E5591">
            <w:pPr>
              <w:spacing w:before="0" w:after="0" w:line="259" w:lineRule="auto"/>
              <w:jc w:val="left"/>
            </w:pPr>
            <w:r>
              <w:rPr>
                <w:rFonts w:ascii="微软雅黑" w:hAnsi="微软雅黑" w:eastAsia="微软雅黑"/>
                <w:color w:val="20262E"/>
                <w:sz w:val="18"/>
              </w:rPr>
              <w:t>机载实时性能、功耗和存储指标</w:t>
            </w:r>
          </w:p>
        </w:tc>
      </w:tr>
      <w:tr w14:paraId="2BC4C3D1">
        <w:tblPrEx>
          <w:tblCellMar>
            <w:top w:w="0" w:type="dxa"/>
            <w:left w:w="108" w:type="dxa"/>
            <w:bottom w:w="0" w:type="dxa"/>
            <w:right w:w="108" w:type="dxa"/>
          </w:tblCellMar>
        </w:tblPrEx>
        <w:trPr>
          <w:cantSplit/>
        </w:trPr>
        <w:tc>
          <w:tcPr>
            <w:tcW w:w="4680" w:type="dxa"/>
            <w:tcMar>
              <w:top w:w="100" w:type="dxa"/>
              <w:left w:w="120" w:type="dxa"/>
              <w:bottom w:w="100" w:type="dxa"/>
              <w:right w:w="120" w:type="dxa"/>
            </w:tcMar>
            <w:vAlign w:val="center"/>
          </w:tcPr>
          <w:p w14:paraId="2E74B2B1">
            <w:pPr>
              <w:spacing w:before="0" w:after="0" w:line="259" w:lineRule="auto"/>
              <w:jc w:val="left"/>
            </w:pPr>
            <w:r>
              <w:rPr>
                <w:rFonts w:ascii="微软雅黑" w:hAnsi="微软雅黑" w:eastAsia="微软雅黑"/>
                <w:color w:val="20262E"/>
                <w:sz w:val="18"/>
              </w:rPr>
              <w:t>可以按区域发现局部性能差异并提出预算建议</w:t>
            </w:r>
          </w:p>
        </w:tc>
        <w:tc>
          <w:tcPr>
            <w:tcW w:w="4680" w:type="dxa"/>
            <w:tcMar>
              <w:top w:w="100" w:type="dxa"/>
              <w:left w:w="120" w:type="dxa"/>
              <w:bottom w:w="100" w:type="dxa"/>
              <w:right w:w="120" w:type="dxa"/>
            </w:tcMar>
            <w:vAlign w:val="center"/>
          </w:tcPr>
          <w:p w14:paraId="7F2A45F4">
            <w:pPr>
              <w:spacing w:before="0" w:after="0" w:line="259" w:lineRule="auto"/>
              <w:jc w:val="left"/>
            </w:pPr>
            <w:r>
              <w:rPr>
                <w:rFonts w:ascii="微软雅黑" w:hAnsi="微软雅黑" w:eastAsia="微软雅黑"/>
                <w:color w:val="20262E"/>
                <w:sz w:val="18"/>
              </w:rPr>
              <w:t>预算闭环已经在生产训练中自动生效</w:t>
            </w:r>
          </w:p>
        </w:tc>
      </w:tr>
      <w:tr w14:paraId="64203F31">
        <w:tblPrEx>
          <w:tblCellMar>
            <w:top w:w="0" w:type="dxa"/>
            <w:left w:w="108" w:type="dxa"/>
            <w:bottom w:w="0" w:type="dxa"/>
            <w:right w:w="108" w:type="dxa"/>
          </w:tblCellMar>
        </w:tblPrEx>
        <w:trPr>
          <w:cantSplit/>
        </w:trPr>
        <w:tc>
          <w:tcPr>
            <w:tcW w:w="4680" w:type="dxa"/>
            <w:tcMar>
              <w:top w:w="100" w:type="dxa"/>
              <w:left w:w="120" w:type="dxa"/>
              <w:bottom w:w="100" w:type="dxa"/>
              <w:right w:w="120" w:type="dxa"/>
            </w:tcMar>
            <w:vAlign w:val="center"/>
          </w:tcPr>
          <w:p w14:paraId="6335BC33">
            <w:pPr>
              <w:spacing w:before="0" w:after="0" w:line="259" w:lineRule="auto"/>
              <w:jc w:val="left"/>
            </w:pPr>
            <w:r>
              <w:rPr>
                <w:rFonts w:ascii="微软雅黑" w:hAnsi="微软雅黑" w:eastAsia="微软雅黑"/>
                <w:color w:val="20262E"/>
                <w:sz w:val="18"/>
              </w:rPr>
              <w:t>公开数据仿真链路已经形成可展示原型</w:t>
            </w:r>
          </w:p>
        </w:tc>
        <w:tc>
          <w:tcPr>
            <w:tcW w:w="4680" w:type="dxa"/>
            <w:tcMar>
              <w:top w:w="100" w:type="dxa"/>
              <w:left w:w="120" w:type="dxa"/>
              <w:bottom w:w="100" w:type="dxa"/>
              <w:right w:w="120" w:type="dxa"/>
            </w:tcMar>
            <w:vAlign w:val="center"/>
          </w:tcPr>
          <w:p w14:paraId="74B58088">
            <w:pPr>
              <w:spacing w:before="0" w:after="0" w:line="259" w:lineRule="auto"/>
              <w:jc w:val="left"/>
            </w:pPr>
            <w:r>
              <w:rPr>
                <w:rFonts w:ascii="微软雅黑" w:hAnsi="微软雅黑" w:eastAsia="微软雅黑"/>
                <w:color w:val="20262E"/>
                <w:sz w:val="18"/>
              </w:rPr>
              <w:t>客户验收、商业收入或规模化部署</w:t>
            </w:r>
          </w:p>
        </w:tc>
      </w:tr>
    </w:tbl>
    <w:p w14:paraId="1219F621">
      <w:pPr>
        <w:spacing w:after="40"/>
      </w:pPr>
    </w:p>
    <w:p w14:paraId="28698981">
      <w:pPr>
        <w:pStyle w:val="3"/>
        <w:keepNext/>
        <w:keepLines/>
      </w:pPr>
      <w:r>
        <w:rPr>
          <w:rFonts w:ascii="微软雅黑" w:hAnsi="微软雅黑" w:eastAsia="微软雅黑"/>
          <w:color w:val="20262E"/>
        </w:rPr>
        <w:t>16. 项目的创新性</w:t>
      </w:r>
    </w:p>
    <w:p w14:paraId="13C382D8">
      <w:pPr>
        <w:pStyle w:val="4"/>
        <w:keepNext/>
        <w:keepLines/>
      </w:pPr>
      <w:r>
        <w:rPr>
          <w:rFonts w:ascii="微软雅黑" w:hAnsi="微软雅黑" w:eastAsia="微软雅黑"/>
          <w:color w:val="20262E"/>
        </w:rPr>
        <w:t>16.1 时空感知的局部风险诊断</w:t>
      </w:r>
    </w:p>
    <w:p w14:paraId="67077855">
      <w:pPr>
        <w:spacing w:before="0" w:after="120" w:line="264" w:lineRule="auto"/>
        <w:jc w:val="both"/>
      </w:pPr>
      <w:r>
        <w:rPr>
          <w:rFonts w:ascii="微软雅黑" w:hAnsi="微软雅黑" w:eastAsia="微软雅黑"/>
          <w:color w:val="20262E"/>
          <w:sz w:val="21"/>
        </w:rPr>
        <w:t>传统持续学习评测通常只看全局平均准确率，而巡检业务更关心具体地点是否正在失效。项目利用北斗坐标建立location_id，在区域粒度统计识别率、遗忘率、定位误差和模型不稳定性，把“模型整体还可以”进一步拆解为“哪些地点已经不可靠”。</w:t>
      </w:r>
    </w:p>
    <w:p w14:paraId="461E826F">
      <w:pPr>
        <w:pStyle w:val="4"/>
        <w:keepNext/>
        <w:keepLines/>
      </w:pPr>
      <w:r>
        <w:rPr>
          <w:rFonts w:ascii="微软雅黑" w:hAnsi="微软雅黑" w:eastAsia="微软雅黑"/>
          <w:color w:val="20262E"/>
        </w:rPr>
        <w:t>16.2 风险预算而非均匀回放</w:t>
      </w:r>
    </w:p>
    <w:p w14:paraId="4A2882DF">
      <w:pPr>
        <w:spacing w:before="0" w:after="120" w:line="264" w:lineRule="auto"/>
        <w:jc w:val="both"/>
      </w:pPr>
      <w:r>
        <w:rPr>
          <w:rFonts w:ascii="微软雅黑" w:hAnsi="微软雅黑" w:eastAsia="微软雅黑"/>
          <w:color w:val="20262E"/>
          <w:sz w:val="21"/>
        </w:rPr>
        <w:t>在固定回放总量下，根据区域风险和业务后果给出资源配置建议，高风险区域获得更多历史知识留存或补采资源。创新点不只是改变采样比例，而是把模型维护预算与可解释的地理风险连接起来。当前已完成预算建议计算，训练侧闭环仍需进一步实验确认。</w:t>
      </w:r>
    </w:p>
    <w:p w14:paraId="680DE78C">
      <w:pPr>
        <w:pStyle w:val="4"/>
        <w:keepNext/>
        <w:keepLines/>
      </w:pPr>
      <w:r>
        <w:rPr>
          <w:rFonts w:ascii="微软雅黑" w:hAnsi="微软雅黑" w:eastAsia="微软雅黑"/>
          <w:color w:val="20262E"/>
        </w:rPr>
        <w:t>16.3 面向时空扰动的因果语义回放</w:t>
      </w:r>
    </w:p>
    <w:p w14:paraId="3C9C8291">
      <w:pPr>
        <w:spacing w:before="0" w:after="120" w:line="264" w:lineRule="auto"/>
        <w:jc w:val="both"/>
      </w:pPr>
      <w:r>
        <w:rPr>
          <w:rFonts w:ascii="微软雅黑" w:hAnsi="微软雅黑" w:eastAsia="微软雅黑"/>
          <w:color w:val="20262E"/>
          <w:sz w:val="21"/>
        </w:rPr>
        <w:t>无人机视角、光照、背景、飞行姿态和定位偏差可能诱导模型学习虚假关联。私有方法以因果语义回放为核心，目标是在类别增量学习过程中保持与目标本体相关的稳定语义。公开材料以整体准确率和遗忘率结果验证能力，不披露内部实现。</w:t>
      </w:r>
    </w:p>
    <w:p w14:paraId="218B7D93">
      <w:pPr>
        <w:pStyle w:val="4"/>
        <w:keepNext/>
        <w:keepLines/>
      </w:pPr>
      <w:r>
        <w:rPr>
          <w:rFonts w:ascii="微软雅黑" w:hAnsi="微软雅黑" w:eastAsia="微软雅黑"/>
          <w:color w:val="20262E"/>
        </w:rPr>
        <w:t>16.4 从诊断到复飞的业务闭环</w:t>
      </w:r>
    </w:p>
    <w:p w14:paraId="23D411E5">
      <w:pPr>
        <w:spacing w:before="0" w:after="120" w:line="264" w:lineRule="auto"/>
        <w:jc w:val="both"/>
      </w:pPr>
      <w:r>
        <w:rPr>
          <w:rFonts w:ascii="微软雅黑" w:hAnsi="微软雅黑" w:eastAsia="微软雅黑"/>
          <w:color w:val="20262E"/>
          <w:sz w:val="21"/>
        </w:rPr>
        <w:t>项目不仅输出模型指标，还把高风险location_id转换为可执行的复飞坐标、补采清单和人工复核任务。这是北斗时空信息从“记录位置”走向“驱动作业”的关键产品化步骤，也是区别于纯算法论文演示的重要价值。</w:t>
      </w:r>
    </w:p>
    <w:p w14:paraId="4BB898CF">
      <w:pPr>
        <w:pStyle w:val="3"/>
        <w:keepNext/>
        <w:keepLines/>
      </w:pPr>
      <w:r>
        <w:rPr>
          <w:rFonts w:ascii="微软雅黑" w:hAnsi="微软雅黑" w:eastAsia="微软雅黑"/>
          <w:color w:val="20262E"/>
        </w:rPr>
        <w:t>17. 产品价值与可交付物</w:t>
      </w:r>
    </w:p>
    <w:tbl>
      <w:tblPr>
        <w:tblStyle w:val="32"/>
        <w:tblW w:w="9360" w:type="dxa"/>
        <w:tblInd w:w="120" w:type="dxa"/>
        <w:tblLayout w:type="fixed"/>
        <w:tblCellMar>
          <w:top w:w="0" w:type="dxa"/>
          <w:left w:w="108" w:type="dxa"/>
          <w:bottom w:w="0" w:type="dxa"/>
          <w:right w:w="108" w:type="dxa"/>
        </w:tblCellMar>
      </w:tblPr>
      <w:tblGrid>
        <w:gridCol w:w="1800"/>
        <w:gridCol w:w="4000"/>
        <w:gridCol w:w="3560"/>
      </w:tblGrid>
      <w:tr w14:paraId="26F4AEA1">
        <w:tblPrEx>
          <w:tblCellMar>
            <w:top w:w="0" w:type="dxa"/>
            <w:left w:w="108" w:type="dxa"/>
            <w:bottom w:w="0" w:type="dxa"/>
            <w:right w:w="108" w:type="dxa"/>
          </w:tblCellMar>
        </w:tblPrEx>
        <w:trPr>
          <w:cantSplit/>
          <w:tblHeader/>
        </w:trPr>
        <w:tc>
          <w:tcPr>
            <w:tcW w:w="1800" w:type="dxa"/>
            <w:shd w:val="clear" w:color="auto" w:fill="F2F4F7"/>
            <w:tcMar>
              <w:top w:w="100" w:type="dxa"/>
              <w:left w:w="120" w:type="dxa"/>
              <w:bottom w:w="100" w:type="dxa"/>
              <w:right w:w="120" w:type="dxa"/>
            </w:tcMar>
            <w:vAlign w:val="center"/>
          </w:tcPr>
          <w:p w14:paraId="526DDBD1">
            <w:pPr>
              <w:spacing w:after="0"/>
              <w:jc w:val="center"/>
            </w:pPr>
            <w:r>
              <w:rPr>
                <w:rFonts w:ascii="微软雅黑" w:hAnsi="微软雅黑" w:eastAsia="微软雅黑"/>
                <w:b/>
                <w:color w:val="17365D"/>
                <w:sz w:val="18"/>
              </w:rPr>
              <w:t>价值对象</w:t>
            </w:r>
          </w:p>
        </w:tc>
        <w:tc>
          <w:tcPr>
            <w:tcW w:w="4000" w:type="dxa"/>
            <w:shd w:val="clear" w:color="auto" w:fill="F2F4F7"/>
            <w:tcMar>
              <w:top w:w="100" w:type="dxa"/>
              <w:left w:w="120" w:type="dxa"/>
              <w:bottom w:w="100" w:type="dxa"/>
              <w:right w:w="120" w:type="dxa"/>
            </w:tcMar>
            <w:vAlign w:val="center"/>
          </w:tcPr>
          <w:p w14:paraId="184232DB">
            <w:pPr>
              <w:spacing w:after="0"/>
              <w:jc w:val="center"/>
            </w:pPr>
            <w:r>
              <w:rPr>
                <w:rFonts w:ascii="微软雅黑" w:hAnsi="微软雅黑" w:eastAsia="微软雅黑"/>
                <w:b/>
                <w:color w:val="17365D"/>
                <w:sz w:val="18"/>
              </w:rPr>
              <w:t>核心价值</w:t>
            </w:r>
          </w:p>
        </w:tc>
        <w:tc>
          <w:tcPr>
            <w:tcW w:w="3560" w:type="dxa"/>
            <w:shd w:val="clear" w:color="auto" w:fill="F2F4F7"/>
            <w:tcMar>
              <w:top w:w="100" w:type="dxa"/>
              <w:left w:w="120" w:type="dxa"/>
              <w:bottom w:w="100" w:type="dxa"/>
              <w:right w:w="120" w:type="dxa"/>
            </w:tcMar>
            <w:vAlign w:val="center"/>
          </w:tcPr>
          <w:p w14:paraId="33E5E7E4">
            <w:pPr>
              <w:spacing w:after="0"/>
              <w:jc w:val="center"/>
            </w:pPr>
            <w:r>
              <w:rPr>
                <w:rFonts w:ascii="微软雅黑" w:hAnsi="微软雅黑" w:eastAsia="微软雅黑"/>
                <w:b/>
                <w:color w:val="17365D"/>
                <w:sz w:val="18"/>
              </w:rPr>
              <w:t>可交付物</w:t>
            </w:r>
          </w:p>
        </w:tc>
      </w:tr>
      <w:tr w14:paraId="0BC8E873">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2E85EBA2">
            <w:pPr>
              <w:spacing w:before="0" w:after="0" w:line="259" w:lineRule="auto"/>
              <w:jc w:val="left"/>
            </w:pPr>
            <w:r>
              <w:rPr>
                <w:rFonts w:ascii="微软雅黑" w:hAnsi="微软雅黑" w:eastAsia="微软雅黑"/>
                <w:color w:val="20262E"/>
                <w:sz w:val="18"/>
              </w:rPr>
              <w:t>巡检操作</w:t>
            </w:r>
          </w:p>
        </w:tc>
        <w:tc>
          <w:tcPr>
            <w:tcW w:w="4000" w:type="dxa"/>
            <w:tcMar>
              <w:top w:w="100" w:type="dxa"/>
              <w:left w:w="120" w:type="dxa"/>
              <w:bottom w:w="100" w:type="dxa"/>
              <w:right w:w="120" w:type="dxa"/>
            </w:tcMar>
            <w:vAlign w:val="center"/>
          </w:tcPr>
          <w:p w14:paraId="6422FE98">
            <w:pPr>
              <w:spacing w:before="0" w:after="0" w:line="259" w:lineRule="auto"/>
              <w:jc w:val="left"/>
            </w:pPr>
            <w:r>
              <w:rPr>
                <w:rFonts w:ascii="微软雅黑" w:hAnsi="微软雅黑" w:eastAsia="微软雅黑"/>
                <w:color w:val="20262E"/>
                <w:sz w:val="18"/>
              </w:rPr>
              <w:t>把模型薄弱区域直接转为坐标级复飞和补采任务</w:t>
            </w:r>
          </w:p>
        </w:tc>
        <w:tc>
          <w:tcPr>
            <w:tcW w:w="3560" w:type="dxa"/>
            <w:tcMar>
              <w:top w:w="100" w:type="dxa"/>
              <w:left w:w="120" w:type="dxa"/>
              <w:bottom w:w="100" w:type="dxa"/>
              <w:right w:w="120" w:type="dxa"/>
            </w:tcMar>
            <w:vAlign w:val="center"/>
          </w:tcPr>
          <w:p w14:paraId="49EDBA7F">
            <w:pPr>
              <w:spacing w:before="0" w:after="0" w:line="259" w:lineRule="auto"/>
              <w:jc w:val="left"/>
            </w:pPr>
            <w:r>
              <w:rPr>
                <w:rFonts w:ascii="微软雅黑" w:hAnsi="微软雅黑" w:eastAsia="微软雅黑"/>
                <w:color w:val="20262E"/>
                <w:sz w:val="18"/>
              </w:rPr>
              <w:t>航线任务、复飞清单、异常点位</w:t>
            </w:r>
          </w:p>
        </w:tc>
      </w:tr>
      <w:tr w14:paraId="0B3DE9B0">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7D900064">
            <w:pPr>
              <w:spacing w:before="0" w:after="0" w:line="259" w:lineRule="auto"/>
              <w:jc w:val="left"/>
            </w:pPr>
            <w:r>
              <w:rPr>
                <w:rFonts w:ascii="微软雅黑" w:hAnsi="微软雅黑" w:eastAsia="微软雅黑"/>
                <w:color w:val="20262E"/>
                <w:sz w:val="18"/>
              </w:rPr>
              <w:t>运维管理</w:t>
            </w:r>
          </w:p>
        </w:tc>
        <w:tc>
          <w:tcPr>
            <w:tcW w:w="4000" w:type="dxa"/>
            <w:tcMar>
              <w:top w:w="100" w:type="dxa"/>
              <w:left w:w="120" w:type="dxa"/>
              <w:bottom w:w="100" w:type="dxa"/>
              <w:right w:w="120" w:type="dxa"/>
            </w:tcMar>
            <w:vAlign w:val="center"/>
          </w:tcPr>
          <w:p w14:paraId="4264F484">
            <w:pPr>
              <w:spacing w:before="0" w:after="0" w:line="259" w:lineRule="auto"/>
              <w:jc w:val="left"/>
            </w:pPr>
            <w:r>
              <w:rPr>
                <w:rFonts w:ascii="微软雅黑" w:hAnsi="微软雅黑" w:eastAsia="微软雅黑"/>
                <w:color w:val="20262E"/>
                <w:sz w:val="18"/>
              </w:rPr>
              <w:t>从全局准确率升级为区域风险和历史趋势管理</w:t>
            </w:r>
          </w:p>
        </w:tc>
        <w:tc>
          <w:tcPr>
            <w:tcW w:w="3560" w:type="dxa"/>
            <w:tcMar>
              <w:top w:w="100" w:type="dxa"/>
              <w:left w:w="120" w:type="dxa"/>
              <w:bottom w:w="100" w:type="dxa"/>
              <w:right w:w="120" w:type="dxa"/>
            </w:tcMar>
            <w:vAlign w:val="center"/>
          </w:tcPr>
          <w:p w14:paraId="48ED765E">
            <w:pPr>
              <w:spacing w:before="0" w:after="0" w:line="259" w:lineRule="auto"/>
              <w:jc w:val="left"/>
            </w:pPr>
            <w:r>
              <w:rPr>
                <w:rFonts w:ascii="微软雅黑" w:hAnsi="微软雅黑" w:eastAsia="微软雅黑"/>
                <w:color w:val="20262E"/>
                <w:sz w:val="18"/>
              </w:rPr>
              <w:t>风险地图、区域诊断报告、处置状态</w:t>
            </w:r>
          </w:p>
        </w:tc>
      </w:tr>
      <w:tr w14:paraId="0F289F03">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59202496">
            <w:pPr>
              <w:spacing w:before="0" w:after="0" w:line="259" w:lineRule="auto"/>
              <w:jc w:val="left"/>
            </w:pPr>
            <w:r>
              <w:rPr>
                <w:rFonts w:ascii="微软雅黑" w:hAnsi="微软雅黑" w:eastAsia="微软雅黑"/>
                <w:color w:val="20262E"/>
                <w:sz w:val="18"/>
              </w:rPr>
              <w:t>模型运维</w:t>
            </w:r>
          </w:p>
        </w:tc>
        <w:tc>
          <w:tcPr>
            <w:tcW w:w="4000" w:type="dxa"/>
            <w:tcMar>
              <w:top w:w="100" w:type="dxa"/>
              <w:left w:w="120" w:type="dxa"/>
              <w:bottom w:w="100" w:type="dxa"/>
              <w:right w:w="120" w:type="dxa"/>
            </w:tcMar>
            <w:vAlign w:val="center"/>
          </w:tcPr>
          <w:p w14:paraId="27F8A346">
            <w:pPr>
              <w:spacing w:before="0" w:after="0" w:line="259" w:lineRule="auto"/>
              <w:jc w:val="left"/>
            </w:pPr>
            <w:r>
              <w:rPr>
                <w:rFonts w:ascii="微软雅黑" w:hAnsi="微软雅黑" w:eastAsia="微软雅黑"/>
                <w:color w:val="20262E"/>
                <w:sz w:val="18"/>
              </w:rPr>
              <w:t>在有限预算下持续吸收新类别并控制遗忘</w:t>
            </w:r>
          </w:p>
        </w:tc>
        <w:tc>
          <w:tcPr>
            <w:tcW w:w="3560" w:type="dxa"/>
            <w:tcMar>
              <w:top w:w="100" w:type="dxa"/>
              <w:left w:w="120" w:type="dxa"/>
              <w:bottom w:w="100" w:type="dxa"/>
              <w:right w:w="120" w:type="dxa"/>
            </w:tcMar>
            <w:vAlign w:val="center"/>
          </w:tcPr>
          <w:p w14:paraId="3C5F1FF6">
            <w:pPr>
              <w:spacing w:before="0" w:after="0" w:line="259" w:lineRule="auto"/>
              <w:jc w:val="left"/>
            </w:pPr>
            <w:r>
              <w:rPr>
                <w:rFonts w:ascii="微软雅黑" w:hAnsi="微软雅黑" w:eastAsia="微软雅黑"/>
                <w:color w:val="20262E"/>
                <w:sz w:val="18"/>
              </w:rPr>
              <w:t>模型版本、质量门槛、回放预算建议</w:t>
            </w:r>
          </w:p>
        </w:tc>
      </w:tr>
      <w:tr w14:paraId="429DB572">
        <w:tblPrEx>
          <w:tblCellMar>
            <w:top w:w="0" w:type="dxa"/>
            <w:left w:w="108" w:type="dxa"/>
            <w:bottom w:w="0" w:type="dxa"/>
            <w:right w:w="108" w:type="dxa"/>
          </w:tblCellMar>
        </w:tblPrEx>
        <w:trPr>
          <w:cantSplit/>
        </w:trPr>
        <w:tc>
          <w:tcPr>
            <w:tcW w:w="1800" w:type="dxa"/>
            <w:tcMar>
              <w:top w:w="100" w:type="dxa"/>
              <w:left w:w="120" w:type="dxa"/>
              <w:bottom w:w="100" w:type="dxa"/>
              <w:right w:w="120" w:type="dxa"/>
            </w:tcMar>
            <w:vAlign w:val="center"/>
          </w:tcPr>
          <w:p w14:paraId="7D532BC4">
            <w:pPr>
              <w:spacing w:before="0" w:after="0" w:line="259" w:lineRule="auto"/>
              <w:jc w:val="left"/>
            </w:pPr>
            <w:r>
              <w:rPr>
                <w:rFonts w:ascii="微软雅黑" w:hAnsi="微软雅黑" w:eastAsia="微软雅黑"/>
                <w:color w:val="20262E"/>
                <w:sz w:val="18"/>
              </w:rPr>
              <w:t>管理决策</w:t>
            </w:r>
          </w:p>
        </w:tc>
        <w:tc>
          <w:tcPr>
            <w:tcW w:w="4000" w:type="dxa"/>
            <w:tcMar>
              <w:top w:w="100" w:type="dxa"/>
              <w:left w:w="120" w:type="dxa"/>
              <w:bottom w:w="100" w:type="dxa"/>
              <w:right w:w="120" w:type="dxa"/>
            </w:tcMar>
            <w:vAlign w:val="center"/>
          </w:tcPr>
          <w:p w14:paraId="69947632">
            <w:pPr>
              <w:spacing w:before="0" w:after="0" w:line="259" w:lineRule="auto"/>
              <w:jc w:val="left"/>
            </w:pPr>
            <w:r>
              <w:rPr>
                <w:rFonts w:ascii="微软雅黑" w:hAnsi="微软雅黑" w:eastAsia="微软雅黑"/>
                <w:color w:val="20262E"/>
                <w:sz w:val="18"/>
              </w:rPr>
              <w:t>量化哪些区域、模型和任务需要优先投入资源</w:t>
            </w:r>
          </w:p>
        </w:tc>
        <w:tc>
          <w:tcPr>
            <w:tcW w:w="3560" w:type="dxa"/>
            <w:tcMar>
              <w:top w:w="100" w:type="dxa"/>
              <w:left w:w="120" w:type="dxa"/>
              <w:bottom w:w="100" w:type="dxa"/>
              <w:right w:w="120" w:type="dxa"/>
            </w:tcMar>
            <w:vAlign w:val="center"/>
          </w:tcPr>
          <w:p w14:paraId="2640E5C2">
            <w:pPr>
              <w:spacing w:before="0" w:after="0" w:line="259" w:lineRule="auto"/>
              <w:jc w:val="left"/>
            </w:pPr>
            <w:r>
              <w:rPr>
                <w:rFonts w:ascii="微软雅黑" w:hAnsi="微软雅黑" w:eastAsia="微软雅黑"/>
                <w:color w:val="20262E"/>
                <w:sz w:val="18"/>
              </w:rPr>
              <w:t>汇总看板、预算分析、阶段评估</w:t>
            </w:r>
          </w:p>
        </w:tc>
      </w:tr>
    </w:tbl>
    <w:p w14:paraId="6385AF23">
      <w:pPr>
        <w:spacing w:after="40"/>
      </w:pPr>
    </w:p>
    <w:p w14:paraId="10351081">
      <w:pPr>
        <w:spacing w:before="0" w:after="120" w:line="264" w:lineRule="auto"/>
        <w:jc w:val="both"/>
      </w:pPr>
      <w:r>
        <w:rPr>
          <w:rFonts w:ascii="微软雅黑" w:hAnsi="微软雅黑" w:eastAsia="微软雅黑"/>
          <w:color w:val="20262E"/>
          <w:sz w:val="21"/>
        </w:rPr>
        <w:t>商业化初期不必承诺完全替代人工巡检。更可信的定位是“辅助识别、风险排序和复飞决策平台”，先减少无差别复飞、降低人工筛查量、提高重点区域复核及时性，再随着真实数据和行业适配逐步提高自动化程度。</w:t>
      </w:r>
    </w:p>
    <w:p w14:paraId="7190525C">
      <w:pPr>
        <w:pStyle w:val="3"/>
        <w:keepNext/>
        <w:keepLines/>
      </w:pPr>
      <w:r>
        <w:rPr>
          <w:rFonts w:ascii="微软雅黑" w:hAnsi="微软雅黑" w:eastAsia="微软雅黑"/>
          <w:color w:val="20262E"/>
        </w:rPr>
        <w:t>18. 团队协作与保密实现</w:t>
      </w:r>
    </w:p>
    <w:p w14:paraId="08EC645A">
      <w:pPr>
        <w:keepNext/>
        <w:keepLines/>
        <w:spacing w:before="80" w:after="80"/>
        <w:jc w:val="center"/>
      </w:pPr>
      <w:r>
        <w:drawing>
          <wp:inline distT="0" distB="0" distL="114300" distR="114300">
            <wp:extent cx="5715000" cy="32385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3238500"/>
                    </a:xfrm>
                    <a:prstGeom prst="rect">
                      <a:avLst/>
                    </a:prstGeom>
                  </pic:spPr>
                </pic:pic>
              </a:graphicData>
            </a:graphic>
          </wp:inline>
        </w:drawing>
      </w:r>
    </w:p>
    <w:p w14:paraId="559887FA">
      <w:pPr>
        <w:spacing w:before="0" w:after="160"/>
        <w:jc w:val="center"/>
      </w:pPr>
      <w:r>
        <w:rPr>
          <w:rFonts w:ascii="微软雅黑" w:hAnsi="微软雅黑" w:eastAsia="微软雅黑"/>
          <w:color w:val="667085"/>
          <w:sz w:val="17"/>
        </w:rPr>
        <w:t>图4  核心算法与共享竞赛工程通过审核后的白名单JSON连接</w:t>
      </w:r>
    </w:p>
    <w:p w14:paraId="359962F4">
      <w:pPr>
        <w:pStyle w:val="3"/>
        <w:keepNext/>
        <w:keepLines/>
      </w:pPr>
      <w:r>
        <w:rPr>
          <w:rFonts w:ascii="微软雅黑" w:hAnsi="微软雅黑" w:eastAsia="微软雅黑"/>
          <w:color w:val="20262E"/>
        </w:rPr>
        <w:t>1</w:t>
      </w:r>
      <w:r>
        <w:rPr>
          <w:rFonts w:hint="eastAsia" w:ascii="微软雅黑" w:hAnsi="微软雅黑" w:eastAsia="微软雅黑"/>
          <w:color w:val="20262E"/>
          <w:lang w:val="en-US" w:eastAsia="zh-CN"/>
        </w:rPr>
        <w:t>8</w:t>
      </w:r>
      <w:r>
        <w:rPr>
          <w:rFonts w:ascii="微软雅黑" w:hAnsi="微软雅黑" w:eastAsia="微软雅黑"/>
          <w:color w:val="20262E"/>
        </w:rPr>
        <w:t>. 当前完成状态与缺口</w:t>
      </w:r>
    </w:p>
    <w:tbl>
      <w:tblPr>
        <w:tblStyle w:val="32"/>
        <w:tblW w:w="9360" w:type="dxa"/>
        <w:tblInd w:w="120" w:type="dxa"/>
        <w:tblLayout w:type="fixed"/>
        <w:tblCellMar>
          <w:top w:w="0" w:type="dxa"/>
          <w:left w:w="108" w:type="dxa"/>
          <w:bottom w:w="0" w:type="dxa"/>
          <w:right w:w="108" w:type="dxa"/>
        </w:tblCellMar>
      </w:tblPr>
      <w:tblGrid>
        <w:gridCol w:w="2800"/>
        <w:gridCol w:w="1500"/>
        <w:gridCol w:w="5060"/>
      </w:tblGrid>
      <w:tr w14:paraId="3CF233AC">
        <w:tblPrEx>
          <w:tblCellMar>
            <w:top w:w="0" w:type="dxa"/>
            <w:left w:w="108" w:type="dxa"/>
            <w:bottom w:w="0" w:type="dxa"/>
            <w:right w:w="108" w:type="dxa"/>
          </w:tblCellMar>
        </w:tblPrEx>
        <w:trPr>
          <w:cantSplit/>
          <w:tblHeader/>
        </w:trPr>
        <w:tc>
          <w:tcPr>
            <w:tcW w:w="2800" w:type="dxa"/>
            <w:shd w:val="clear" w:color="auto" w:fill="F2F4F7"/>
            <w:tcMar>
              <w:top w:w="100" w:type="dxa"/>
              <w:left w:w="120" w:type="dxa"/>
              <w:bottom w:w="100" w:type="dxa"/>
              <w:right w:w="120" w:type="dxa"/>
            </w:tcMar>
            <w:vAlign w:val="center"/>
          </w:tcPr>
          <w:p w14:paraId="7B2188BB">
            <w:pPr>
              <w:spacing w:after="0"/>
              <w:jc w:val="center"/>
            </w:pPr>
            <w:r>
              <w:rPr>
                <w:rFonts w:ascii="微软雅黑" w:hAnsi="微软雅黑" w:eastAsia="微软雅黑"/>
                <w:b/>
                <w:color w:val="17365D"/>
                <w:sz w:val="18"/>
              </w:rPr>
              <w:t>能力</w:t>
            </w:r>
          </w:p>
        </w:tc>
        <w:tc>
          <w:tcPr>
            <w:tcW w:w="1500" w:type="dxa"/>
            <w:shd w:val="clear" w:color="auto" w:fill="F2F4F7"/>
            <w:tcMar>
              <w:top w:w="100" w:type="dxa"/>
              <w:left w:w="120" w:type="dxa"/>
              <w:bottom w:w="100" w:type="dxa"/>
              <w:right w:w="120" w:type="dxa"/>
            </w:tcMar>
            <w:vAlign w:val="center"/>
          </w:tcPr>
          <w:p w14:paraId="088A566E">
            <w:pPr>
              <w:spacing w:after="0"/>
              <w:jc w:val="center"/>
            </w:pPr>
            <w:r>
              <w:rPr>
                <w:rFonts w:ascii="微软雅黑" w:hAnsi="微软雅黑" w:eastAsia="微软雅黑"/>
                <w:b/>
                <w:color w:val="17365D"/>
                <w:sz w:val="18"/>
              </w:rPr>
              <w:t>状态</w:t>
            </w:r>
          </w:p>
        </w:tc>
        <w:tc>
          <w:tcPr>
            <w:tcW w:w="5060" w:type="dxa"/>
            <w:shd w:val="clear" w:color="auto" w:fill="F2F4F7"/>
            <w:tcMar>
              <w:top w:w="100" w:type="dxa"/>
              <w:left w:w="120" w:type="dxa"/>
              <w:bottom w:w="100" w:type="dxa"/>
              <w:right w:w="120" w:type="dxa"/>
            </w:tcMar>
            <w:vAlign w:val="center"/>
          </w:tcPr>
          <w:p w14:paraId="1B465302">
            <w:pPr>
              <w:spacing w:after="0"/>
              <w:jc w:val="center"/>
            </w:pPr>
            <w:r>
              <w:rPr>
                <w:rFonts w:ascii="微软雅黑" w:hAnsi="微软雅黑" w:eastAsia="微软雅黑"/>
                <w:b/>
                <w:color w:val="17365D"/>
                <w:sz w:val="18"/>
              </w:rPr>
              <w:t>说明</w:t>
            </w:r>
          </w:p>
        </w:tc>
      </w:tr>
      <w:tr w14:paraId="5B76BE86">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28DF2645">
            <w:pPr>
              <w:spacing w:before="0" w:after="0" w:line="259" w:lineRule="auto"/>
              <w:jc w:val="left"/>
            </w:pPr>
            <w:r>
              <w:rPr>
                <w:rFonts w:ascii="微软雅黑" w:hAnsi="微软雅黑" w:eastAsia="微软雅黑"/>
                <w:color w:val="20262E"/>
                <w:sz w:val="18"/>
              </w:rPr>
              <w:t>航线与区域交互仿真</w:t>
            </w:r>
          </w:p>
        </w:tc>
        <w:tc>
          <w:tcPr>
            <w:tcW w:w="1500" w:type="dxa"/>
            <w:tcMar>
              <w:top w:w="100" w:type="dxa"/>
              <w:left w:w="120" w:type="dxa"/>
              <w:bottom w:w="100" w:type="dxa"/>
              <w:right w:w="120" w:type="dxa"/>
            </w:tcMar>
            <w:vAlign w:val="center"/>
          </w:tcPr>
          <w:p w14:paraId="316EBC73">
            <w:pPr>
              <w:spacing w:before="0" w:after="0" w:line="259" w:lineRule="auto"/>
              <w:jc w:val="left"/>
            </w:pPr>
            <w:r>
              <w:rPr>
                <w:rFonts w:ascii="微软雅黑" w:hAnsi="微软雅黑" w:eastAsia="微软雅黑"/>
                <w:color w:val="20262E"/>
                <w:sz w:val="18"/>
              </w:rPr>
              <w:t>已完成</w:t>
            </w:r>
          </w:p>
        </w:tc>
        <w:tc>
          <w:tcPr>
            <w:tcW w:w="5060" w:type="dxa"/>
            <w:tcMar>
              <w:top w:w="100" w:type="dxa"/>
              <w:left w:w="120" w:type="dxa"/>
              <w:bottom w:w="100" w:type="dxa"/>
              <w:right w:w="120" w:type="dxa"/>
            </w:tcMar>
            <w:vAlign w:val="center"/>
          </w:tcPr>
          <w:p w14:paraId="54B2C5AF">
            <w:pPr>
              <w:spacing w:before="0" w:after="0" w:line="259" w:lineRule="auto"/>
              <w:jc w:val="left"/>
            </w:pPr>
            <w:r>
              <w:rPr>
                <w:rFonts w:ascii="微软雅黑" w:hAnsi="微软雅黑" w:eastAsia="微软雅黑"/>
                <w:color w:val="20262E"/>
                <w:sz w:val="18"/>
              </w:rPr>
              <w:t>可展示定位扰动、区域风险、预算和复飞闭环，证据为simulation_only</w:t>
            </w:r>
          </w:p>
        </w:tc>
      </w:tr>
      <w:tr w14:paraId="764D8F06">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1AF6FA37">
            <w:pPr>
              <w:spacing w:before="0" w:after="0" w:line="259" w:lineRule="auto"/>
              <w:jc w:val="left"/>
            </w:pPr>
            <w:r>
              <w:rPr>
                <w:rFonts w:ascii="微软雅黑" w:hAnsi="微软雅黑" w:eastAsia="微软雅黑"/>
                <w:color w:val="20262E"/>
                <w:sz w:val="18"/>
              </w:rPr>
              <w:t>公开结果看板与报告</w:t>
            </w:r>
          </w:p>
        </w:tc>
        <w:tc>
          <w:tcPr>
            <w:tcW w:w="1500" w:type="dxa"/>
            <w:tcMar>
              <w:top w:w="100" w:type="dxa"/>
              <w:left w:w="120" w:type="dxa"/>
              <w:bottom w:w="100" w:type="dxa"/>
              <w:right w:w="120" w:type="dxa"/>
            </w:tcMar>
            <w:vAlign w:val="center"/>
          </w:tcPr>
          <w:p w14:paraId="034DA394">
            <w:pPr>
              <w:spacing w:before="0" w:after="0" w:line="259" w:lineRule="auto"/>
              <w:jc w:val="left"/>
            </w:pPr>
            <w:r>
              <w:rPr>
                <w:rFonts w:ascii="微软雅黑" w:hAnsi="微软雅黑" w:eastAsia="微软雅黑"/>
                <w:color w:val="20262E"/>
                <w:sz w:val="18"/>
              </w:rPr>
              <w:t>已完成</w:t>
            </w:r>
          </w:p>
        </w:tc>
        <w:tc>
          <w:tcPr>
            <w:tcW w:w="5060" w:type="dxa"/>
            <w:tcMar>
              <w:top w:w="100" w:type="dxa"/>
              <w:left w:w="120" w:type="dxa"/>
              <w:bottom w:w="100" w:type="dxa"/>
              <w:right w:w="120" w:type="dxa"/>
            </w:tcMar>
            <w:vAlign w:val="center"/>
          </w:tcPr>
          <w:p w14:paraId="240B4062">
            <w:pPr>
              <w:spacing w:before="0" w:after="0" w:line="259" w:lineRule="auto"/>
              <w:jc w:val="left"/>
            </w:pPr>
            <w:r>
              <w:rPr>
                <w:rFonts w:ascii="微软雅黑" w:hAnsi="微软雅黑" w:eastAsia="微软雅黑"/>
                <w:color w:val="20262E"/>
                <w:sz w:val="18"/>
              </w:rPr>
              <w:t>读取审核JSON，保留prediction_backed状态和披露说明</w:t>
            </w:r>
          </w:p>
        </w:tc>
      </w:tr>
      <w:tr w14:paraId="30375427">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20D1F6F6">
            <w:pPr>
              <w:spacing w:before="0" w:after="0" w:line="259" w:lineRule="auto"/>
              <w:jc w:val="left"/>
            </w:pPr>
            <w:r>
              <w:rPr>
                <w:rFonts w:ascii="微软雅黑" w:hAnsi="微软雅黑" w:eastAsia="微软雅黑"/>
                <w:color w:val="20262E"/>
                <w:sz w:val="18"/>
              </w:rPr>
              <w:t>正式公开数据实验</w:t>
            </w:r>
          </w:p>
        </w:tc>
        <w:tc>
          <w:tcPr>
            <w:tcW w:w="1500" w:type="dxa"/>
            <w:tcMar>
              <w:top w:w="100" w:type="dxa"/>
              <w:left w:w="120" w:type="dxa"/>
              <w:bottom w:w="100" w:type="dxa"/>
              <w:right w:w="120" w:type="dxa"/>
            </w:tcMar>
            <w:vAlign w:val="center"/>
          </w:tcPr>
          <w:p w14:paraId="24399898">
            <w:pPr>
              <w:spacing w:before="0" w:after="0" w:line="259" w:lineRule="auto"/>
              <w:jc w:val="left"/>
            </w:pPr>
            <w:r>
              <w:rPr>
                <w:rFonts w:ascii="微软雅黑" w:hAnsi="微软雅黑" w:eastAsia="微软雅黑"/>
                <w:color w:val="20262E"/>
                <w:sz w:val="18"/>
              </w:rPr>
              <w:t>已完成代表性运行</w:t>
            </w:r>
          </w:p>
        </w:tc>
        <w:tc>
          <w:tcPr>
            <w:tcW w:w="5060" w:type="dxa"/>
            <w:tcMar>
              <w:top w:w="100" w:type="dxa"/>
              <w:left w:w="120" w:type="dxa"/>
              <w:bottom w:w="100" w:type="dxa"/>
              <w:right w:w="120" w:type="dxa"/>
            </w:tcMar>
            <w:vAlign w:val="center"/>
          </w:tcPr>
          <w:p w14:paraId="1114553A">
            <w:pPr>
              <w:spacing w:before="0" w:after="0" w:line="259" w:lineRule="auto"/>
              <w:jc w:val="left"/>
            </w:pPr>
            <w:r>
              <w:rPr>
                <w:rFonts w:ascii="微软雅黑" w:hAnsi="微软雅黑" w:eastAsia="微软雅黑"/>
                <w:color w:val="20262E"/>
                <w:sz w:val="18"/>
              </w:rPr>
              <w:t>10类5任务，三层方法优于ER；仍需多随机种子与更充分实验</w:t>
            </w:r>
          </w:p>
        </w:tc>
      </w:tr>
      <w:tr w14:paraId="43CD3DB9">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302ACC57">
            <w:pPr>
              <w:spacing w:before="0" w:after="0" w:line="259" w:lineRule="auto"/>
              <w:jc w:val="left"/>
            </w:pPr>
            <w:r>
              <w:rPr>
                <w:rFonts w:ascii="微软雅黑" w:hAnsi="微软雅黑" w:eastAsia="微软雅黑"/>
                <w:color w:val="20262E"/>
                <w:sz w:val="18"/>
              </w:rPr>
              <w:t>区域风险预算建议</w:t>
            </w:r>
          </w:p>
        </w:tc>
        <w:tc>
          <w:tcPr>
            <w:tcW w:w="1500" w:type="dxa"/>
            <w:tcMar>
              <w:top w:w="100" w:type="dxa"/>
              <w:left w:w="120" w:type="dxa"/>
              <w:bottom w:w="100" w:type="dxa"/>
              <w:right w:w="120" w:type="dxa"/>
            </w:tcMar>
            <w:vAlign w:val="center"/>
          </w:tcPr>
          <w:p w14:paraId="772B8DA0">
            <w:pPr>
              <w:spacing w:before="0" w:after="0" w:line="259" w:lineRule="auto"/>
              <w:jc w:val="left"/>
            </w:pPr>
            <w:r>
              <w:rPr>
                <w:rFonts w:ascii="微软雅黑" w:hAnsi="微软雅黑" w:eastAsia="微软雅黑"/>
                <w:color w:val="20262E"/>
                <w:sz w:val="18"/>
              </w:rPr>
              <w:t>已完成计算</w:t>
            </w:r>
          </w:p>
        </w:tc>
        <w:tc>
          <w:tcPr>
            <w:tcW w:w="5060" w:type="dxa"/>
            <w:tcMar>
              <w:top w:w="100" w:type="dxa"/>
              <w:left w:w="120" w:type="dxa"/>
              <w:bottom w:w="100" w:type="dxa"/>
              <w:right w:w="120" w:type="dxa"/>
            </w:tcMar>
            <w:vAlign w:val="center"/>
          </w:tcPr>
          <w:p w14:paraId="02C70C33">
            <w:pPr>
              <w:spacing w:before="0" w:after="0" w:line="259" w:lineRule="auto"/>
              <w:jc w:val="left"/>
            </w:pPr>
            <w:r>
              <w:rPr>
                <w:rFonts w:ascii="微软雅黑" w:hAnsi="微软雅黑" w:eastAsia="微软雅黑"/>
                <w:color w:val="20262E"/>
                <w:sz w:val="18"/>
              </w:rPr>
              <w:t>固定600总量守恒，当前不等于已控制私有训练缓存</w:t>
            </w:r>
          </w:p>
        </w:tc>
      </w:tr>
      <w:tr w14:paraId="3BDF0228">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673D3C18">
            <w:pPr>
              <w:spacing w:before="0" w:after="0" w:line="259" w:lineRule="auto"/>
              <w:jc w:val="left"/>
            </w:pPr>
            <w:r>
              <w:rPr>
                <w:rFonts w:ascii="微软雅黑" w:hAnsi="微软雅黑" w:eastAsia="微软雅黑"/>
                <w:color w:val="20262E"/>
                <w:sz w:val="18"/>
              </w:rPr>
              <w:t>真实任务上传与后台队列</w:t>
            </w:r>
          </w:p>
        </w:tc>
        <w:tc>
          <w:tcPr>
            <w:tcW w:w="1500" w:type="dxa"/>
            <w:tcMar>
              <w:top w:w="100" w:type="dxa"/>
              <w:left w:w="120" w:type="dxa"/>
              <w:bottom w:w="100" w:type="dxa"/>
              <w:right w:w="120" w:type="dxa"/>
            </w:tcMar>
            <w:vAlign w:val="center"/>
          </w:tcPr>
          <w:p w14:paraId="39E874B6">
            <w:pPr>
              <w:spacing w:before="0" w:after="0" w:line="259" w:lineRule="auto"/>
              <w:jc w:val="left"/>
            </w:pPr>
            <w:r>
              <w:rPr>
                <w:rFonts w:ascii="微软雅黑" w:hAnsi="微软雅黑" w:eastAsia="微软雅黑"/>
                <w:color w:val="20262E"/>
                <w:sz w:val="18"/>
              </w:rPr>
              <w:t>未完成</w:t>
            </w:r>
          </w:p>
        </w:tc>
        <w:tc>
          <w:tcPr>
            <w:tcW w:w="5060" w:type="dxa"/>
            <w:tcMar>
              <w:top w:w="100" w:type="dxa"/>
              <w:left w:w="120" w:type="dxa"/>
              <w:bottom w:w="100" w:type="dxa"/>
              <w:right w:w="120" w:type="dxa"/>
            </w:tcMar>
            <w:vAlign w:val="center"/>
          </w:tcPr>
          <w:p w14:paraId="0BF375F2">
            <w:pPr>
              <w:spacing w:before="0" w:after="0" w:line="259" w:lineRule="auto"/>
              <w:jc w:val="left"/>
            </w:pPr>
            <w:r>
              <w:rPr>
                <w:rFonts w:ascii="微软雅黑" w:hAnsi="微软雅黑" w:eastAsia="微软雅黑"/>
                <w:color w:val="20262E"/>
                <w:sz w:val="18"/>
              </w:rPr>
              <w:t>当前静态前端尚不能创建真实任务或启动服务器作业</w:t>
            </w:r>
          </w:p>
        </w:tc>
      </w:tr>
      <w:tr w14:paraId="72CE5644">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7490D3E9">
            <w:pPr>
              <w:spacing w:before="0" w:after="0" w:line="259" w:lineRule="auto"/>
              <w:jc w:val="left"/>
            </w:pPr>
            <w:r>
              <w:rPr>
                <w:rFonts w:ascii="微软雅黑" w:hAnsi="微软雅黑" w:eastAsia="微软雅黑"/>
                <w:color w:val="20262E"/>
                <w:sz w:val="18"/>
              </w:rPr>
              <w:t>真实北斗终端和外业航迹</w:t>
            </w:r>
          </w:p>
        </w:tc>
        <w:tc>
          <w:tcPr>
            <w:tcW w:w="1500" w:type="dxa"/>
            <w:tcMar>
              <w:top w:w="100" w:type="dxa"/>
              <w:left w:w="120" w:type="dxa"/>
              <w:bottom w:w="100" w:type="dxa"/>
              <w:right w:w="120" w:type="dxa"/>
            </w:tcMar>
            <w:vAlign w:val="center"/>
          </w:tcPr>
          <w:p w14:paraId="2114B909">
            <w:pPr>
              <w:spacing w:before="0" w:after="0" w:line="259" w:lineRule="auto"/>
              <w:jc w:val="left"/>
            </w:pPr>
            <w:r>
              <w:rPr>
                <w:rFonts w:ascii="微软雅黑" w:hAnsi="微软雅黑" w:eastAsia="微软雅黑"/>
                <w:color w:val="20262E"/>
                <w:sz w:val="18"/>
              </w:rPr>
              <w:t>未完成</w:t>
            </w:r>
          </w:p>
        </w:tc>
        <w:tc>
          <w:tcPr>
            <w:tcW w:w="5060" w:type="dxa"/>
            <w:tcMar>
              <w:top w:w="100" w:type="dxa"/>
              <w:left w:w="120" w:type="dxa"/>
              <w:bottom w:w="100" w:type="dxa"/>
              <w:right w:w="120" w:type="dxa"/>
            </w:tcMar>
            <w:vAlign w:val="center"/>
          </w:tcPr>
          <w:p w14:paraId="3CD2C233">
            <w:pPr>
              <w:spacing w:before="0" w:after="0" w:line="259" w:lineRule="auto"/>
              <w:jc w:val="left"/>
            </w:pPr>
            <w:r>
              <w:rPr>
                <w:rFonts w:ascii="微软雅黑" w:hAnsi="微软雅黑" w:eastAsia="微软雅黑"/>
                <w:color w:val="20262E"/>
                <w:sz w:val="18"/>
              </w:rPr>
              <w:t>当前坐标与定位噪声为仿真</w:t>
            </w:r>
          </w:p>
        </w:tc>
      </w:tr>
      <w:tr w14:paraId="438A85FF">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7D9BCBB5">
            <w:pPr>
              <w:spacing w:before="0" w:after="0" w:line="259" w:lineRule="auto"/>
              <w:jc w:val="left"/>
            </w:pPr>
            <w:r>
              <w:rPr>
                <w:rFonts w:ascii="微软雅黑" w:hAnsi="微软雅黑" w:eastAsia="微软雅黑"/>
                <w:color w:val="20262E"/>
                <w:sz w:val="18"/>
              </w:rPr>
              <w:t>机载部署与性能测试</w:t>
            </w:r>
          </w:p>
        </w:tc>
        <w:tc>
          <w:tcPr>
            <w:tcW w:w="1500" w:type="dxa"/>
            <w:tcMar>
              <w:top w:w="100" w:type="dxa"/>
              <w:left w:w="120" w:type="dxa"/>
              <w:bottom w:w="100" w:type="dxa"/>
              <w:right w:w="120" w:type="dxa"/>
            </w:tcMar>
            <w:vAlign w:val="center"/>
          </w:tcPr>
          <w:p w14:paraId="0D1EAA0D">
            <w:pPr>
              <w:spacing w:before="0" w:after="0" w:line="259" w:lineRule="auto"/>
              <w:jc w:val="left"/>
            </w:pPr>
            <w:r>
              <w:rPr>
                <w:rFonts w:ascii="微软雅黑" w:hAnsi="微软雅黑" w:eastAsia="微软雅黑"/>
                <w:color w:val="20262E"/>
                <w:sz w:val="18"/>
              </w:rPr>
              <w:t>未完成</w:t>
            </w:r>
          </w:p>
        </w:tc>
        <w:tc>
          <w:tcPr>
            <w:tcW w:w="5060" w:type="dxa"/>
            <w:tcMar>
              <w:top w:w="100" w:type="dxa"/>
              <w:left w:w="120" w:type="dxa"/>
              <w:bottom w:w="100" w:type="dxa"/>
              <w:right w:w="120" w:type="dxa"/>
            </w:tcMar>
            <w:vAlign w:val="center"/>
          </w:tcPr>
          <w:p w14:paraId="1A6D199E">
            <w:pPr>
              <w:spacing w:before="0" w:after="0" w:line="259" w:lineRule="auto"/>
              <w:jc w:val="left"/>
            </w:pPr>
            <w:r>
              <w:rPr>
                <w:rFonts w:ascii="微软雅黑" w:hAnsi="微软雅黑" w:eastAsia="微软雅黑"/>
                <w:color w:val="20262E"/>
                <w:sz w:val="18"/>
              </w:rPr>
              <w:t>没有功耗、延迟、显存、端侧存储和环境适应性指标</w:t>
            </w:r>
          </w:p>
        </w:tc>
      </w:tr>
      <w:tr w14:paraId="580F89D7">
        <w:tblPrEx>
          <w:tblCellMar>
            <w:top w:w="0" w:type="dxa"/>
            <w:left w:w="108" w:type="dxa"/>
            <w:bottom w:w="0" w:type="dxa"/>
            <w:right w:w="108" w:type="dxa"/>
          </w:tblCellMar>
        </w:tblPrEx>
        <w:trPr>
          <w:cantSplit/>
        </w:trPr>
        <w:tc>
          <w:tcPr>
            <w:tcW w:w="2800" w:type="dxa"/>
            <w:tcMar>
              <w:top w:w="100" w:type="dxa"/>
              <w:left w:w="120" w:type="dxa"/>
              <w:bottom w:w="100" w:type="dxa"/>
              <w:right w:w="120" w:type="dxa"/>
            </w:tcMar>
            <w:vAlign w:val="center"/>
          </w:tcPr>
          <w:p w14:paraId="1FF34041">
            <w:pPr>
              <w:spacing w:before="0" w:after="0" w:line="259" w:lineRule="auto"/>
              <w:jc w:val="left"/>
            </w:pPr>
            <w:r>
              <w:rPr>
                <w:rFonts w:ascii="微软雅黑" w:hAnsi="微软雅黑" w:eastAsia="微软雅黑"/>
                <w:color w:val="20262E"/>
                <w:sz w:val="18"/>
              </w:rPr>
              <w:t>客户试点与商业验收</w:t>
            </w:r>
          </w:p>
        </w:tc>
        <w:tc>
          <w:tcPr>
            <w:tcW w:w="1500" w:type="dxa"/>
            <w:tcMar>
              <w:top w:w="100" w:type="dxa"/>
              <w:left w:w="120" w:type="dxa"/>
              <w:bottom w:w="100" w:type="dxa"/>
              <w:right w:w="120" w:type="dxa"/>
            </w:tcMar>
            <w:vAlign w:val="center"/>
          </w:tcPr>
          <w:p w14:paraId="4E509C44">
            <w:pPr>
              <w:spacing w:before="0" w:after="0" w:line="259" w:lineRule="auto"/>
              <w:jc w:val="left"/>
            </w:pPr>
            <w:r>
              <w:rPr>
                <w:rFonts w:ascii="微软雅黑" w:hAnsi="微软雅黑" w:eastAsia="微软雅黑"/>
                <w:color w:val="20262E"/>
                <w:sz w:val="18"/>
              </w:rPr>
              <w:t>未完成</w:t>
            </w:r>
          </w:p>
        </w:tc>
        <w:tc>
          <w:tcPr>
            <w:tcW w:w="5060" w:type="dxa"/>
            <w:tcMar>
              <w:top w:w="100" w:type="dxa"/>
              <w:left w:w="120" w:type="dxa"/>
              <w:bottom w:w="100" w:type="dxa"/>
              <w:right w:w="120" w:type="dxa"/>
            </w:tcMar>
            <w:vAlign w:val="center"/>
          </w:tcPr>
          <w:p w14:paraId="7A920913">
            <w:pPr>
              <w:spacing w:before="0" w:after="0" w:line="259" w:lineRule="auto"/>
              <w:jc w:val="left"/>
            </w:pPr>
            <w:r>
              <w:rPr>
                <w:rFonts w:ascii="微软雅黑" w:hAnsi="微软雅黑" w:eastAsia="微软雅黑"/>
                <w:color w:val="20262E"/>
                <w:sz w:val="18"/>
              </w:rPr>
              <w:t>不能写成已有客户收入或生产效果</w:t>
            </w:r>
          </w:p>
        </w:tc>
      </w:tr>
    </w:tbl>
    <w:p w14:paraId="799B0807">
      <w:pPr>
        <w:spacing w:after="40"/>
      </w:pPr>
    </w:p>
    <w:p w14:paraId="71D8D6C1">
      <w:pPr>
        <w:pStyle w:val="3"/>
        <w:keepNext/>
        <w:keepLines/>
      </w:pPr>
      <w:r>
        <w:rPr>
          <w:rFonts w:hint="eastAsia" w:ascii="微软雅黑" w:hAnsi="微软雅黑" w:eastAsia="微软雅黑"/>
          <w:color w:val="20262E"/>
          <w:lang w:val="en-US" w:eastAsia="zh-CN"/>
        </w:rPr>
        <w:t>19</w:t>
      </w:r>
      <w:bookmarkStart w:id="0" w:name="_GoBack"/>
      <w:bookmarkEnd w:id="0"/>
      <w:r>
        <w:rPr>
          <w:rFonts w:ascii="微软雅黑" w:hAnsi="微软雅黑" w:eastAsia="微软雅黑"/>
          <w:color w:val="20262E"/>
        </w:rPr>
        <w:t>. 分阶段路线图</w:t>
      </w:r>
    </w:p>
    <w:tbl>
      <w:tblPr>
        <w:tblStyle w:val="32"/>
        <w:tblW w:w="9360" w:type="dxa"/>
        <w:tblInd w:w="120" w:type="dxa"/>
        <w:tblLayout w:type="fixed"/>
        <w:tblCellMar>
          <w:top w:w="0" w:type="dxa"/>
          <w:left w:w="108" w:type="dxa"/>
          <w:bottom w:w="0" w:type="dxa"/>
          <w:right w:w="108" w:type="dxa"/>
        </w:tblCellMar>
      </w:tblPr>
      <w:tblGrid>
        <w:gridCol w:w="1700"/>
        <w:gridCol w:w="2100"/>
        <w:gridCol w:w="3560"/>
        <w:gridCol w:w="2000"/>
      </w:tblGrid>
      <w:tr w14:paraId="5C71EB36">
        <w:tblPrEx>
          <w:tblCellMar>
            <w:top w:w="0" w:type="dxa"/>
            <w:left w:w="108" w:type="dxa"/>
            <w:bottom w:w="0" w:type="dxa"/>
            <w:right w:w="108" w:type="dxa"/>
          </w:tblCellMar>
        </w:tblPrEx>
        <w:trPr>
          <w:cantSplit/>
          <w:tblHeader/>
        </w:trPr>
        <w:tc>
          <w:tcPr>
            <w:tcW w:w="1700" w:type="dxa"/>
            <w:shd w:val="clear" w:color="auto" w:fill="F2F4F7"/>
            <w:tcMar>
              <w:top w:w="100" w:type="dxa"/>
              <w:left w:w="120" w:type="dxa"/>
              <w:bottom w:w="100" w:type="dxa"/>
              <w:right w:w="120" w:type="dxa"/>
            </w:tcMar>
            <w:vAlign w:val="center"/>
          </w:tcPr>
          <w:p w14:paraId="38B9B316">
            <w:pPr>
              <w:spacing w:after="0"/>
              <w:jc w:val="center"/>
            </w:pPr>
            <w:r>
              <w:rPr>
                <w:rFonts w:ascii="微软雅黑" w:hAnsi="微软雅黑" w:eastAsia="微软雅黑"/>
                <w:b/>
                <w:color w:val="17365D"/>
                <w:sz w:val="18"/>
              </w:rPr>
              <w:t>阶段</w:t>
            </w:r>
          </w:p>
        </w:tc>
        <w:tc>
          <w:tcPr>
            <w:tcW w:w="2100" w:type="dxa"/>
            <w:shd w:val="clear" w:color="auto" w:fill="F2F4F7"/>
            <w:tcMar>
              <w:top w:w="100" w:type="dxa"/>
              <w:left w:w="120" w:type="dxa"/>
              <w:bottom w:w="100" w:type="dxa"/>
              <w:right w:w="120" w:type="dxa"/>
            </w:tcMar>
            <w:vAlign w:val="center"/>
          </w:tcPr>
          <w:p w14:paraId="04ED31EA">
            <w:pPr>
              <w:spacing w:after="0"/>
              <w:jc w:val="center"/>
            </w:pPr>
            <w:r>
              <w:rPr>
                <w:rFonts w:ascii="微软雅黑" w:hAnsi="微软雅黑" w:eastAsia="微软雅黑"/>
                <w:b/>
                <w:color w:val="17365D"/>
                <w:sz w:val="18"/>
              </w:rPr>
              <w:t>目标</w:t>
            </w:r>
          </w:p>
        </w:tc>
        <w:tc>
          <w:tcPr>
            <w:tcW w:w="3560" w:type="dxa"/>
            <w:shd w:val="clear" w:color="auto" w:fill="F2F4F7"/>
            <w:tcMar>
              <w:top w:w="100" w:type="dxa"/>
              <w:left w:w="120" w:type="dxa"/>
              <w:bottom w:w="100" w:type="dxa"/>
              <w:right w:w="120" w:type="dxa"/>
            </w:tcMar>
            <w:vAlign w:val="center"/>
          </w:tcPr>
          <w:p w14:paraId="2FD390DD">
            <w:pPr>
              <w:spacing w:after="0"/>
              <w:jc w:val="center"/>
            </w:pPr>
            <w:r>
              <w:rPr>
                <w:rFonts w:ascii="微软雅黑" w:hAnsi="微软雅黑" w:eastAsia="微软雅黑"/>
                <w:b/>
                <w:color w:val="17365D"/>
                <w:sz w:val="18"/>
              </w:rPr>
              <w:t>主要工作</w:t>
            </w:r>
          </w:p>
        </w:tc>
        <w:tc>
          <w:tcPr>
            <w:tcW w:w="2000" w:type="dxa"/>
            <w:shd w:val="clear" w:color="auto" w:fill="F2F4F7"/>
            <w:tcMar>
              <w:top w:w="100" w:type="dxa"/>
              <w:left w:w="120" w:type="dxa"/>
              <w:bottom w:w="100" w:type="dxa"/>
              <w:right w:w="120" w:type="dxa"/>
            </w:tcMar>
            <w:vAlign w:val="center"/>
          </w:tcPr>
          <w:p w14:paraId="4947D7C7">
            <w:pPr>
              <w:spacing w:after="0"/>
              <w:jc w:val="center"/>
            </w:pPr>
            <w:r>
              <w:rPr>
                <w:rFonts w:ascii="微软雅黑" w:hAnsi="微软雅黑" w:eastAsia="微软雅黑"/>
                <w:b/>
                <w:color w:val="17365D"/>
                <w:sz w:val="18"/>
              </w:rPr>
              <w:t>验收证据</w:t>
            </w:r>
          </w:p>
        </w:tc>
      </w:tr>
      <w:tr w14:paraId="793D5865">
        <w:tblPrEx>
          <w:tblCellMar>
            <w:top w:w="0" w:type="dxa"/>
            <w:left w:w="108" w:type="dxa"/>
            <w:bottom w:w="0" w:type="dxa"/>
            <w:right w:w="108" w:type="dxa"/>
          </w:tblCellMar>
        </w:tblPrEx>
        <w:trPr>
          <w:cantSplit/>
        </w:trPr>
        <w:tc>
          <w:tcPr>
            <w:tcW w:w="1700" w:type="dxa"/>
            <w:tcMar>
              <w:top w:w="100" w:type="dxa"/>
              <w:left w:w="120" w:type="dxa"/>
              <w:bottom w:w="100" w:type="dxa"/>
              <w:right w:w="120" w:type="dxa"/>
            </w:tcMar>
            <w:vAlign w:val="center"/>
          </w:tcPr>
          <w:p w14:paraId="17462C98">
            <w:pPr>
              <w:spacing w:before="0" w:after="0" w:line="259" w:lineRule="auto"/>
              <w:jc w:val="left"/>
            </w:pPr>
            <w:r>
              <w:rPr>
                <w:rFonts w:ascii="微软雅黑" w:hAnsi="微软雅黑" w:eastAsia="微软雅黑"/>
                <w:color w:val="20262E"/>
                <w:sz w:val="18"/>
              </w:rPr>
              <w:t>阶段A：初赛材料</w:t>
            </w:r>
          </w:p>
        </w:tc>
        <w:tc>
          <w:tcPr>
            <w:tcW w:w="2100" w:type="dxa"/>
            <w:tcMar>
              <w:top w:w="100" w:type="dxa"/>
              <w:left w:w="120" w:type="dxa"/>
              <w:bottom w:w="100" w:type="dxa"/>
              <w:right w:w="120" w:type="dxa"/>
            </w:tcMar>
            <w:vAlign w:val="center"/>
          </w:tcPr>
          <w:p w14:paraId="158F6818">
            <w:pPr>
              <w:spacing w:before="0" w:after="0" w:line="259" w:lineRule="auto"/>
              <w:jc w:val="left"/>
            </w:pPr>
            <w:r>
              <w:rPr>
                <w:rFonts w:ascii="微软雅黑" w:hAnsi="微软雅黑" w:eastAsia="微软雅黑"/>
                <w:color w:val="20262E"/>
                <w:sz w:val="18"/>
              </w:rPr>
              <w:t>把方向和证据讲清楚</w:t>
            </w:r>
          </w:p>
        </w:tc>
        <w:tc>
          <w:tcPr>
            <w:tcW w:w="3560" w:type="dxa"/>
            <w:tcMar>
              <w:top w:w="100" w:type="dxa"/>
              <w:left w:w="120" w:type="dxa"/>
              <w:bottom w:w="100" w:type="dxa"/>
              <w:right w:w="120" w:type="dxa"/>
            </w:tcMar>
            <w:vAlign w:val="center"/>
          </w:tcPr>
          <w:p w14:paraId="0B2101AF">
            <w:pPr>
              <w:spacing w:before="0" w:after="0" w:line="259" w:lineRule="auto"/>
              <w:jc w:val="left"/>
            </w:pPr>
            <w:r>
              <w:rPr>
                <w:rFonts w:ascii="微软雅黑" w:hAnsi="微软雅黑" w:eastAsia="微软雅黑"/>
                <w:color w:val="20262E"/>
                <w:sz w:val="18"/>
              </w:rPr>
              <w:t>完善说明书、BP、产品图、实验表格；保持证据边界</w:t>
            </w:r>
          </w:p>
        </w:tc>
        <w:tc>
          <w:tcPr>
            <w:tcW w:w="2000" w:type="dxa"/>
            <w:tcMar>
              <w:top w:w="100" w:type="dxa"/>
              <w:left w:w="120" w:type="dxa"/>
              <w:bottom w:w="100" w:type="dxa"/>
              <w:right w:w="120" w:type="dxa"/>
            </w:tcMar>
            <w:vAlign w:val="center"/>
          </w:tcPr>
          <w:p w14:paraId="183A938B">
            <w:pPr>
              <w:spacing w:before="0" w:after="0" w:line="259" w:lineRule="auto"/>
              <w:jc w:val="left"/>
            </w:pPr>
            <w:r>
              <w:rPr>
                <w:rFonts w:ascii="微软雅黑" w:hAnsi="微软雅黑" w:eastAsia="微软雅黑"/>
                <w:color w:val="20262E"/>
                <w:sz w:val="18"/>
              </w:rPr>
              <w:t>材料口径一致，正式JSON可追溯</w:t>
            </w:r>
          </w:p>
        </w:tc>
      </w:tr>
      <w:tr w14:paraId="3A7313E9">
        <w:tblPrEx>
          <w:tblCellMar>
            <w:top w:w="0" w:type="dxa"/>
            <w:left w:w="108" w:type="dxa"/>
            <w:bottom w:w="0" w:type="dxa"/>
            <w:right w:w="108" w:type="dxa"/>
          </w:tblCellMar>
        </w:tblPrEx>
        <w:trPr>
          <w:cantSplit/>
        </w:trPr>
        <w:tc>
          <w:tcPr>
            <w:tcW w:w="1700" w:type="dxa"/>
            <w:tcMar>
              <w:top w:w="100" w:type="dxa"/>
              <w:left w:w="120" w:type="dxa"/>
              <w:bottom w:w="100" w:type="dxa"/>
              <w:right w:w="120" w:type="dxa"/>
            </w:tcMar>
            <w:vAlign w:val="center"/>
          </w:tcPr>
          <w:p w14:paraId="019E10A5">
            <w:pPr>
              <w:spacing w:before="0" w:after="0" w:line="259" w:lineRule="auto"/>
              <w:jc w:val="left"/>
            </w:pPr>
            <w:r>
              <w:rPr>
                <w:rFonts w:ascii="微软雅黑" w:hAnsi="微软雅黑" w:eastAsia="微软雅黑"/>
                <w:color w:val="20262E"/>
                <w:sz w:val="18"/>
              </w:rPr>
              <w:t>阶段B：半决赛原型</w:t>
            </w:r>
          </w:p>
        </w:tc>
        <w:tc>
          <w:tcPr>
            <w:tcW w:w="2100" w:type="dxa"/>
            <w:tcMar>
              <w:top w:w="100" w:type="dxa"/>
              <w:left w:w="120" w:type="dxa"/>
              <w:bottom w:w="100" w:type="dxa"/>
              <w:right w:w="120" w:type="dxa"/>
            </w:tcMar>
            <w:vAlign w:val="center"/>
          </w:tcPr>
          <w:p w14:paraId="7C565BEA">
            <w:pPr>
              <w:spacing w:before="0" w:after="0" w:line="259" w:lineRule="auto"/>
              <w:jc w:val="left"/>
            </w:pPr>
            <w:r>
              <w:rPr>
                <w:rFonts w:ascii="微软雅黑" w:hAnsi="微软雅黑" w:eastAsia="微软雅黑"/>
                <w:color w:val="20262E"/>
                <w:sz w:val="18"/>
              </w:rPr>
              <w:t>形成可操作演示</w:t>
            </w:r>
          </w:p>
        </w:tc>
        <w:tc>
          <w:tcPr>
            <w:tcW w:w="3560" w:type="dxa"/>
            <w:tcMar>
              <w:top w:w="100" w:type="dxa"/>
              <w:left w:w="120" w:type="dxa"/>
              <w:bottom w:w="100" w:type="dxa"/>
              <w:right w:w="120" w:type="dxa"/>
            </w:tcMar>
            <w:vAlign w:val="center"/>
          </w:tcPr>
          <w:p w14:paraId="3C2A3E08">
            <w:pPr>
              <w:spacing w:before="0" w:after="0" w:line="259" w:lineRule="auto"/>
              <w:jc w:val="left"/>
            </w:pPr>
            <w:r>
              <w:rPr>
                <w:rFonts w:ascii="微软雅黑" w:hAnsi="微软雅黑" w:eastAsia="微软雅黑"/>
                <w:color w:val="20262E"/>
                <w:sz w:val="18"/>
              </w:rPr>
              <w:t>任务上传、字段校验、真实地图、异步作业状态、报告导出</w:t>
            </w:r>
          </w:p>
        </w:tc>
        <w:tc>
          <w:tcPr>
            <w:tcW w:w="2000" w:type="dxa"/>
            <w:tcMar>
              <w:top w:w="100" w:type="dxa"/>
              <w:left w:w="120" w:type="dxa"/>
              <w:bottom w:w="100" w:type="dxa"/>
              <w:right w:w="120" w:type="dxa"/>
            </w:tcMar>
            <w:vAlign w:val="center"/>
          </w:tcPr>
          <w:p w14:paraId="522C28F0">
            <w:pPr>
              <w:spacing w:before="0" w:after="0" w:line="259" w:lineRule="auto"/>
              <w:jc w:val="left"/>
            </w:pPr>
            <w:r>
              <w:rPr>
                <w:rFonts w:ascii="微软雅黑" w:hAnsi="微软雅黑" w:eastAsia="微软雅黑"/>
                <w:color w:val="20262E"/>
                <w:sz w:val="18"/>
              </w:rPr>
              <w:t>完整演示流程和录屏</w:t>
            </w:r>
          </w:p>
        </w:tc>
      </w:tr>
      <w:tr w14:paraId="5C686654">
        <w:tblPrEx>
          <w:tblCellMar>
            <w:top w:w="0" w:type="dxa"/>
            <w:left w:w="108" w:type="dxa"/>
            <w:bottom w:w="0" w:type="dxa"/>
            <w:right w:w="108" w:type="dxa"/>
          </w:tblCellMar>
        </w:tblPrEx>
        <w:trPr>
          <w:cantSplit/>
        </w:trPr>
        <w:tc>
          <w:tcPr>
            <w:tcW w:w="1700" w:type="dxa"/>
            <w:tcMar>
              <w:top w:w="100" w:type="dxa"/>
              <w:left w:w="120" w:type="dxa"/>
              <w:bottom w:w="100" w:type="dxa"/>
              <w:right w:w="120" w:type="dxa"/>
            </w:tcMar>
            <w:vAlign w:val="center"/>
          </w:tcPr>
          <w:p w14:paraId="6F804C61">
            <w:pPr>
              <w:spacing w:before="0" w:after="0" w:line="259" w:lineRule="auto"/>
              <w:jc w:val="left"/>
            </w:pPr>
            <w:r>
              <w:rPr>
                <w:rFonts w:ascii="微软雅黑" w:hAnsi="微软雅黑" w:eastAsia="微软雅黑"/>
                <w:color w:val="20262E"/>
                <w:sz w:val="18"/>
              </w:rPr>
              <w:t>阶段C：算法增强</w:t>
            </w:r>
          </w:p>
        </w:tc>
        <w:tc>
          <w:tcPr>
            <w:tcW w:w="2100" w:type="dxa"/>
            <w:tcMar>
              <w:top w:w="100" w:type="dxa"/>
              <w:left w:w="120" w:type="dxa"/>
              <w:bottom w:w="100" w:type="dxa"/>
              <w:right w:w="120" w:type="dxa"/>
            </w:tcMar>
            <w:vAlign w:val="center"/>
          </w:tcPr>
          <w:p w14:paraId="0809416C">
            <w:pPr>
              <w:spacing w:before="0" w:after="0" w:line="259" w:lineRule="auto"/>
              <w:jc w:val="left"/>
            </w:pPr>
            <w:r>
              <w:rPr>
                <w:rFonts w:ascii="微软雅黑" w:hAnsi="微软雅黑" w:eastAsia="微软雅黑"/>
                <w:color w:val="20262E"/>
                <w:sz w:val="18"/>
              </w:rPr>
              <w:t>验证时空风险真正影响训练</w:t>
            </w:r>
          </w:p>
        </w:tc>
        <w:tc>
          <w:tcPr>
            <w:tcW w:w="3560" w:type="dxa"/>
            <w:tcMar>
              <w:top w:w="100" w:type="dxa"/>
              <w:left w:w="120" w:type="dxa"/>
              <w:bottom w:w="100" w:type="dxa"/>
              <w:right w:w="120" w:type="dxa"/>
            </w:tcMar>
            <w:vAlign w:val="center"/>
          </w:tcPr>
          <w:p w14:paraId="41519B03">
            <w:pPr>
              <w:spacing w:before="0" w:after="0" w:line="259" w:lineRule="auto"/>
              <w:jc w:val="left"/>
            </w:pPr>
            <w:r>
              <w:rPr>
                <w:rFonts w:ascii="微软雅黑" w:hAnsi="微软雅黑" w:eastAsia="微软雅黑"/>
                <w:color w:val="20262E"/>
                <w:sz w:val="18"/>
              </w:rPr>
              <w:t>多随机种子、消融、类别平衡、位置风险预算接入私有训练</w:t>
            </w:r>
          </w:p>
        </w:tc>
        <w:tc>
          <w:tcPr>
            <w:tcW w:w="2000" w:type="dxa"/>
            <w:tcMar>
              <w:top w:w="100" w:type="dxa"/>
              <w:left w:w="120" w:type="dxa"/>
              <w:bottom w:w="100" w:type="dxa"/>
              <w:right w:w="120" w:type="dxa"/>
            </w:tcMar>
            <w:vAlign w:val="center"/>
          </w:tcPr>
          <w:p w14:paraId="1927280C">
            <w:pPr>
              <w:spacing w:before="0" w:after="0" w:line="259" w:lineRule="auto"/>
              <w:jc w:val="left"/>
            </w:pPr>
            <w:r>
              <w:rPr>
                <w:rFonts w:ascii="微软雅黑" w:hAnsi="微软雅黑" w:eastAsia="微软雅黑"/>
                <w:color w:val="20262E"/>
                <w:sz w:val="18"/>
              </w:rPr>
              <w:t>均值方差、显著性、区域改善证据</w:t>
            </w:r>
          </w:p>
        </w:tc>
      </w:tr>
      <w:tr w14:paraId="40C12F88">
        <w:tblPrEx>
          <w:tblCellMar>
            <w:top w:w="0" w:type="dxa"/>
            <w:left w:w="108" w:type="dxa"/>
            <w:bottom w:w="0" w:type="dxa"/>
            <w:right w:w="108" w:type="dxa"/>
          </w:tblCellMar>
        </w:tblPrEx>
        <w:trPr>
          <w:cantSplit/>
        </w:trPr>
        <w:tc>
          <w:tcPr>
            <w:tcW w:w="1700" w:type="dxa"/>
            <w:tcMar>
              <w:top w:w="100" w:type="dxa"/>
              <w:left w:w="120" w:type="dxa"/>
              <w:bottom w:w="100" w:type="dxa"/>
              <w:right w:w="120" w:type="dxa"/>
            </w:tcMar>
            <w:vAlign w:val="center"/>
          </w:tcPr>
          <w:p w14:paraId="489CCD15">
            <w:pPr>
              <w:spacing w:before="0" w:after="0" w:line="259" w:lineRule="auto"/>
              <w:jc w:val="left"/>
            </w:pPr>
            <w:r>
              <w:rPr>
                <w:rFonts w:ascii="微软雅黑" w:hAnsi="微软雅黑" w:eastAsia="微软雅黑"/>
                <w:color w:val="20262E"/>
                <w:sz w:val="18"/>
              </w:rPr>
              <w:t>阶段D：真实联调</w:t>
            </w:r>
          </w:p>
        </w:tc>
        <w:tc>
          <w:tcPr>
            <w:tcW w:w="2100" w:type="dxa"/>
            <w:tcMar>
              <w:top w:w="100" w:type="dxa"/>
              <w:left w:w="120" w:type="dxa"/>
              <w:bottom w:w="100" w:type="dxa"/>
              <w:right w:w="120" w:type="dxa"/>
            </w:tcMar>
            <w:vAlign w:val="center"/>
          </w:tcPr>
          <w:p w14:paraId="2CF983D0">
            <w:pPr>
              <w:spacing w:before="0" w:after="0" w:line="259" w:lineRule="auto"/>
              <w:jc w:val="left"/>
            </w:pPr>
            <w:r>
              <w:rPr>
                <w:rFonts w:ascii="微软雅黑" w:hAnsi="微软雅黑" w:eastAsia="微软雅黑"/>
                <w:color w:val="20262E"/>
                <w:sz w:val="18"/>
              </w:rPr>
              <w:t>接入北斗终端和无人机任务包</w:t>
            </w:r>
          </w:p>
        </w:tc>
        <w:tc>
          <w:tcPr>
            <w:tcW w:w="3560" w:type="dxa"/>
            <w:tcMar>
              <w:top w:w="100" w:type="dxa"/>
              <w:left w:w="120" w:type="dxa"/>
              <w:bottom w:w="100" w:type="dxa"/>
              <w:right w:w="120" w:type="dxa"/>
            </w:tcMar>
            <w:vAlign w:val="center"/>
          </w:tcPr>
          <w:p w14:paraId="64165CB1">
            <w:pPr>
              <w:spacing w:before="0" w:after="0" w:line="259" w:lineRule="auto"/>
              <w:jc w:val="left"/>
            </w:pPr>
            <w:r>
              <w:rPr>
                <w:rFonts w:ascii="微软雅黑" w:hAnsi="微软雅黑" w:eastAsia="微软雅黑"/>
                <w:color w:val="20262E"/>
                <w:sz w:val="18"/>
              </w:rPr>
              <w:t>真实坐标、时间同步、定位质量、跨架次关联、小规模外业</w:t>
            </w:r>
          </w:p>
        </w:tc>
        <w:tc>
          <w:tcPr>
            <w:tcW w:w="2000" w:type="dxa"/>
            <w:tcMar>
              <w:top w:w="100" w:type="dxa"/>
              <w:left w:w="120" w:type="dxa"/>
              <w:bottom w:w="100" w:type="dxa"/>
              <w:right w:w="120" w:type="dxa"/>
            </w:tcMar>
            <w:vAlign w:val="center"/>
          </w:tcPr>
          <w:p w14:paraId="3B1C0DE5">
            <w:pPr>
              <w:spacing w:before="0" w:after="0" w:line="259" w:lineRule="auto"/>
              <w:jc w:val="left"/>
            </w:pPr>
            <w:r>
              <w:rPr>
                <w:rFonts w:ascii="微软雅黑" w:hAnsi="微软雅黑" w:eastAsia="微软雅黑"/>
                <w:color w:val="20262E"/>
                <w:sz w:val="18"/>
              </w:rPr>
              <w:t>真实任务数据与现场复飞闭环</w:t>
            </w:r>
          </w:p>
        </w:tc>
      </w:tr>
      <w:tr w14:paraId="049506B4">
        <w:tblPrEx>
          <w:tblCellMar>
            <w:top w:w="0" w:type="dxa"/>
            <w:left w:w="108" w:type="dxa"/>
            <w:bottom w:w="0" w:type="dxa"/>
            <w:right w:w="108" w:type="dxa"/>
          </w:tblCellMar>
        </w:tblPrEx>
        <w:trPr>
          <w:cantSplit/>
        </w:trPr>
        <w:tc>
          <w:tcPr>
            <w:tcW w:w="1700" w:type="dxa"/>
            <w:tcMar>
              <w:top w:w="100" w:type="dxa"/>
              <w:left w:w="120" w:type="dxa"/>
              <w:bottom w:w="100" w:type="dxa"/>
              <w:right w:w="120" w:type="dxa"/>
            </w:tcMar>
            <w:vAlign w:val="center"/>
          </w:tcPr>
          <w:p w14:paraId="15D3EBAA">
            <w:pPr>
              <w:spacing w:before="0" w:after="0" w:line="259" w:lineRule="auto"/>
              <w:jc w:val="left"/>
            </w:pPr>
            <w:r>
              <w:rPr>
                <w:rFonts w:ascii="微软雅黑" w:hAnsi="微软雅黑" w:eastAsia="微软雅黑"/>
                <w:color w:val="20262E"/>
                <w:sz w:val="18"/>
              </w:rPr>
              <w:t>阶段E：产品试点</w:t>
            </w:r>
          </w:p>
        </w:tc>
        <w:tc>
          <w:tcPr>
            <w:tcW w:w="2100" w:type="dxa"/>
            <w:tcMar>
              <w:top w:w="100" w:type="dxa"/>
              <w:left w:w="120" w:type="dxa"/>
              <w:bottom w:w="100" w:type="dxa"/>
              <w:right w:w="120" w:type="dxa"/>
            </w:tcMar>
            <w:vAlign w:val="center"/>
          </w:tcPr>
          <w:p w14:paraId="5614DE99">
            <w:pPr>
              <w:spacing w:before="0" w:after="0" w:line="259" w:lineRule="auto"/>
              <w:jc w:val="left"/>
            </w:pPr>
            <w:r>
              <w:rPr>
                <w:rFonts w:ascii="微软雅黑" w:hAnsi="微软雅黑" w:eastAsia="微软雅黑"/>
                <w:color w:val="20262E"/>
                <w:sz w:val="18"/>
              </w:rPr>
              <w:t>面向行业客户验证价值</w:t>
            </w:r>
          </w:p>
        </w:tc>
        <w:tc>
          <w:tcPr>
            <w:tcW w:w="3560" w:type="dxa"/>
            <w:tcMar>
              <w:top w:w="100" w:type="dxa"/>
              <w:left w:w="120" w:type="dxa"/>
              <w:bottom w:w="100" w:type="dxa"/>
              <w:right w:w="120" w:type="dxa"/>
            </w:tcMar>
            <w:vAlign w:val="center"/>
          </w:tcPr>
          <w:p w14:paraId="7CA08747">
            <w:pPr>
              <w:spacing w:before="0" w:after="0" w:line="259" w:lineRule="auto"/>
              <w:jc w:val="left"/>
            </w:pPr>
            <w:r>
              <w:rPr>
                <w:rFonts w:ascii="微软雅黑" w:hAnsi="微软雅黑" w:eastAsia="微软雅黑"/>
                <w:color w:val="20262E"/>
                <w:sz w:val="18"/>
              </w:rPr>
              <w:t>权限、审计、模型版本、部署、运维和安全</w:t>
            </w:r>
          </w:p>
        </w:tc>
        <w:tc>
          <w:tcPr>
            <w:tcW w:w="2000" w:type="dxa"/>
            <w:tcMar>
              <w:top w:w="100" w:type="dxa"/>
              <w:left w:w="120" w:type="dxa"/>
              <w:bottom w:w="100" w:type="dxa"/>
              <w:right w:w="120" w:type="dxa"/>
            </w:tcMar>
            <w:vAlign w:val="center"/>
          </w:tcPr>
          <w:p w14:paraId="32BC1D08">
            <w:pPr>
              <w:spacing w:before="0" w:after="0" w:line="259" w:lineRule="auto"/>
              <w:jc w:val="left"/>
            </w:pPr>
            <w:r>
              <w:rPr>
                <w:rFonts w:ascii="微软雅黑" w:hAnsi="微软雅黑" w:eastAsia="微软雅黑"/>
                <w:color w:val="20262E"/>
                <w:sz w:val="18"/>
              </w:rPr>
              <w:t>试点报告、效率指标和客户反馈</w:t>
            </w:r>
          </w:p>
        </w:tc>
      </w:tr>
    </w:tbl>
    <w:p w14:paraId="77382172">
      <w:pPr>
        <w:spacing w:after="40"/>
      </w:pPr>
    </w:p>
    <w:p w14:paraId="7CDA5AE7">
      <w:pPr>
        <w:pStyle w:val="3"/>
        <w:keepNext/>
        <w:keepLines/>
      </w:pPr>
      <w:r>
        <w:rPr>
          <w:rFonts w:ascii="微软雅黑" w:hAnsi="微软雅黑" w:eastAsia="微软雅黑"/>
          <w:color w:val="20262E"/>
        </w:rPr>
        <w:t>21. 近期实验应支持哪些结论</w:t>
      </w:r>
    </w:p>
    <w:p w14:paraId="26D17B34">
      <w:pPr>
        <w:spacing w:before="0" w:after="120" w:line="264" w:lineRule="auto"/>
        <w:jc w:val="both"/>
      </w:pPr>
      <w:r>
        <w:rPr>
          <w:rFonts w:ascii="微软雅黑" w:hAnsi="微软雅黑" w:eastAsia="微软雅黑"/>
          <w:color w:val="20262E"/>
          <w:sz w:val="21"/>
        </w:rPr>
        <w:t>下一轮实验不应只追求一个更高的最终准确率，而应围绕项目主张设计证据链。每个结论都要有明确对照和指标，避免出现结果很多但无法回答评委问题的情况。</w:t>
      </w:r>
    </w:p>
    <w:tbl>
      <w:tblPr>
        <w:tblStyle w:val="32"/>
        <w:tblW w:w="9360" w:type="dxa"/>
        <w:tblInd w:w="120" w:type="dxa"/>
        <w:tblLayout w:type="fixed"/>
        <w:tblCellMar>
          <w:top w:w="0" w:type="dxa"/>
          <w:left w:w="108" w:type="dxa"/>
          <w:bottom w:w="0" w:type="dxa"/>
          <w:right w:w="108" w:type="dxa"/>
        </w:tblCellMar>
      </w:tblPr>
      <w:tblGrid>
        <w:gridCol w:w="3100"/>
        <w:gridCol w:w="3760"/>
        <w:gridCol w:w="2500"/>
      </w:tblGrid>
      <w:tr w14:paraId="08442DC1">
        <w:tblPrEx>
          <w:tblCellMar>
            <w:top w:w="0" w:type="dxa"/>
            <w:left w:w="108" w:type="dxa"/>
            <w:bottom w:w="0" w:type="dxa"/>
            <w:right w:w="108" w:type="dxa"/>
          </w:tblCellMar>
        </w:tblPrEx>
        <w:trPr>
          <w:cantSplit/>
          <w:tblHeader/>
        </w:trPr>
        <w:tc>
          <w:tcPr>
            <w:tcW w:w="3100" w:type="dxa"/>
            <w:shd w:val="clear" w:color="auto" w:fill="F2F4F7"/>
            <w:tcMar>
              <w:top w:w="100" w:type="dxa"/>
              <w:left w:w="120" w:type="dxa"/>
              <w:bottom w:w="100" w:type="dxa"/>
              <w:right w:w="120" w:type="dxa"/>
            </w:tcMar>
            <w:vAlign w:val="center"/>
          </w:tcPr>
          <w:p w14:paraId="59884AE8">
            <w:pPr>
              <w:spacing w:after="0"/>
              <w:jc w:val="center"/>
            </w:pPr>
            <w:r>
              <w:rPr>
                <w:rFonts w:ascii="微软雅黑" w:hAnsi="微软雅黑" w:eastAsia="微软雅黑"/>
                <w:b/>
                <w:color w:val="17365D"/>
                <w:sz w:val="18"/>
              </w:rPr>
              <w:t>拟支持结论</w:t>
            </w:r>
          </w:p>
        </w:tc>
        <w:tc>
          <w:tcPr>
            <w:tcW w:w="3760" w:type="dxa"/>
            <w:shd w:val="clear" w:color="auto" w:fill="F2F4F7"/>
            <w:tcMar>
              <w:top w:w="100" w:type="dxa"/>
              <w:left w:w="120" w:type="dxa"/>
              <w:bottom w:w="100" w:type="dxa"/>
              <w:right w:w="120" w:type="dxa"/>
            </w:tcMar>
            <w:vAlign w:val="center"/>
          </w:tcPr>
          <w:p w14:paraId="052D0A79">
            <w:pPr>
              <w:spacing w:after="0"/>
              <w:jc w:val="center"/>
            </w:pPr>
            <w:r>
              <w:rPr>
                <w:rFonts w:ascii="微软雅黑" w:hAnsi="微软雅黑" w:eastAsia="微软雅黑"/>
                <w:b/>
                <w:color w:val="17365D"/>
                <w:sz w:val="18"/>
              </w:rPr>
              <w:t>必须补充的实验</w:t>
            </w:r>
          </w:p>
        </w:tc>
        <w:tc>
          <w:tcPr>
            <w:tcW w:w="2500" w:type="dxa"/>
            <w:shd w:val="clear" w:color="auto" w:fill="F2F4F7"/>
            <w:tcMar>
              <w:top w:w="100" w:type="dxa"/>
              <w:left w:w="120" w:type="dxa"/>
              <w:bottom w:w="100" w:type="dxa"/>
              <w:right w:w="120" w:type="dxa"/>
            </w:tcMar>
            <w:vAlign w:val="center"/>
          </w:tcPr>
          <w:p w14:paraId="679EFEB1">
            <w:pPr>
              <w:spacing w:after="0"/>
              <w:jc w:val="center"/>
            </w:pPr>
            <w:r>
              <w:rPr>
                <w:rFonts w:ascii="微软雅黑" w:hAnsi="微软雅黑" w:eastAsia="微软雅黑"/>
                <w:b/>
                <w:color w:val="17365D"/>
                <w:sz w:val="18"/>
              </w:rPr>
              <w:t>关键指标</w:t>
            </w:r>
          </w:p>
        </w:tc>
      </w:tr>
      <w:tr w14:paraId="47189E84">
        <w:tblPrEx>
          <w:tblCellMar>
            <w:top w:w="0" w:type="dxa"/>
            <w:left w:w="108" w:type="dxa"/>
            <w:bottom w:w="0" w:type="dxa"/>
            <w:right w:w="108" w:type="dxa"/>
          </w:tblCellMar>
        </w:tblPrEx>
        <w:trPr>
          <w:cantSplit/>
        </w:trPr>
        <w:tc>
          <w:tcPr>
            <w:tcW w:w="3100" w:type="dxa"/>
            <w:tcMar>
              <w:top w:w="100" w:type="dxa"/>
              <w:left w:w="120" w:type="dxa"/>
              <w:bottom w:w="100" w:type="dxa"/>
              <w:right w:w="120" w:type="dxa"/>
            </w:tcMar>
            <w:vAlign w:val="center"/>
          </w:tcPr>
          <w:p w14:paraId="79A16C1F">
            <w:pPr>
              <w:spacing w:before="0" w:after="0" w:line="259" w:lineRule="auto"/>
              <w:jc w:val="left"/>
            </w:pPr>
            <w:r>
              <w:rPr>
                <w:rFonts w:ascii="微软雅黑" w:hAnsi="微软雅黑" w:eastAsia="微软雅黑"/>
                <w:color w:val="20262E"/>
                <w:sz w:val="18"/>
              </w:rPr>
              <w:t>三层方法稳定优于ER</w:t>
            </w:r>
          </w:p>
        </w:tc>
        <w:tc>
          <w:tcPr>
            <w:tcW w:w="3760" w:type="dxa"/>
            <w:tcMar>
              <w:top w:w="100" w:type="dxa"/>
              <w:left w:w="120" w:type="dxa"/>
              <w:bottom w:w="100" w:type="dxa"/>
              <w:right w:w="120" w:type="dxa"/>
            </w:tcMar>
            <w:vAlign w:val="center"/>
          </w:tcPr>
          <w:p w14:paraId="59A8B2CE">
            <w:pPr>
              <w:spacing w:before="0" w:after="0" w:line="259" w:lineRule="auto"/>
              <w:jc w:val="left"/>
            </w:pPr>
            <w:r>
              <w:rPr>
                <w:rFonts w:ascii="微软雅黑" w:hAnsi="微软雅黑" w:eastAsia="微软雅黑"/>
                <w:color w:val="20262E"/>
                <w:sz w:val="18"/>
              </w:rPr>
              <w:t>至少3个随机种子、统一任务划分和预算</w:t>
            </w:r>
          </w:p>
        </w:tc>
        <w:tc>
          <w:tcPr>
            <w:tcW w:w="2500" w:type="dxa"/>
            <w:tcMar>
              <w:top w:w="100" w:type="dxa"/>
              <w:left w:w="120" w:type="dxa"/>
              <w:bottom w:w="100" w:type="dxa"/>
              <w:right w:w="120" w:type="dxa"/>
            </w:tcMar>
            <w:vAlign w:val="center"/>
          </w:tcPr>
          <w:p w14:paraId="5A241978">
            <w:pPr>
              <w:spacing w:before="0" w:after="0" w:line="259" w:lineRule="auto"/>
              <w:jc w:val="left"/>
            </w:pPr>
            <w:r>
              <w:rPr>
                <w:rFonts w:ascii="微软雅黑" w:hAnsi="微软雅黑" w:eastAsia="微软雅黑"/>
                <w:color w:val="20262E"/>
                <w:sz w:val="18"/>
              </w:rPr>
              <w:t>平均准确率均值±标准差、遗忘率均值±标准差</w:t>
            </w:r>
          </w:p>
        </w:tc>
      </w:tr>
      <w:tr w14:paraId="4D745A61">
        <w:tblPrEx>
          <w:tblCellMar>
            <w:top w:w="0" w:type="dxa"/>
            <w:left w:w="108" w:type="dxa"/>
            <w:bottom w:w="0" w:type="dxa"/>
            <w:right w:w="108" w:type="dxa"/>
          </w:tblCellMar>
        </w:tblPrEx>
        <w:trPr>
          <w:cantSplit/>
        </w:trPr>
        <w:tc>
          <w:tcPr>
            <w:tcW w:w="3100" w:type="dxa"/>
            <w:tcMar>
              <w:top w:w="100" w:type="dxa"/>
              <w:left w:w="120" w:type="dxa"/>
              <w:bottom w:w="100" w:type="dxa"/>
              <w:right w:w="120" w:type="dxa"/>
            </w:tcMar>
            <w:vAlign w:val="center"/>
          </w:tcPr>
          <w:p w14:paraId="520FBF82">
            <w:pPr>
              <w:spacing w:before="0" w:after="0" w:line="259" w:lineRule="auto"/>
              <w:jc w:val="left"/>
            </w:pPr>
            <w:r>
              <w:rPr>
                <w:rFonts w:ascii="微软雅黑" w:hAnsi="微软雅黑" w:eastAsia="微软雅黑"/>
                <w:color w:val="20262E"/>
                <w:sz w:val="18"/>
              </w:rPr>
              <w:t>提升来自三层关键机制</w:t>
            </w:r>
          </w:p>
        </w:tc>
        <w:tc>
          <w:tcPr>
            <w:tcW w:w="3760" w:type="dxa"/>
            <w:tcMar>
              <w:top w:w="100" w:type="dxa"/>
              <w:left w:w="120" w:type="dxa"/>
              <w:bottom w:w="100" w:type="dxa"/>
              <w:right w:w="120" w:type="dxa"/>
            </w:tcMar>
            <w:vAlign w:val="center"/>
          </w:tcPr>
          <w:p w14:paraId="4FBB8389">
            <w:pPr>
              <w:spacing w:before="0" w:after="0" w:line="259" w:lineRule="auto"/>
              <w:jc w:val="left"/>
            </w:pPr>
            <w:r>
              <w:rPr>
                <w:rFonts w:ascii="微软雅黑" w:hAnsi="微软雅黑" w:eastAsia="微软雅黑"/>
                <w:color w:val="20262E"/>
                <w:sz w:val="18"/>
              </w:rPr>
              <w:t>逐层消融或模块关闭实验</w:t>
            </w:r>
          </w:p>
        </w:tc>
        <w:tc>
          <w:tcPr>
            <w:tcW w:w="2500" w:type="dxa"/>
            <w:tcMar>
              <w:top w:w="100" w:type="dxa"/>
              <w:left w:w="120" w:type="dxa"/>
              <w:bottom w:w="100" w:type="dxa"/>
              <w:right w:w="120" w:type="dxa"/>
            </w:tcMar>
            <w:vAlign w:val="center"/>
          </w:tcPr>
          <w:p w14:paraId="024F8087">
            <w:pPr>
              <w:spacing w:before="0" w:after="0" w:line="259" w:lineRule="auto"/>
              <w:jc w:val="left"/>
            </w:pPr>
            <w:r>
              <w:rPr>
                <w:rFonts w:ascii="微软雅黑" w:hAnsi="微软雅黑" w:eastAsia="微软雅黑"/>
                <w:color w:val="20262E"/>
                <w:sz w:val="18"/>
              </w:rPr>
              <w:t>每个模块带来的增益和遗忘变化</w:t>
            </w:r>
          </w:p>
        </w:tc>
      </w:tr>
      <w:tr w14:paraId="08FA094A">
        <w:tblPrEx>
          <w:tblCellMar>
            <w:top w:w="0" w:type="dxa"/>
            <w:left w:w="108" w:type="dxa"/>
            <w:bottom w:w="0" w:type="dxa"/>
            <w:right w:w="108" w:type="dxa"/>
          </w:tblCellMar>
        </w:tblPrEx>
        <w:trPr>
          <w:cantSplit/>
        </w:trPr>
        <w:tc>
          <w:tcPr>
            <w:tcW w:w="3100" w:type="dxa"/>
            <w:tcMar>
              <w:top w:w="100" w:type="dxa"/>
              <w:left w:w="120" w:type="dxa"/>
              <w:bottom w:w="100" w:type="dxa"/>
              <w:right w:w="120" w:type="dxa"/>
            </w:tcMar>
            <w:vAlign w:val="center"/>
          </w:tcPr>
          <w:p w14:paraId="5012D4E2">
            <w:pPr>
              <w:spacing w:before="0" w:after="0" w:line="259" w:lineRule="auto"/>
              <w:jc w:val="left"/>
            </w:pPr>
            <w:r>
              <w:rPr>
                <w:rFonts w:ascii="微软雅黑" w:hAnsi="微软雅黑" w:eastAsia="微软雅黑"/>
                <w:color w:val="20262E"/>
                <w:sz w:val="18"/>
              </w:rPr>
              <w:t>位置风险预算有效</w:t>
            </w:r>
          </w:p>
        </w:tc>
        <w:tc>
          <w:tcPr>
            <w:tcW w:w="3760" w:type="dxa"/>
            <w:tcMar>
              <w:top w:w="100" w:type="dxa"/>
              <w:left w:w="120" w:type="dxa"/>
              <w:bottom w:w="100" w:type="dxa"/>
              <w:right w:w="120" w:type="dxa"/>
            </w:tcMar>
            <w:vAlign w:val="center"/>
          </w:tcPr>
          <w:p w14:paraId="4391DF1F">
            <w:pPr>
              <w:spacing w:before="0" w:after="0" w:line="259" w:lineRule="auto"/>
              <w:jc w:val="left"/>
            </w:pPr>
            <w:r>
              <w:rPr>
                <w:rFonts w:ascii="微软雅黑" w:hAnsi="微软雅黑" w:eastAsia="微软雅黑"/>
                <w:color w:val="20262E"/>
                <w:sz w:val="18"/>
              </w:rPr>
              <w:t>均匀预算 vs. 风险预算，在训练侧真正控制样本/特征曝光</w:t>
            </w:r>
          </w:p>
        </w:tc>
        <w:tc>
          <w:tcPr>
            <w:tcW w:w="2500" w:type="dxa"/>
            <w:tcMar>
              <w:top w:w="100" w:type="dxa"/>
              <w:left w:w="120" w:type="dxa"/>
              <w:bottom w:w="100" w:type="dxa"/>
              <w:right w:w="120" w:type="dxa"/>
            </w:tcMar>
            <w:vAlign w:val="center"/>
          </w:tcPr>
          <w:p w14:paraId="6FC2B18F">
            <w:pPr>
              <w:spacing w:before="0" w:after="0" w:line="259" w:lineRule="auto"/>
              <w:jc w:val="left"/>
            </w:pPr>
            <w:r>
              <w:rPr>
                <w:rFonts w:ascii="微软雅黑" w:hAnsi="微软雅黑" w:eastAsia="微软雅黑"/>
                <w:color w:val="20262E"/>
                <w:sz w:val="18"/>
              </w:rPr>
              <w:t>高风险区域准确率、区域遗忘、总体预算守恒</w:t>
            </w:r>
          </w:p>
        </w:tc>
      </w:tr>
      <w:tr w14:paraId="16985E1E">
        <w:tblPrEx>
          <w:tblCellMar>
            <w:top w:w="0" w:type="dxa"/>
            <w:left w:w="108" w:type="dxa"/>
            <w:bottom w:w="0" w:type="dxa"/>
            <w:right w:w="108" w:type="dxa"/>
          </w:tblCellMar>
        </w:tblPrEx>
        <w:trPr>
          <w:cantSplit/>
        </w:trPr>
        <w:tc>
          <w:tcPr>
            <w:tcW w:w="3100" w:type="dxa"/>
            <w:tcMar>
              <w:top w:w="100" w:type="dxa"/>
              <w:left w:w="120" w:type="dxa"/>
              <w:bottom w:w="100" w:type="dxa"/>
              <w:right w:w="120" w:type="dxa"/>
            </w:tcMar>
            <w:vAlign w:val="center"/>
          </w:tcPr>
          <w:p w14:paraId="282237F6">
            <w:pPr>
              <w:spacing w:before="0" w:after="0" w:line="259" w:lineRule="auto"/>
              <w:jc w:val="left"/>
            </w:pPr>
            <w:r>
              <w:rPr>
                <w:rFonts w:ascii="微软雅黑" w:hAnsi="微软雅黑" w:eastAsia="微软雅黑"/>
                <w:color w:val="20262E"/>
                <w:sz w:val="18"/>
              </w:rPr>
              <w:t>不是只记住最近任务</w:t>
            </w:r>
          </w:p>
        </w:tc>
        <w:tc>
          <w:tcPr>
            <w:tcW w:w="3760" w:type="dxa"/>
            <w:tcMar>
              <w:top w:w="100" w:type="dxa"/>
              <w:left w:w="120" w:type="dxa"/>
              <w:bottom w:w="100" w:type="dxa"/>
              <w:right w:w="120" w:type="dxa"/>
            </w:tcMar>
            <w:vAlign w:val="center"/>
          </w:tcPr>
          <w:p w14:paraId="5FF95DD2">
            <w:pPr>
              <w:spacing w:before="0" w:after="0" w:line="259" w:lineRule="auto"/>
              <w:jc w:val="left"/>
            </w:pPr>
            <w:r>
              <w:rPr>
                <w:rFonts w:ascii="微软雅黑" w:hAnsi="微软雅黑" w:eastAsia="微软雅黑"/>
                <w:color w:val="20262E"/>
                <w:sz w:val="18"/>
              </w:rPr>
              <w:t>任务后准确率矩阵和类别级结果</w:t>
            </w:r>
          </w:p>
        </w:tc>
        <w:tc>
          <w:tcPr>
            <w:tcW w:w="2500" w:type="dxa"/>
            <w:tcMar>
              <w:top w:w="100" w:type="dxa"/>
              <w:left w:w="120" w:type="dxa"/>
              <w:bottom w:w="100" w:type="dxa"/>
              <w:right w:w="120" w:type="dxa"/>
            </w:tcMar>
            <w:vAlign w:val="center"/>
          </w:tcPr>
          <w:p w14:paraId="1A21D3DF">
            <w:pPr>
              <w:spacing w:before="0" w:after="0" w:line="259" w:lineRule="auto"/>
              <w:jc w:val="left"/>
            </w:pPr>
            <w:r>
              <w:rPr>
                <w:rFonts w:ascii="微软雅黑" w:hAnsi="微软雅黑" w:eastAsia="微软雅黑"/>
                <w:color w:val="20262E"/>
                <w:sz w:val="18"/>
              </w:rPr>
              <w:t>旧任务保持率、最近类别偏置、混淆矩阵</w:t>
            </w:r>
          </w:p>
        </w:tc>
      </w:tr>
      <w:tr w14:paraId="68BC67F8">
        <w:tblPrEx>
          <w:tblCellMar>
            <w:top w:w="0" w:type="dxa"/>
            <w:left w:w="108" w:type="dxa"/>
            <w:bottom w:w="0" w:type="dxa"/>
            <w:right w:w="108" w:type="dxa"/>
          </w:tblCellMar>
        </w:tblPrEx>
        <w:trPr>
          <w:cantSplit/>
        </w:trPr>
        <w:tc>
          <w:tcPr>
            <w:tcW w:w="3100" w:type="dxa"/>
            <w:tcMar>
              <w:top w:w="100" w:type="dxa"/>
              <w:left w:w="120" w:type="dxa"/>
              <w:bottom w:w="100" w:type="dxa"/>
              <w:right w:w="120" w:type="dxa"/>
            </w:tcMar>
            <w:vAlign w:val="center"/>
          </w:tcPr>
          <w:p w14:paraId="0D879123">
            <w:pPr>
              <w:spacing w:before="0" w:after="0" w:line="259" w:lineRule="auto"/>
              <w:jc w:val="left"/>
            </w:pPr>
            <w:r>
              <w:rPr>
                <w:rFonts w:ascii="微软雅黑" w:hAnsi="微软雅黑" w:eastAsia="微软雅黑"/>
                <w:color w:val="20262E"/>
                <w:sz w:val="18"/>
              </w:rPr>
              <w:t>具备工程可行性</w:t>
            </w:r>
          </w:p>
        </w:tc>
        <w:tc>
          <w:tcPr>
            <w:tcW w:w="3760" w:type="dxa"/>
            <w:tcMar>
              <w:top w:w="100" w:type="dxa"/>
              <w:left w:w="120" w:type="dxa"/>
              <w:bottom w:w="100" w:type="dxa"/>
              <w:right w:w="120" w:type="dxa"/>
            </w:tcMar>
            <w:vAlign w:val="center"/>
          </w:tcPr>
          <w:p w14:paraId="5695DC2B">
            <w:pPr>
              <w:spacing w:before="0" w:after="0" w:line="259" w:lineRule="auto"/>
              <w:jc w:val="left"/>
            </w:pPr>
            <w:r>
              <w:rPr>
                <w:rFonts w:ascii="微软雅黑" w:hAnsi="微软雅黑" w:eastAsia="微软雅黑"/>
                <w:color w:val="20262E"/>
                <w:sz w:val="18"/>
              </w:rPr>
              <w:t>记录训练/推理时间、显存和缓存占用</w:t>
            </w:r>
          </w:p>
        </w:tc>
        <w:tc>
          <w:tcPr>
            <w:tcW w:w="2500" w:type="dxa"/>
            <w:tcMar>
              <w:top w:w="100" w:type="dxa"/>
              <w:left w:w="120" w:type="dxa"/>
              <w:bottom w:w="100" w:type="dxa"/>
              <w:right w:w="120" w:type="dxa"/>
            </w:tcMar>
            <w:vAlign w:val="center"/>
          </w:tcPr>
          <w:p w14:paraId="1567863B">
            <w:pPr>
              <w:spacing w:before="0" w:after="0" w:line="259" w:lineRule="auto"/>
              <w:jc w:val="left"/>
            </w:pPr>
            <w:r>
              <w:rPr>
                <w:rFonts w:ascii="微软雅黑" w:hAnsi="微软雅黑" w:eastAsia="微软雅黑"/>
                <w:color w:val="20262E"/>
                <w:sz w:val="18"/>
              </w:rPr>
              <w:t>延迟、吞吐、资源占用</w:t>
            </w:r>
          </w:p>
        </w:tc>
      </w:tr>
    </w:tbl>
    <w:p w14:paraId="615E973C">
      <w:pPr>
        <w:spacing w:after="40"/>
      </w:pPr>
    </w:p>
    <w:tbl>
      <w:tblPr>
        <w:tblStyle w:val="32"/>
        <w:tblW w:w="9360" w:type="dxa"/>
        <w:tblInd w:w="120" w:type="dxa"/>
        <w:tblLayout w:type="fixed"/>
        <w:tblCellMar>
          <w:top w:w="0" w:type="dxa"/>
          <w:left w:w="108" w:type="dxa"/>
          <w:bottom w:w="0" w:type="dxa"/>
          <w:right w:w="108" w:type="dxa"/>
        </w:tblCellMar>
      </w:tblPr>
      <w:tblGrid>
        <w:gridCol w:w="9360"/>
      </w:tblGrid>
      <w:tr w14:paraId="4EEDBB08">
        <w:tblPrEx>
          <w:tblCellMar>
            <w:top w:w="0" w:type="dxa"/>
            <w:left w:w="108" w:type="dxa"/>
            <w:bottom w:w="0" w:type="dxa"/>
            <w:right w:w="108" w:type="dxa"/>
          </w:tblCellMar>
        </w:tblPrEx>
        <w:trPr>
          <w:cantSplit/>
        </w:trPr>
        <w:tc>
          <w:tcPr>
            <w:tcW w:w="9360" w:type="dxa"/>
            <w:shd w:val="clear" w:color="auto" w:fill="FFF4D6"/>
            <w:tcMar>
              <w:top w:w="100" w:type="dxa"/>
              <w:left w:w="120" w:type="dxa"/>
              <w:bottom w:w="100" w:type="dxa"/>
              <w:right w:w="120" w:type="dxa"/>
            </w:tcMar>
            <w:vAlign w:val="center"/>
          </w:tcPr>
          <w:p w14:paraId="7BF3E3B8">
            <w:pPr>
              <w:spacing w:before="40" w:after="40" w:line="269" w:lineRule="auto"/>
            </w:pPr>
            <w:r>
              <w:rPr>
                <w:rFonts w:ascii="微软雅黑" w:hAnsi="微软雅黑" w:eastAsia="微软雅黑"/>
                <w:b/>
                <w:color w:val="9A6A00"/>
                <w:sz w:val="21"/>
              </w:rPr>
              <w:t xml:space="preserve">优先级建议  </w:t>
            </w:r>
            <w:r>
              <w:rPr>
                <w:rFonts w:ascii="微软雅黑" w:hAnsi="微软雅黑" w:eastAsia="微软雅黑"/>
                <w:color w:val="20262E"/>
                <w:sz w:val="21"/>
              </w:rPr>
              <w:t>近期最重要的是多随机种子、任务后准确率矩阵、三层方法与ER的统一对比，以及位置风险预算训练闭环。真实无人机和硬件可以在晋级后逐步补齐。</w:t>
            </w:r>
          </w:p>
        </w:tc>
      </w:tr>
    </w:tbl>
    <w:p w14:paraId="38769A7A">
      <w:pPr>
        <w:spacing w:after="40"/>
      </w:pPr>
    </w:p>
    <w:p w14:paraId="52708FBD">
      <w:pPr>
        <w:pStyle w:val="3"/>
        <w:keepNext/>
        <w:keepLines/>
      </w:pPr>
      <w:r>
        <w:rPr>
          <w:rFonts w:ascii="微软雅黑" w:hAnsi="微软雅黑" w:eastAsia="微软雅黑"/>
          <w:color w:val="20262E"/>
        </w:rPr>
        <w:t>22. 评委讲解口径</w:t>
      </w:r>
    </w:p>
    <w:p w14:paraId="2467D588">
      <w:pPr>
        <w:pStyle w:val="4"/>
        <w:keepNext/>
        <w:keepLines/>
      </w:pPr>
      <w:r>
        <w:rPr>
          <w:rFonts w:ascii="微软雅黑" w:hAnsi="微软雅黑" w:eastAsia="微软雅黑"/>
          <w:color w:val="20262E"/>
        </w:rPr>
        <w:t>22.1 30秒项目介绍</w:t>
      </w:r>
    </w:p>
    <w:tbl>
      <w:tblPr>
        <w:tblStyle w:val="32"/>
        <w:tblW w:w="9360" w:type="dxa"/>
        <w:tblInd w:w="120" w:type="dxa"/>
        <w:tblLayout w:type="fixed"/>
        <w:tblCellMar>
          <w:top w:w="0" w:type="dxa"/>
          <w:left w:w="108" w:type="dxa"/>
          <w:bottom w:w="0" w:type="dxa"/>
          <w:right w:w="108" w:type="dxa"/>
        </w:tblCellMar>
      </w:tblPr>
      <w:tblGrid>
        <w:gridCol w:w="9360"/>
      </w:tblGrid>
      <w:tr w14:paraId="228D7C84">
        <w:tblPrEx>
          <w:tblCellMar>
            <w:top w:w="0" w:type="dxa"/>
            <w:left w:w="108" w:type="dxa"/>
            <w:bottom w:w="0" w:type="dxa"/>
            <w:right w:w="108" w:type="dxa"/>
          </w:tblCellMar>
        </w:tblPrEx>
        <w:trPr>
          <w:cantSplit/>
        </w:trPr>
        <w:tc>
          <w:tcPr>
            <w:tcW w:w="9360" w:type="dxa"/>
            <w:shd w:val="clear" w:color="auto" w:fill="EAF2F8"/>
            <w:tcMar>
              <w:top w:w="100" w:type="dxa"/>
              <w:left w:w="120" w:type="dxa"/>
              <w:bottom w:w="100" w:type="dxa"/>
              <w:right w:w="120" w:type="dxa"/>
            </w:tcMar>
            <w:vAlign w:val="center"/>
          </w:tcPr>
          <w:p w14:paraId="7F0EDD48">
            <w:pPr>
              <w:spacing w:before="40" w:after="40" w:line="269" w:lineRule="auto"/>
            </w:pPr>
            <w:r>
              <w:rPr>
                <w:rFonts w:ascii="微软雅黑" w:hAnsi="微软雅黑" w:eastAsia="微软雅黑"/>
                <w:b/>
                <w:color w:val="17365D"/>
                <w:sz w:val="21"/>
              </w:rPr>
              <w:t xml:space="preserve">标准话术  </w:t>
            </w:r>
            <w:r>
              <w:rPr>
                <w:rFonts w:ascii="微软雅黑" w:hAnsi="微软雅黑" w:eastAsia="微软雅黑"/>
                <w:color w:val="20262E"/>
                <w:sz w:val="21"/>
              </w:rPr>
              <w:t>我们面向搭载北斗定位模块的无人机常态化巡检场景，解决新类别目标持续出现、模型历史知识遗忘以及不同地理区域识别风险不一致的问题。系统用图像完成目标识别，用北斗坐标建立跨架次时空索引和区域诊断，再依据局部风险生成回放预算、重点复飞和人工复核建议。目前已在公开航拍数据和虚拟北斗航线仿真中完成10类5任务验证，三层方法相较ER准确率提升12.11个百分点、遗忘率下降19.23个百分点。</w:t>
            </w:r>
          </w:p>
        </w:tc>
      </w:tr>
    </w:tbl>
    <w:p w14:paraId="28A9FB3A">
      <w:pPr>
        <w:spacing w:after="40"/>
      </w:pPr>
    </w:p>
    <w:p w14:paraId="73A41836">
      <w:pPr>
        <w:pStyle w:val="4"/>
        <w:keepNext/>
        <w:keepLines/>
      </w:pPr>
      <w:r>
        <w:rPr>
          <w:rFonts w:ascii="微软雅黑" w:hAnsi="微软雅黑" w:eastAsia="微软雅黑"/>
          <w:color w:val="20262E"/>
        </w:rPr>
        <w:t>22.2 90秒技术介绍</w:t>
      </w:r>
    </w:p>
    <w:p w14:paraId="2685CD19">
      <w:pPr>
        <w:spacing w:before="0" w:after="120" w:line="264" w:lineRule="auto"/>
        <w:jc w:val="both"/>
      </w:pPr>
      <w:r>
        <w:rPr>
          <w:rFonts w:ascii="微软雅黑" w:hAnsi="微软雅黑" w:eastAsia="微软雅黑"/>
          <w:color w:val="20262E"/>
          <w:sz w:val="21"/>
        </w:rPr>
        <w:t>传统持续学习方法通常只优化全局平均指标，容易忽视高风险地点的局部失效。我们的系统采用双路架构：航拍图像进入视觉识别和私有三层持续学习引擎；北斗坐标、时间和定位质量进入时空索引与区域诊断模块；两路通过样本编号和时间戳关联。系统按location_id统计准确率、遗忘和定位误差，把模型不稳定性与业务后果结合形成区域风险，并在固定预算下给出维护资源和复飞优先级。经纬度暂不直接输入分类器，避免模型学习“某个地点等于某个类别”的位置捷径。当前完成的是公开数据仿真、正式结果看板和诊断报告，真实北斗终端、任务后台和机载部署属于下一阶段。</w:t>
      </w:r>
    </w:p>
    <w:p w14:paraId="67B7E1B8">
      <w:pPr>
        <w:pStyle w:val="4"/>
        <w:keepNext/>
        <w:keepLines/>
      </w:pPr>
      <w:r>
        <w:rPr>
          <w:rFonts w:ascii="微软雅黑" w:hAnsi="微软雅黑" w:eastAsia="微软雅黑"/>
          <w:color w:val="20262E"/>
        </w:rPr>
        <w:t>22.3 三条不可越过的表述红线</w:t>
      </w:r>
    </w:p>
    <w:p w14:paraId="47E7977F">
      <w:pPr>
        <w:numPr>
          <w:ilvl w:val="0"/>
          <w:numId w:val="11"/>
        </w:numPr>
        <w:spacing w:after="160" w:line="280" w:lineRule="auto"/>
      </w:pPr>
      <w:r>
        <w:rPr>
          <w:rFonts w:ascii="微软雅黑" w:hAnsi="微软雅黑" w:eastAsia="微软雅黑"/>
          <w:color w:val="20262E"/>
          <w:sz w:val="21"/>
        </w:rPr>
        <w:t>不要说“已在真实电网或客户现场部署”，除非后续确有外业和验收材料。</w:t>
      </w:r>
    </w:p>
    <w:p w14:paraId="44218185">
      <w:pPr>
        <w:numPr>
          <w:ilvl w:val="0"/>
          <w:numId w:val="11"/>
        </w:numPr>
        <w:spacing w:after="160" w:line="280" w:lineRule="auto"/>
      </w:pPr>
      <w:r>
        <w:rPr>
          <w:rFonts w:ascii="微软雅黑" w:hAnsi="微软雅黑" w:eastAsia="微软雅黑"/>
          <w:color w:val="20262E"/>
          <w:sz w:val="21"/>
        </w:rPr>
        <w:t>不要说“北斗坐标已经直接提升视觉分类精度”，当前坐标主要用于时空诊断、预算建议和复飞定位。</w:t>
      </w:r>
    </w:p>
    <w:p w14:paraId="1F9DD227">
      <w:pPr>
        <w:numPr>
          <w:ilvl w:val="0"/>
          <w:numId w:val="11"/>
        </w:numPr>
        <w:spacing w:after="160" w:line="280" w:lineRule="auto"/>
      </w:pPr>
      <w:r>
        <w:rPr>
          <w:rFonts w:ascii="微软雅黑" w:hAnsi="微软雅黑" w:eastAsia="微软雅黑"/>
          <w:color w:val="20262E"/>
          <w:sz w:val="21"/>
        </w:rPr>
        <w:t>不要把代表性单随机种子结果说成稳定商业指标；正式BP应标明数据集、任务数、预算和仿真边界。</w:t>
      </w:r>
    </w:p>
    <w:p w14:paraId="2C7E2D4E">
      <w:pPr>
        <w:pStyle w:val="3"/>
        <w:keepNext/>
        <w:keepLines/>
      </w:pPr>
      <w:r>
        <w:rPr>
          <w:rFonts w:ascii="微软雅黑" w:hAnsi="微软雅黑" w:eastAsia="微软雅黑"/>
          <w:color w:val="20262E"/>
        </w:rPr>
        <w:t>23. 高频疑问与回答</w:t>
      </w:r>
    </w:p>
    <w:p w14:paraId="03885294">
      <w:pPr>
        <w:pStyle w:val="4"/>
        <w:keepNext/>
        <w:keepLines/>
      </w:pPr>
      <w:r>
        <w:rPr>
          <w:rFonts w:ascii="微软雅黑" w:hAnsi="微软雅黑" w:eastAsia="微软雅黑"/>
          <w:color w:val="20262E"/>
        </w:rPr>
        <w:t>Q1：北斗只是给图片加经纬度吗？</w:t>
      </w:r>
    </w:p>
    <w:p w14:paraId="19577424">
      <w:pPr>
        <w:spacing w:before="0" w:after="120" w:line="264" w:lineRule="auto"/>
        <w:jc w:val="both"/>
      </w:pPr>
      <w:r>
        <w:rPr>
          <w:rFonts w:ascii="微软雅黑" w:hAnsi="微软雅黑" w:eastAsia="微软雅黑"/>
          <w:color w:val="20262E"/>
          <w:sz w:val="21"/>
        </w:rPr>
        <w:t>不是。经纬度用于跨架次关联、区域划分、局部诊断、风险排序和复飞坐标生成。若只加字段而不影响诊断和作业决策，就只是包装。</w:t>
      </w:r>
    </w:p>
    <w:p w14:paraId="004E9F73">
      <w:pPr>
        <w:pStyle w:val="4"/>
        <w:keepNext/>
        <w:keepLines/>
      </w:pPr>
      <w:r>
        <w:rPr>
          <w:rFonts w:ascii="微软雅黑" w:hAnsi="微软雅黑" w:eastAsia="微软雅黑"/>
          <w:color w:val="20262E"/>
        </w:rPr>
        <w:t>Q2：为什么不把经纬度直接喂给神经网络？</w:t>
      </w:r>
    </w:p>
    <w:p w14:paraId="39A1A88E">
      <w:pPr>
        <w:spacing w:before="0" w:after="120" w:line="264" w:lineRule="auto"/>
        <w:jc w:val="both"/>
      </w:pPr>
      <w:r>
        <w:rPr>
          <w:rFonts w:ascii="微软雅黑" w:hAnsi="微软雅黑" w:eastAsia="微软雅黑"/>
          <w:color w:val="20262E"/>
          <w:sz w:val="21"/>
        </w:rPr>
        <w:t>当前直接输入容易形成位置捷径并放大定位噪声。双路架构更稳妥：视觉负责识别，北斗负责时空治理，两路在诊断和决策层融合。</w:t>
      </w:r>
    </w:p>
    <w:p w14:paraId="57D6CDCD">
      <w:pPr>
        <w:pStyle w:val="4"/>
        <w:keepNext/>
        <w:keepLines/>
      </w:pPr>
      <w:r>
        <w:rPr>
          <w:rFonts w:ascii="微软雅黑" w:hAnsi="微软雅黑" w:eastAsia="微软雅黑"/>
          <w:color w:val="20262E"/>
        </w:rPr>
        <w:t>Q3：这个前端给谁使用？</w:t>
      </w:r>
    </w:p>
    <w:p w14:paraId="113C2172">
      <w:pPr>
        <w:spacing w:before="0" w:after="120" w:line="264" w:lineRule="auto"/>
        <w:jc w:val="both"/>
      </w:pPr>
      <w:r>
        <w:rPr>
          <w:rFonts w:ascii="微软雅黑" w:hAnsi="微软雅黑" w:eastAsia="微软雅黑"/>
          <w:color w:val="20262E"/>
          <w:sz w:val="21"/>
        </w:rPr>
        <w:t>完整产品面向巡检操作员、运维管理人员和模型运维人员。当前版本是竞赛原型，重点展示未来操作逻辑和已经审核的实验结果。</w:t>
      </w:r>
    </w:p>
    <w:p w14:paraId="3FC4B29D">
      <w:pPr>
        <w:pStyle w:val="4"/>
        <w:keepNext/>
        <w:keepLines/>
      </w:pPr>
      <w:r>
        <w:rPr>
          <w:rFonts w:ascii="微软雅黑" w:hAnsi="微软雅黑" w:eastAsia="微软雅黑"/>
          <w:color w:val="20262E"/>
        </w:rPr>
        <w:t>Q4：用户数据如何进入系统？</w:t>
      </w:r>
    </w:p>
    <w:p w14:paraId="5670AE79">
      <w:pPr>
        <w:spacing w:before="0" w:after="120" w:line="264" w:lineRule="auto"/>
        <w:jc w:val="both"/>
      </w:pPr>
      <w:r>
        <w:rPr>
          <w:rFonts w:ascii="微软雅黑" w:hAnsi="微软雅黑" w:eastAsia="微软雅黑"/>
          <w:color w:val="20262E"/>
          <w:sz w:val="21"/>
        </w:rPr>
        <w:t>未来由无人机或巡检平台上传标准任务包，包含图像/视频、时间、坐标、定位质量和任务标识；不是让用户逐张输入。</w:t>
      </w:r>
    </w:p>
    <w:p w14:paraId="28A3962B">
      <w:pPr>
        <w:pStyle w:val="4"/>
        <w:keepNext/>
        <w:keepLines/>
      </w:pPr>
      <w:r>
        <w:rPr>
          <w:rFonts w:ascii="微软雅黑" w:hAnsi="微软雅黑" w:eastAsia="微软雅黑"/>
          <w:color w:val="20262E"/>
        </w:rPr>
        <w:t>Q5：上传后会自动训练吗？</w:t>
      </w:r>
    </w:p>
    <w:p w14:paraId="782E9FC2">
      <w:pPr>
        <w:spacing w:before="0" w:after="120" w:line="264" w:lineRule="auto"/>
        <w:jc w:val="both"/>
      </w:pPr>
      <w:r>
        <w:rPr>
          <w:rFonts w:ascii="微软雅黑" w:hAnsi="微软雅黑" w:eastAsia="微软雅黑"/>
          <w:color w:val="20262E"/>
          <w:sz w:val="21"/>
        </w:rPr>
        <w:t>不会。先推理和诊断，未知类别需要人工确认，训练由模型运维人员受控发起，候选模型通过门槛后再发布。</w:t>
      </w:r>
    </w:p>
    <w:p w14:paraId="676AD2F5">
      <w:pPr>
        <w:pStyle w:val="4"/>
        <w:keepNext/>
        <w:keepLines/>
      </w:pPr>
      <w:r>
        <w:rPr>
          <w:rFonts w:ascii="微软雅黑" w:hAnsi="微软雅黑" w:eastAsia="微软雅黑"/>
          <w:color w:val="20262E"/>
        </w:rPr>
        <w:t>Q6：43.59%是不是太低？</w:t>
      </w:r>
    </w:p>
    <w:p w14:paraId="5E20C077">
      <w:pPr>
        <w:spacing w:before="0" w:after="120" w:line="264" w:lineRule="auto"/>
        <w:jc w:val="both"/>
      </w:pPr>
      <w:r>
        <w:rPr>
          <w:rFonts w:ascii="微软雅黑" w:hAnsi="微软雅黑" w:eastAsia="微软雅黑"/>
          <w:color w:val="20262E"/>
          <w:sz w:val="21"/>
        </w:rPr>
        <w:t>它是10类5任务持续学习后的最终平均准确率，不能与单任务成熟模型直接比较。当前价值在于同设置下比ER高12.11个百分点且遗忘明显降低；商业部署仍需更多数据和工程验证。</w:t>
      </w:r>
    </w:p>
    <w:p w14:paraId="3628DD74">
      <w:pPr>
        <w:pStyle w:val="4"/>
        <w:keepNext/>
        <w:keepLines/>
      </w:pPr>
      <w:r>
        <w:rPr>
          <w:rFonts w:ascii="微软雅黑" w:hAnsi="微软雅黑" w:eastAsia="微软雅黑"/>
          <w:color w:val="20262E"/>
        </w:rPr>
        <w:t>Q7：位置风险预算是否已经真正参与训练？</w:t>
      </w:r>
    </w:p>
    <w:p w14:paraId="68A2221F">
      <w:pPr>
        <w:spacing w:before="0" w:after="120" w:line="264" w:lineRule="auto"/>
        <w:jc w:val="both"/>
      </w:pPr>
      <w:r>
        <w:rPr>
          <w:rFonts w:ascii="微软雅黑" w:hAnsi="微软雅黑" w:eastAsia="微软雅黑"/>
          <w:color w:val="20262E"/>
          <w:sz w:val="21"/>
        </w:rPr>
        <w:t>当前已生成基于区域风险的预算建议和分配结果；是否已反向控制私有训练缓存必须以训练侧联调实验为准，未完成前不得夸大。</w:t>
      </w:r>
    </w:p>
    <w:p w14:paraId="24FAE0FA">
      <w:pPr>
        <w:pStyle w:val="4"/>
        <w:keepNext/>
        <w:keepLines/>
      </w:pPr>
      <w:r>
        <w:rPr>
          <w:rFonts w:ascii="微软雅黑" w:hAnsi="微软雅黑" w:eastAsia="微软雅黑"/>
          <w:color w:val="20262E"/>
        </w:rPr>
        <w:t>Q8：队员做前端需要核心算法吗？</w:t>
      </w:r>
    </w:p>
    <w:p w14:paraId="6C6609D0">
      <w:pPr>
        <w:spacing w:before="0" w:after="120" w:line="264" w:lineRule="auto"/>
        <w:jc w:val="both"/>
      </w:pPr>
      <w:r>
        <w:rPr>
          <w:rFonts w:ascii="微软雅黑" w:hAnsi="微软雅黑" w:eastAsia="微软雅黑"/>
          <w:color w:val="20262E"/>
          <w:sz w:val="21"/>
        </w:rPr>
        <w:t>不需要。前端只读取白名单JSON或API。算法负责人保留源码、权重和日志，队员及其AI通过项目上下文和数据契约理解产品。</w:t>
      </w:r>
    </w:p>
    <w:p w14:paraId="0E6776F6">
      <w:pPr>
        <w:pStyle w:val="4"/>
        <w:keepNext/>
        <w:keepLines/>
      </w:pPr>
      <w:r>
        <w:rPr>
          <w:rFonts w:ascii="微软雅黑" w:hAnsi="微软雅黑" w:eastAsia="微软雅黑"/>
          <w:color w:val="20262E"/>
        </w:rPr>
        <w:t>Q9：如果评委要求看代码怎么办？</w:t>
      </w:r>
    </w:p>
    <w:p w14:paraId="7CC0B51B">
      <w:pPr>
        <w:spacing w:before="0" w:after="120" w:line="264" w:lineRule="auto"/>
        <w:jc w:val="both"/>
      </w:pPr>
      <w:r>
        <w:rPr>
          <w:rFonts w:ascii="微软雅黑" w:hAnsi="微软雅黑" w:eastAsia="微软雅黑"/>
          <w:color w:val="20262E"/>
          <w:sz w:val="21"/>
        </w:rPr>
        <w:t>可以展示共享工程、数据契约、诊断逻辑和运行结果。私有核心算法处于知识产权和学术成果保护阶段，可说明已完成可重复实验验证，但不现场公开核心源码。</w:t>
      </w:r>
    </w:p>
    <w:p w14:paraId="2D203D98">
      <w:pPr>
        <w:pStyle w:val="4"/>
        <w:keepNext/>
        <w:keepLines/>
      </w:pPr>
      <w:r>
        <w:rPr>
          <w:rFonts w:ascii="微软雅黑" w:hAnsi="微软雅黑" w:eastAsia="微软雅黑"/>
          <w:color w:val="20262E"/>
        </w:rPr>
        <w:t>Q10：项目最终卖的是什么？</w:t>
      </w:r>
    </w:p>
    <w:p w14:paraId="2801CD58">
      <w:pPr>
        <w:spacing w:before="0" w:after="120" w:line="264" w:lineRule="auto"/>
        <w:jc w:val="both"/>
      </w:pPr>
      <w:r>
        <w:rPr>
          <w:rFonts w:ascii="微软雅黑" w:hAnsi="微软雅黑" w:eastAsia="微软雅黑"/>
          <w:color w:val="20262E"/>
          <w:sz w:val="21"/>
        </w:rPr>
        <w:t>不是单独出售一个分类模型，而是提供面向巡检任务的数据接入、时空风险诊断、持续模型维护、复飞决策和报告服务，可按软件平台、项目实施或年度运维服务交付。</w:t>
      </w:r>
    </w:p>
    <w:p w14:paraId="4B2B3342">
      <w:pPr>
        <w:pStyle w:val="3"/>
        <w:keepNext/>
        <w:keepLines/>
      </w:pPr>
      <w:r>
        <w:rPr>
          <w:rFonts w:ascii="微软雅黑" w:hAnsi="微软雅黑" w:eastAsia="微软雅黑"/>
          <w:color w:val="20262E"/>
        </w:rPr>
        <w:t>24. 对外统一项目表述</w:t>
      </w:r>
    </w:p>
    <w:tbl>
      <w:tblPr>
        <w:tblStyle w:val="32"/>
        <w:tblW w:w="9360" w:type="dxa"/>
        <w:tblInd w:w="120" w:type="dxa"/>
        <w:tblLayout w:type="fixed"/>
        <w:tblCellMar>
          <w:top w:w="0" w:type="dxa"/>
          <w:left w:w="108" w:type="dxa"/>
          <w:bottom w:w="0" w:type="dxa"/>
          <w:right w:w="108" w:type="dxa"/>
        </w:tblCellMar>
      </w:tblPr>
      <w:tblGrid>
        <w:gridCol w:w="9360"/>
      </w:tblGrid>
      <w:tr w14:paraId="624DAAC5">
        <w:tblPrEx>
          <w:tblCellMar>
            <w:top w:w="0" w:type="dxa"/>
            <w:left w:w="108" w:type="dxa"/>
            <w:bottom w:w="0" w:type="dxa"/>
            <w:right w:w="108" w:type="dxa"/>
          </w:tblCellMar>
        </w:tblPrEx>
        <w:trPr>
          <w:cantSplit/>
        </w:trPr>
        <w:tc>
          <w:tcPr>
            <w:tcW w:w="9360" w:type="dxa"/>
            <w:shd w:val="clear" w:color="auto" w:fill="EAF2F8"/>
            <w:tcMar>
              <w:top w:w="100" w:type="dxa"/>
              <w:left w:w="120" w:type="dxa"/>
              <w:bottom w:w="100" w:type="dxa"/>
              <w:right w:w="120" w:type="dxa"/>
            </w:tcMar>
            <w:vAlign w:val="center"/>
          </w:tcPr>
          <w:p w14:paraId="34027280">
            <w:pPr>
              <w:spacing w:before="40" w:after="40" w:line="269" w:lineRule="auto"/>
            </w:pPr>
            <w:r>
              <w:rPr>
                <w:rFonts w:ascii="微软雅黑" w:hAnsi="微软雅黑" w:eastAsia="微软雅黑"/>
                <w:b/>
                <w:color w:val="17365D"/>
                <w:sz w:val="21"/>
              </w:rPr>
              <w:t xml:space="preserve">最终版项目陈述  </w:t>
            </w:r>
            <w:r>
              <w:rPr>
                <w:rFonts w:ascii="微软雅黑" w:hAnsi="微软雅黑" w:eastAsia="微软雅黑"/>
                <w:color w:val="20262E"/>
                <w:sz w:val="21"/>
              </w:rPr>
              <w:t>本项目面向低空无人机常态化巡检，构建北斗时空信息与类别增量持续学习协同的平台。系统将航拍图像与北斗坐标、时间和定位质量通过样本编号关联，以视觉模型识别目标，以时空诊断模块定位不同区域的模型遗忘和识别风险，并在固定资源约束下形成区域回放预算、重点复飞和人工复核建议。私有三层因果语义回放方法用于缓解新类别持续出现带来的灾难性遗忘。当前已完成公开航拍数据、虚拟北斗航线和定位扰动下的仿真验证及竞赛展示原型；后续将补齐风险预算训练闭环、真实任务后台、北斗终端联调和行业试点。</w:t>
            </w:r>
          </w:p>
        </w:tc>
      </w:tr>
    </w:tbl>
    <w:p w14:paraId="52F9DF39">
      <w:pPr>
        <w:spacing w:after="40"/>
      </w:pPr>
    </w:p>
    <w:p w14:paraId="50D5911C">
      <w:pPr>
        <w:pStyle w:val="3"/>
        <w:keepNext/>
        <w:keepLines/>
      </w:pPr>
      <w:r>
        <w:rPr>
          <w:rFonts w:ascii="微软雅黑" w:hAnsi="微软雅黑" w:eastAsia="微软雅黑"/>
          <w:color w:val="20262E"/>
        </w:rPr>
        <w:t>附录A：公开结果字段解释</w:t>
      </w:r>
    </w:p>
    <w:tbl>
      <w:tblPr>
        <w:tblStyle w:val="32"/>
        <w:tblW w:w="9360" w:type="dxa"/>
        <w:tblInd w:w="120" w:type="dxa"/>
        <w:tblLayout w:type="fixed"/>
        <w:tblCellMar>
          <w:top w:w="0" w:type="dxa"/>
          <w:left w:w="108" w:type="dxa"/>
          <w:bottom w:w="0" w:type="dxa"/>
          <w:right w:w="108" w:type="dxa"/>
        </w:tblCellMar>
      </w:tblPr>
      <w:tblGrid>
        <w:gridCol w:w="2500"/>
        <w:gridCol w:w="3900"/>
        <w:gridCol w:w="2960"/>
      </w:tblGrid>
      <w:tr w14:paraId="6EB82784">
        <w:tblPrEx>
          <w:tblCellMar>
            <w:top w:w="0" w:type="dxa"/>
            <w:left w:w="108" w:type="dxa"/>
            <w:bottom w:w="0" w:type="dxa"/>
            <w:right w:w="108" w:type="dxa"/>
          </w:tblCellMar>
        </w:tblPrEx>
        <w:trPr>
          <w:cantSplit/>
          <w:tblHeader/>
        </w:trPr>
        <w:tc>
          <w:tcPr>
            <w:tcW w:w="2500" w:type="dxa"/>
            <w:shd w:val="clear" w:color="auto" w:fill="F2F4F7"/>
            <w:tcMar>
              <w:top w:w="100" w:type="dxa"/>
              <w:left w:w="120" w:type="dxa"/>
              <w:bottom w:w="100" w:type="dxa"/>
              <w:right w:w="120" w:type="dxa"/>
            </w:tcMar>
            <w:vAlign w:val="center"/>
          </w:tcPr>
          <w:p w14:paraId="0393DA88">
            <w:pPr>
              <w:spacing w:after="0"/>
              <w:jc w:val="center"/>
            </w:pPr>
            <w:r>
              <w:rPr>
                <w:rFonts w:ascii="微软雅黑" w:hAnsi="微软雅黑" w:eastAsia="微软雅黑"/>
                <w:b/>
                <w:color w:val="17365D"/>
                <w:sz w:val="18"/>
              </w:rPr>
              <w:t>字段</w:t>
            </w:r>
          </w:p>
        </w:tc>
        <w:tc>
          <w:tcPr>
            <w:tcW w:w="3900" w:type="dxa"/>
            <w:shd w:val="clear" w:color="auto" w:fill="F2F4F7"/>
            <w:tcMar>
              <w:top w:w="100" w:type="dxa"/>
              <w:left w:w="120" w:type="dxa"/>
              <w:bottom w:w="100" w:type="dxa"/>
              <w:right w:w="120" w:type="dxa"/>
            </w:tcMar>
            <w:vAlign w:val="center"/>
          </w:tcPr>
          <w:p w14:paraId="391561D7">
            <w:pPr>
              <w:spacing w:after="0"/>
              <w:jc w:val="center"/>
            </w:pPr>
            <w:r>
              <w:rPr>
                <w:rFonts w:ascii="微软雅黑" w:hAnsi="微软雅黑" w:eastAsia="微软雅黑"/>
                <w:b/>
                <w:color w:val="17365D"/>
                <w:sz w:val="18"/>
              </w:rPr>
              <w:t>解释</w:t>
            </w:r>
          </w:p>
        </w:tc>
        <w:tc>
          <w:tcPr>
            <w:tcW w:w="2960" w:type="dxa"/>
            <w:shd w:val="clear" w:color="auto" w:fill="F2F4F7"/>
            <w:tcMar>
              <w:top w:w="100" w:type="dxa"/>
              <w:left w:w="120" w:type="dxa"/>
              <w:bottom w:w="100" w:type="dxa"/>
              <w:right w:w="120" w:type="dxa"/>
            </w:tcMar>
            <w:vAlign w:val="center"/>
          </w:tcPr>
          <w:p w14:paraId="13605187">
            <w:pPr>
              <w:spacing w:after="0"/>
              <w:jc w:val="center"/>
            </w:pPr>
            <w:r>
              <w:rPr>
                <w:rFonts w:ascii="微软雅黑" w:hAnsi="微软雅黑" w:eastAsia="微软雅黑"/>
                <w:b/>
                <w:color w:val="17365D"/>
                <w:sz w:val="18"/>
              </w:rPr>
              <w:t>使用注意</w:t>
            </w:r>
          </w:p>
        </w:tc>
      </w:tr>
      <w:tr w14:paraId="06E95782">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3DFBCA6E">
            <w:pPr>
              <w:spacing w:before="0" w:after="0" w:line="259" w:lineRule="auto"/>
              <w:jc w:val="left"/>
            </w:pPr>
            <w:r>
              <w:rPr>
                <w:rFonts w:ascii="微软雅黑" w:hAnsi="微软雅黑" w:eastAsia="微软雅黑"/>
                <w:color w:val="20262E"/>
                <w:sz w:val="18"/>
              </w:rPr>
              <w:t>evidence_status</w:t>
            </w:r>
          </w:p>
        </w:tc>
        <w:tc>
          <w:tcPr>
            <w:tcW w:w="3900" w:type="dxa"/>
            <w:tcMar>
              <w:top w:w="100" w:type="dxa"/>
              <w:left w:w="120" w:type="dxa"/>
              <w:bottom w:w="100" w:type="dxa"/>
              <w:right w:w="120" w:type="dxa"/>
            </w:tcMar>
            <w:vAlign w:val="center"/>
          </w:tcPr>
          <w:p w14:paraId="024ADEF8">
            <w:pPr>
              <w:spacing w:before="0" w:after="0" w:line="259" w:lineRule="auto"/>
              <w:jc w:val="left"/>
            </w:pPr>
            <w:r>
              <w:rPr>
                <w:rFonts w:ascii="微软雅黑" w:hAnsi="微软雅黑" w:eastAsia="微软雅黑"/>
                <w:color w:val="20262E"/>
                <w:sz w:val="18"/>
              </w:rPr>
              <w:t>证据状态：simulation_only、position_only或prediction_backed</w:t>
            </w:r>
          </w:p>
        </w:tc>
        <w:tc>
          <w:tcPr>
            <w:tcW w:w="2960" w:type="dxa"/>
            <w:tcMar>
              <w:top w:w="100" w:type="dxa"/>
              <w:left w:w="120" w:type="dxa"/>
              <w:bottom w:w="100" w:type="dxa"/>
              <w:right w:w="120" w:type="dxa"/>
            </w:tcMar>
            <w:vAlign w:val="center"/>
          </w:tcPr>
          <w:p w14:paraId="60D3A594">
            <w:pPr>
              <w:spacing w:before="0" w:after="0" w:line="259" w:lineRule="auto"/>
              <w:jc w:val="left"/>
            </w:pPr>
            <w:r>
              <w:rPr>
                <w:rFonts w:ascii="微软雅黑" w:hAnsi="微软雅黑" w:eastAsia="微软雅黑"/>
                <w:color w:val="20262E"/>
                <w:sz w:val="18"/>
              </w:rPr>
              <w:t>不能自动推导外业、部署或商业结果</w:t>
            </w:r>
          </w:p>
        </w:tc>
      </w:tr>
      <w:tr w14:paraId="35A6C24D">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7BCC4F35">
            <w:pPr>
              <w:spacing w:before="0" w:after="0" w:line="259" w:lineRule="auto"/>
              <w:jc w:val="left"/>
            </w:pPr>
            <w:r>
              <w:rPr>
                <w:rFonts w:ascii="微软雅黑" w:hAnsi="微软雅黑" w:eastAsia="微软雅黑"/>
                <w:color w:val="20262E"/>
                <w:sz w:val="18"/>
              </w:rPr>
              <w:t>average_accuracy</w:t>
            </w:r>
          </w:p>
        </w:tc>
        <w:tc>
          <w:tcPr>
            <w:tcW w:w="3900" w:type="dxa"/>
            <w:tcMar>
              <w:top w:w="100" w:type="dxa"/>
              <w:left w:w="120" w:type="dxa"/>
              <w:bottom w:w="100" w:type="dxa"/>
              <w:right w:w="120" w:type="dxa"/>
            </w:tcMar>
            <w:vAlign w:val="center"/>
          </w:tcPr>
          <w:p w14:paraId="6FB09DA7">
            <w:pPr>
              <w:spacing w:before="0" w:after="0" w:line="259" w:lineRule="auto"/>
              <w:jc w:val="left"/>
            </w:pPr>
            <w:r>
              <w:rPr>
                <w:rFonts w:ascii="微软雅黑" w:hAnsi="微软雅黑" w:eastAsia="微软雅黑"/>
                <w:color w:val="20262E"/>
                <w:sz w:val="18"/>
              </w:rPr>
              <w:t>连续学习结束后的平均准确率</w:t>
            </w:r>
          </w:p>
        </w:tc>
        <w:tc>
          <w:tcPr>
            <w:tcW w:w="2960" w:type="dxa"/>
            <w:tcMar>
              <w:top w:w="100" w:type="dxa"/>
              <w:left w:w="120" w:type="dxa"/>
              <w:bottom w:w="100" w:type="dxa"/>
              <w:right w:w="120" w:type="dxa"/>
            </w:tcMar>
            <w:vAlign w:val="center"/>
          </w:tcPr>
          <w:p w14:paraId="00D009F1">
            <w:pPr>
              <w:spacing w:before="0" w:after="0" w:line="259" w:lineRule="auto"/>
              <w:jc w:val="left"/>
            </w:pPr>
            <w:r>
              <w:rPr>
                <w:rFonts w:ascii="微软雅黑" w:hAnsi="微软雅黑" w:eastAsia="微软雅黑"/>
                <w:color w:val="20262E"/>
                <w:sz w:val="18"/>
              </w:rPr>
              <w:t>必须同时说明任务设置和对比方法</w:t>
            </w:r>
          </w:p>
        </w:tc>
      </w:tr>
      <w:tr w14:paraId="69B2D034">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1B893446">
            <w:pPr>
              <w:spacing w:before="0" w:after="0" w:line="259" w:lineRule="auto"/>
              <w:jc w:val="left"/>
            </w:pPr>
            <w:r>
              <w:rPr>
                <w:rFonts w:ascii="微软雅黑" w:hAnsi="微软雅黑" w:eastAsia="微软雅黑"/>
                <w:color w:val="20262E"/>
                <w:sz w:val="18"/>
              </w:rPr>
              <w:t>average_forgetting</w:t>
            </w:r>
          </w:p>
        </w:tc>
        <w:tc>
          <w:tcPr>
            <w:tcW w:w="3900" w:type="dxa"/>
            <w:tcMar>
              <w:top w:w="100" w:type="dxa"/>
              <w:left w:w="120" w:type="dxa"/>
              <w:bottom w:w="100" w:type="dxa"/>
              <w:right w:w="120" w:type="dxa"/>
            </w:tcMar>
            <w:vAlign w:val="center"/>
          </w:tcPr>
          <w:p w14:paraId="609070CA">
            <w:pPr>
              <w:spacing w:before="0" w:after="0" w:line="259" w:lineRule="auto"/>
              <w:jc w:val="left"/>
            </w:pPr>
            <w:r>
              <w:rPr>
                <w:rFonts w:ascii="微软雅黑" w:hAnsi="微软雅黑" w:eastAsia="微软雅黑"/>
                <w:color w:val="20262E"/>
                <w:sz w:val="18"/>
              </w:rPr>
              <w:t>历史任务性能下降程度</w:t>
            </w:r>
          </w:p>
        </w:tc>
        <w:tc>
          <w:tcPr>
            <w:tcW w:w="2960" w:type="dxa"/>
            <w:tcMar>
              <w:top w:w="100" w:type="dxa"/>
              <w:left w:w="120" w:type="dxa"/>
              <w:bottom w:w="100" w:type="dxa"/>
              <w:right w:w="120" w:type="dxa"/>
            </w:tcMar>
            <w:vAlign w:val="center"/>
          </w:tcPr>
          <w:p w14:paraId="330F84A5">
            <w:pPr>
              <w:spacing w:before="0" w:after="0" w:line="259" w:lineRule="auto"/>
              <w:jc w:val="left"/>
            </w:pPr>
            <w:r>
              <w:rPr>
                <w:rFonts w:ascii="微软雅黑" w:hAnsi="微软雅黑" w:eastAsia="微软雅黑"/>
                <w:color w:val="20262E"/>
                <w:sz w:val="18"/>
              </w:rPr>
              <w:t>数值越低通常越好</w:t>
            </w:r>
          </w:p>
        </w:tc>
      </w:tr>
      <w:tr w14:paraId="32B5B369">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75DAEDC6">
            <w:pPr>
              <w:spacing w:before="0" w:after="0" w:line="259" w:lineRule="auto"/>
              <w:jc w:val="left"/>
            </w:pPr>
            <w:r>
              <w:rPr>
                <w:rFonts w:ascii="微软雅黑" w:hAnsi="微软雅黑" w:eastAsia="微软雅黑"/>
                <w:color w:val="20262E"/>
                <w:sz w:val="18"/>
              </w:rPr>
              <w:t>location_id</w:t>
            </w:r>
          </w:p>
        </w:tc>
        <w:tc>
          <w:tcPr>
            <w:tcW w:w="3900" w:type="dxa"/>
            <w:tcMar>
              <w:top w:w="100" w:type="dxa"/>
              <w:left w:w="120" w:type="dxa"/>
              <w:bottom w:w="100" w:type="dxa"/>
              <w:right w:w="120" w:type="dxa"/>
            </w:tcMar>
            <w:vAlign w:val="center"/>
          </w:tcPr>
          <w:p w14:paraId="11D44CB2">
            <w:pPr>
              <w:spacing w:before="0" w:after="0" w:line="259" w:lineRule="auto"/>
              <w:jc w:val="left"/>
            </w:pPr>
            <w:r>
              <w:rPr>
                <w:rFonts w:ascii="微软雅黑" w:hAnsi="微软雅黑" w:eastAsia="微软雅黑"/>
                <w:color w:val="20262E"/>
                <w:sz w:val="18"/>
              </w:rPr>
              <w:t>地理网格或业务区域标识</w:t>
            </w:r>
          </w:p>
        </w:tc>
        <w:tc>
          <w:tcPr>
            <w:tcW w:w="2960" w:type="dxa"/>
            <w:tcMar>
              <w:top w:w="100" w:type="dxa"/>
              <w:left w:w="120" w:type="dxa"/>
              <w:bottom w:w="100" w:type="dxa"/>
              <w:right w:w="120" w:type="dxa"/>
            </w:tcMar>
            <w:vAlign w:val="center"/>
          </w:tcPr>
          <w:p w14:paraId="39C81955">
            <w:pPr>
              <w:spacing w:before="0" w:after="0" w:line="259" w:lineRule="auto"/>
              <w:jc w:val="left"/>
            </w:pPr>
            <w:r>
              <w:rPr>
                <w:rFonts w:ascii="微软雅黑" w:hAnsi="微软雅黑" w:eastAsia="微软雅黑"/>
                <w:color w:val="20262E"/>
                <w:sz w:val="18"/>
              </w:rPr>
              <w:t>当前区域为仿真构造</w:t>
            </w:r>
          </w:p>
        </w:tc>
      </w:tr>
      <w:tr w14:paraId="07D2544A">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4ED72F4D">
            <w:pPr>
              <w:spacing w:before="0" w:after="0" w:line="259" w:lineRule="auto"/>
              <w:jc w:val="left"/>
            </w:pPr>
            <w:r>
              <w:rPr>
                <w:rFonts w:ascii="微软雅黑" w:hAnsi="微软雅黑" w:eastAsia="微软雅黑"/>
                <w:color w:val="20262E"/>
                <w:sz w:val="18"/>
              </w:rPr>
              <w:t>position_error_mean_m</w:t>
            </w:r>
          </w:p>
        </w:tc>
        <w:tc>
          <w:tcPr>
            <w:tcW w:w="3900" w:type="dxa"/>
            <w:tcMar>
              <w:top w:w="100" w:type="dxa"/>
              <w:left w:w="120" w:type="dxa"/>
              <w:bottom w:w="100" w:type="dxa"/>
              <w:right w:w="120" w:type="dxa"/>
            </w:tcMar>
            <w:vAlign w:val="center"/>
          </w:tcPr>
          <w:p w14:paraId="198FAC0E">
            <w:pPr>
              <w:spacing w:before="0" w:after="0" w:line="259" w:lineRule="auto"/>
              <w:jc w:val="left"/>
            </w:pPr>
            <w:r>
              <w:rPr>
                <w:rFonts w:ascii="微软雅黑" w:hAnsi="微软雅黑" w:eastAsia="微软雅黑"/>
                <w:color w:val="20262E"/>
                <w:sz w:val="18"/>
              </w:rPr>
              <w:t>区域平均定位误差估计</w:t>
            </w:r>
          </w:p>
        </w:tc>
        <w:tc>
          <w:tcPr>
            <w:tcW w:w="2960" w:type="dxa"/>
            <w:tcMar>
              <w:top w:w="100" w:type="dxa"/>
              <w:left w:w="120" w:type="dxa"/>
              <w:bottom w:w="100" w:type="dxa"/>
              <w:right w:w="120" w:type="dxa"/>
            </w:tcMar>
            <w:vAlign w:val="center"/>
          </w:tcPr>
          <w:p w14:paraId="14AC676B">
            <w:pPr>
              <w:spacing w:before="0" w:after="0" w:line="259" w:lineRule="auto"/>
              <w:jc w:val="left"/>
            </w:pPr>
            <w:r>
              <w:rPr>
                <w:rFonts w:ascii="微软雅黑" w:hAnsi="微软雅黑" w:eastAsia="微软雅黑"/>
                <w:color w:val="20262E"/>
                <w:sz w:val="18"/>
              </w:rPr>
              <w:t>当前来自仿真定位扰动</w:t>
            </w:r>
          </w:p>
        </w:tc>
      </w:tr>
      <w:tr w14:paraId="72976CEA">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6475961C">
            <w:pPr>
              <w:spacing w:before="0" w:after="0" w:line="259" w:lineRule="auto"/>
              <w:jc w:val="left"/>
            </w:pPr>
            <w:r>
              <w:rPr>
                <w:rFonts w:ascii="微软雅黑" w:hAnsi="微软雅黑" w:eastAsia="微软雅黑"/>
                <w:color w:val="20262E"/>
                <w:sz w:val="18"/>
              </w:rPr>
              <w:t>risk</w:t>
            </w:r>
          </w:p>
        </w:tc>
        <w:tc>
          <w:tcPr>
            <w:tcW w:w="3900" w:type="dxa"/>
            <w:tcMar>
              <w:top w:w="100" w:type="dxa"/>
              <w:left w:w="120" w:type="dxa"/>
              <w:bottom w:w="100" w:type="dxa"/>
              <w:right w:w="120" w:type="dxa"/>
            </w:tcMar>
            <w:vAlign w:val="center"/>
          </w:tcPr>
          <w:p w14:paraId="6D8245DF">
            <w:pPr>
              <w:spacing w:before="0" w:after="0" w:line="259" w:lineRule="auto"/>
              <w:jc w:val="left"/>
            </w:pPr>
            <w:r>
              <w:rPr>
                <w:rFonts w:ascii="微软雅黑" w:hAnsi="微软雅黑" w:eastAsia="微软雅黑"/>
                <w:color w:val="20262E"/>
                <w:sz w:val="18"/>
              </w:rPr>
              <w:t>区域模型不稳定性与业务后果形成的综合排序值</w:t>
            </w:r>
          </w:p>
        </w:tc>
        <w:tc>
          <w:tcPr>
            <w:tcW w:w="2960" w:type="dxa"/>
            <w:tcMar>
              <w:top w:w="100" w:type="dxa"/>
              <w:left w:w="120" w:type="dxa"/>
              <w:bottom w:w="100" w:type="dxa"/>
              <w:right w:w="120" w:type="dxa"/>
            </w:tcMar>
            <w:vAlign w:val="center"/>
          </w:tcPr>
          <w:p w14:paraId="63DA1F1E">
            <w:pPr>
              <w:spacing w:before="0" w:after="0" w:line="259" w:lineRule="auto"/>
              <w:jc w:val="left"/>
            </w:pPr>
            <w:r>
              <w:rPr>
                <w:rFonts w:ascii="微软雅黑" w:hAnsi="微软雅黑" w:eastAsia="微软雅黑"/>
                <w:color w:val="20262E"/>
                <w:sz w:val="18"/>
              </w:rPr>
              <w:t>不是事故发生概率</w:t>
            </w:r>
          </w:p>
        </w:tc>
      </w:tr>
      <w:tr w14:paraId="421A2EF1">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5B1508B4">
            <w:pPr>
              <w:spacing w:before="0" w:after="0" w:line="259" w:lineRule="auto"/>
              <w:jc w:val="left"/>
            </w:pPr>
            <w:r>
              <w:rPr>
                <w:rFonts w:ascii="微软雅黑" w:hAnsi="微软雅黑" w:eastAsia="微软雅黑"/>
                <w:color w:val="20262E"/>
                <w:sz w:val="18"/>
              </w:rPr>
              <w:t>replay_budget</w:t>
            </w:r>
          </w:p>
        </w:tc>
        <w:tc>
          <w:tcPr>
            <w:tcW w:w="3900" w:type="dxa"/>
            <w:tcMar>
              <w:top w:w="100" w:type="dxa"/>
              <w:left w:w="120" w:type="dxa"/>
              <w:bottom w:w="100" w:type="dxa"/>
              <w:right w:w="120" w:type="dxa"/>
            </w:tcMar>
            <w:vAlign w:val="center"/>
          </w:tcPr>
          <w:p w14:paraId="1C3D3ADB">
            <w:pPr>
              <w:spacing w:before="0" w:after="0" w:line="259" w:lineRule="auto"/>
              <w:jc w:val="left"/>
            </w:pPr>
            <w:r>
              <w:rPr>
                <w:rFonts w:ascii="微软雅黑" w:hAnsi="微软雅黑" w:eastAsia="微软雅黑"/>
                <w:color w:val="20262E"/>
                <w:sz w:val="18"/>
              </w:rPr>
              <w:t>固定总量下的区域预算建议</w:t>
            </w:r>
          </w:p>
        </w:tc>
        <w:tc>
          <w:tcPr>
            <w:tcW w:w="2960" w:type="dxa"/>
            <w:tcMar>
              <w:top w:w="100" w:type="dxa"/>
              <w:left w:w="120" w:type="dxa"/>
              <w:bottom w:w="100" w:type="dxa"/>
              <w:right w:w="120" w:type="dxa"/>
            </w:tcMar>
            <w:vAlign w:val="center"/>
          </w:tcPr>
          <w:p w14:paraId="6FD70DFE">
            <w:pPr>
              <w:spacing w:before="0" w:after="0" w:line="259" w:lineRule="auto"/>
              <w:jc w:val="left"/>
            </w:pPr>
            <w:r>
              <w:rPr>
                <w:rFonts w:ascii="微软雅黑" w:hAnsi="微软雅黑" w:eastAsia="微软雅黑"/>
                <w:color w:val="20262E"/>
                <w:sz w:val="18"/>
              </w:rPr>
              <w:t>不等于训练缓存已自动按此执行</w:t>
            </w:r>
          </w:p>
        </w:tc>
      </w:tr>
      <w:tr w14:paraId="57B0D0C0">
        <w:tblPrEx>
          <w:tblCellMar>
            <w:top w:w="0" w:type="dxa"/>
            <w:left w:w="108" w:type="dxa"/>
            <w:bottom w:w="0" w:type="dxa"/>
            <w:right w:w="108" w:type="dxa"/>
          </w:tblCellMar>
        </w:tblPrEx>
        <w:trPr>
          <w:cantSplit/>
        </w:trPr>
        <w:tc>
          <w:tcPr>
            <w:tcW w:w="2500" w:type="dxa"/>
            <w:tcMar>
              <w:top w:w="100" w:type="dxa"/>
              <w:left w:w="120" w:type="dxa"/>
              <w:bottom w:w="100" w:type="dxa"/>
              <w:right w:w="120" w:type="dxa"/>
            </w:tcMar>
            <w:vAlign w:val="center"/>
          </w:tcPr>
          <w:p w14:paraId="66D79FFA">
            <w:pPr>
              <w:spacing w:before="0" w:after="0" w:line="259" w:lineRule="auto"/>
              <w:jc w:val="left"/>
            </w:pPr>
            <w:r>
              <w:rPr>
                <w:rFonts w:ascii="微软雅黑" w:hAnsi="微软雅黑" w:eastAsia="微软雅黑"/>
                <w:color w:val="20262E"/>
                <w:sz w:val="18"/>
              </w:rPr>
              <w:t>recommended_for_bp</w:t>
            </w:r>
          </w:p>
        </w:tc>
        <w:tc>
          <w:tcPr>
            <w:tcW w:w="3900" w:type="dxa"/>
            <w:tcMar>
              <w:top w:w="100" w:type="dxa"/>
              <w:left w:w="120" w:type="dxa"/>
              <w:bottom w:w="100" w:type="dxa"/>
              <w:right w:w="120" w:type="dxa"/>
            </w:tcMar>
            <w:vAlign w:val="center"/>
          </w:tcPr>
          <w:p w14:paraId="1C82CC40">
            <w:pPr>
              <w:spacing w:before="0" w:after="0" w:line="259" w:lineRule="auto"/>
              <w:jc w:val="left"/>
            </w:pPr>
            <w:r>
              <w:rPr>
                <w:rFonts w:ascii="微软雅黑" w:hAnsi="微软雅黑" w:eastAsia="微软雅黑"/>
                <w:color w:val="20262E"/>
                <w:sz w:val="18"/>
              </w:rPr>
              <w:t>结果是否通过当前自动质量门槛</w:t>
            </w:r>
          </w:p>
        </w:tc>
        <w:tc>
          <w:tcPr>
            <w:tcW w:w="2960" w:type="dxa"/>
            <w:tcMar>
              <w:top w:w="100" w:type="dxa"/>
              <w:left w:w="120" w:type="dxa"/>
              <w:bottom w:w="100" w:type="dxa"/>
              <w:right w:w="120" w:type="dxa"/>
            </w:tcMar>
            <w:vAlign w:val="center"/>
          </w:tcPr>
          <w:p w14:paraId="655EC410">
            <w:pPr>
              <w:spacing w:before="0" w:after="0" w:line="259" w:lineRule="auto"/>
              <w:jc w:val="left"/>
            </w:pPr>
            <w:r>
              <w:rPr>
                <w:rFonts w:ascii="微软雅黑" w:hAnsi="微软雅黑" w:eastAsia="微软雅黑"/>
                <w:color w:val="20262E"/>
                <w:sz w:val="18"/>
              </w:rPr>
              <w:t>仍需人工审核表述和证据边界</w:t>
            </w:r>
          </w:p>
        </w:tc>
      </w:tr>
    </w:tbl>
    <w:p w14:paraId="6E7704CF">
      <w:pPr>
        <w:spacing w:after="40"/>
      </w:pPr>
    </w:p>
    <w:p w14:paraId="014F585C">
      <w:pPr>
        <w:pStyle w:val="3"/>
        <w:keepNext/>
        <w:keepLines/>
      </w:pPr>
      <w:r>
        <w:rPr>
          <w:rFonts w:ascii="微软雅黑" w:hAnsi="微软雅黑" w:eastAsia="微软雅黑"/>
          <w:color w:val="20262E"/>
        </w:rPr>
        <w:t>附录B：证据状态与合法表述</w:t>
      </w:r>
    </w:p>
    <w:tbl>
      <w:tblPr>
        <w:tblStyle w:val="32"/>
        <w:tblW w:w="9360" w:type="dxa"/>
        <w:tblInd w:w="120" w:type="dxa"/>
        <w:tblLayout w:type="fixed"/>
        <w:tblCellMar>
          <w:top w:w="0" w:type="dxa"/>
          <w:left w:w="108" w:type="dxa"/>
          <w:bottom w:w="0" w:type="dxa"/>
          <w:right w:w="108" w:type="dxa"/>
        </w:tblCellMar>
      </w:tblPr>
      <w:tblGrid>
        <w:gridCol w:w="1900"/>
        <w:gridCol w:w="3900"/>
        <w:gridCol w:w="3560"/>
      </w:tblGrid>
      <w:tr w14:paraId="2A51BF09">
        <w:tblPrEx>
          <w:tblCellMar>
            <w:top w:w="0" w:type="dxa"/>
            <w:left w:w="108" w:type="dxa"/>
            <w:bottom w:w="0" w:type="dxa"/>
            <w:right w:w="108" w:type="dxa"/>
          </w:tblCellMar>
        </w:tblPrEx>
        <w:trPr>
          <w:cantSplit/>
          <w:tblHeader/>
        </w:trPr>
        <w:tc>
          <w:tcPr>
            <w:tcW w:w="1900" w:type="dxa"/>
            <w:shd w:val="clear" w:color="auto" w:fill="F2F4F7"/>
            <w:tcMar>
              <w:top w:w="100" w:type="dxa"/>
              <w:left w:w="120" w:type="dxa"/>
              <w:bottom w:w="100" w:type="dxa"/>
              <w:right w:w="120" w:type="dxa"/>
            </w:tcMar>
            <w:vAlign w:val="center"/>
          </w:tcPr>
          <w:p w14:paraId="1E34D878">
            <w:pPr>
              <w:spacing w:after="0"/>
              <w:jc w:val="center"/>
            </w:pPr>
            <w:r>
              <w:rPr>
                <w:rFonts w:ascii="微软雅黑" w:hAnsi="微软雅黑" w:eastAsia="微软雅黑"/>
                <w:b/>
                <w:color w:val="17365D"/>
                <w:sz w:val="18"/>
              </w:rPr>
              <w:t>状态</w:t>
            </w:r>
          </w:p>
        </w:tc>
        <w:tc>
          <w:tcPr>
            <w:tcW w:w="3900" w:type="dxa"/>
            <w:shd w:val="clear" w:color="auto" w:fill="F2F4F7"/>
            <w:tcMar>
              <w:top w:w="100" w:type="dxa"/>
              <w:left w:w="120" w:type="dxa"/>
              <w:bottom w:w="100" w:type="dxa"/>
              <w:right w:w="120" w:type="dxa"/>
            </w:tcMar>
            <w:vAlign w:val="center"/>
          </w:tcPr>
          <w:p w14:paraId="4E231D54">
            <w:pPr>
              <w:spacing w:after="0"/>
              <w:jc w:val="center"/>
            </w:pPr>
            <w:r>
              <w:rPr>
                <w:rFonts w:ascii="微软雅黑" w:hAnsi="微软雅黑" w:eastAsia="微软雅黑"/>
                <w:b/>
                <w:color w:val="17365D"/>
                <w:sz w:val="18"/>
              </w:rPr>
              <w:t>含义</w:t>
            </w:r>
          </w:p>
        </w:tc>
        <w:tc>
          <w:tcPr>
            <w:tcW w:w="3560" w:type="dxa"/>
            <w:shd w:val="clear" w:color="auto" w:fill="F2F4F7"/>
            <w:tcMar>
              <w:top w:w="100" w:type="dxa"/>
              <w:left w:w="120" w:type="dxa"/>
              <w:bottom w:w="100" w:type="dxa"/>
              <w:right w:w="120" w:type="dxa"/>
            </w:tcMar>
            <w:vAlign w:val="center"/>
          </w:tcPr>
          <w:p w14:paraId="2287BDEA">
            <w:pPr>
              <w:spacing w:after="0"/>
              <w:jc w:val="center"/>
            </w:pPr>
            <w:r>
              <w:rPr>
                <w:rFonts w:ascii="微软雅黑" w:hAnsi="微软雅黑" w:eastAsia="微软雅黑"/>
                <w:b/>
                <w:color w:val="17365D"/>
                <w:sz w:val="18"/>
              </w:rPr>
              <w:t>推荐用语</w:t>
            </w:r>
          </w:p>
        </w:tc>
      </w:tr>
      <w:tr w14:paraId="0840ABD0">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50379DEB">
            <w:pPr>
              <w:spacing w:before="0" w:after="0" w:line="259" w:lineRule="auto"/>
              <w:jc w:val="left"/>
            </w:pPr>
            <w:r>
              <w:rPr>
                <w:rFonts w:ascii="微软雅黑" w:hAnsi="微软雅黑" w:eastAsia="微软雅黑"/>
                <w:color w:val="20262E"/>
                <w:sz w:val="18"/>
              </w:rPr>
              <w:t>simulation_only</w:t>
            </w:r>
          </w:p>
        </w:tc>
        <w:tc>
          <w:tcPr>
            <w:tcW w:w="3900" w:type="dxa"/>
            <w:tcMar>
              <w:top w:w="100" w:type="dxa"/>
              <w:left w:w="120" w:type="dxa"/>
              <w:bottom w:w="100" w:type="dxa"/>
              <w:right w:w="120" w:type="dxa"/>
            </w:tcMar>
            <w:vAlign w:val="center"/>
          </w:tcPr>
          <w:p w14:paraId="73B1E12F">
            <w:pPr>
              <w:spacing w:before="0" w:after="0" w:line="259" w:lineRule="auto"/>
              <w:jc w:val="left"/>
            </w:pPr>
            <w:r>
              <w:rPr>
                <w:rFonts w:ascii="微软雅黑" w:hAnsi="微软雅黑" w:eastAsia="微软雅黑"/>
                <w:color w:val="20262E"/>
                <w:sz w:val="18"/>
              </w:rPr>
              <w:t>路线、坐标和指标均为功能仿真</w:t>
            </w:r>
          </w:p>
        </w:tc>
        <w:tc>
          <w:tcPr>
            <w:tcW w:w="3560" w:type="dxa"/>
            <w:tcMar>
              <w:top w:w="100" w:type="dxa"/>
              <w:left w:w="120" w:type="dxa"/>
              <w:bottom w:w="100" w:type="dxa"/>
              <w:right w:w="120" w:type="dxa"/>
            </w:tcMar>
            <w:vAlign w:val="center"/>
          </w:tcPr>
          <w:p w14:paraId="11ED8D51">
            <w:pPr>
              <w:spacing w:before="0" w:after="0" w:line="259" w:lineRule="auto"/>
              <w:jc w:val="left"/>
            </w:pPr>
            <w:r>
              <w:rPr>
                <w:rFonts w:ascii="微软雅黑" w:hAnsi="微软雅黑" w:eastAsia="微软雅黑"/>
                <w:color w:val="20262E"/>
                <w:sz w:val="18"/>
              </w:rPr>
              <w:t>业务闭环原型、交互仿真、概念验证</w:t>
            </w:r>
          </w:p>
        </w:tc>
      </w:tr>
      <w:tr w14:paraId="3F0A5FAB">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2D2C1184">
            <w:pPr>
              <w:spacing w:before="0" w:after="0" w:line="259" w:lineRule="auto"/>
              <w:jc w:val="left"/>
            </w:pPr>
            <w:r>
              <w:rPr>
                <w:rFonts w:ascii="微软雅黑" w:hAnsi="微软雅黑" w:eastAsia="微软雅黑"/>
                <w:color w:val="20262E"/>
                <w:sz w:val="18"/>
              </w:rPr>
              <w:t>position_only</w:t>
            </w:r>
          </w:p>
        </w:tc>
        <w:tc>
          <w:tcPr>
            <w:tcW w:w="3900" w:type="dxa"/>
            <w:tcMar>
              <w:top w:w="100" w:type="dxa"/>
              <w:left w:w="120" w:type="dxa"/>
              <w:bottom w:w="100" w:type="dxa"/>
              <w:right w:w="120" w:type="dxa"/>
            </w:tcMar>
            <w:vAlign w:val="center"/>
          </w:tcPr>
          <w:p w14:paraId="5220BDCC">
            <w:pPr>
              <w:spacing w:before="0" w:after="0" w:line="259" w:lineRule="auto"/>
              <w:jc w:val="left"/>
            </w:pPr>
            <w:r>
              <w:rPr>
                <w:rFonts w:ascii="微软雅黑" w:hAnsi="微软雅黑" w:eastAsia="微软雅黑"/>
                <w:color w:val="20262E"/>
                <w:sz w:val="18"/>
              </w:rPr>
              <w:t>时空元数据链路已处理，但没有模型预测</w:t>
            </w:r>
          </w:p>
        </w:tc>
        <w:tc>
          <w:tcPr>
            <w:tcW w:w="3560" w:type="dxa"/>
            <w:tcMar>
              <w:top w:w="100" w:type="dxa"/>
              <w:left w:w="120" w:type="dxa"/>
              <w:bottom w:w="100" w:type="dxa"/>
              <w:right w:w="120" w:type="dxa"/>
            </w:tcMar>
            <w:vAlign w:val="center"/>
          </w:tcPr>
          <w:p w14:paraId="65B85544">
            <w:pPr>
              <w:spacing w:before="0" w:after="0" w:line="259" w:lineRule="auto"/>
              <w:jc w:val="left"/>
            </w:pPr>
            <w:r>
              <w:rPr>
                <w:rFonts w:ascii="微软雅黑" w:hAnsi="微软雅黑" w:eastAsia="微软雅黑"/>
                <w:color w:val="20262E"/>
                <w:sz w:val="18"/>
              </w:rPr>
              <w:t>时空数据接入和区域索引已跑通</w:t>
            </w:r>
          </w:p>
        </w:tc>
      </w:tr>
      <w:tr w14:paraId="49B49BB7">
        <w:tblPrEx>
          <w:tblCellMar>
            <w:top w:w="0" w:type="dxa"/>
            <w:left w:w="108" w:type="dxa"/>
            <w:bottom w:w="0" w:type="dxa"/>
            <w:right w:w="108" w:type="dxa"/>
          </w:tblCellMar>
        </w:tblPrEx>
        <w:trPr>
          <w:cantSplit/>
        </w:trPr>
        <w:tc>
          <w:tcPr>
            <w:tcW w:w="1900" w:type="dxa"/>
            <w:tcMar>
              <w:top w:w="100" w:type="dxa"/>
              <w:left w:w="120" w:type="dxa"/>
              <w:bottom w:w="100" w:type="dxa"/>
              <w:right w:w="120" w:type="dxa"/>
            </w:tcMar>
            <w:vAlign w:val="center"/>
          </w:tcPr>
          <w:p w14:paraId="69325E05">
            <w:pPr>
              <w:spacing w:before="0" w:after="0" w:line="259" w:lineRule="auto"/>
              <w:jc w:val="left"/>
            </w:pPr>
            <w:r>
              <w:rPr>
                <w:rFonts w:ascii="微软雅黑" w:hAnsi="微软雅黑" w:eastAsia="微软雅黑"/>
                <w:color w:val="20262E"/>
                <w:sz w:val="18"/>
              </w:rPr>
              <w:t>prediction_backed</w:t>
            </w:r>
          </w:p>
        </w:tc>
        <w:tc>
          <w:tcPr>
            <w:tcW w:w="3900" w:type="dxa"/>
            <w:tcMar>
              <w:top w:w="100" w:type="dxa"/>
              <w:left w:w="120" w:type="dxa"/>
              <w:bottom w:w="100" w:type="dxa"/>
              <w:right w:w="120" w:type="dxa"/>
            </w:tcMar>
            <w:vAlign w:val="center"/>
          </w:tcPr>
          <w:p w14:paraId="7A926E81">
            <w:pPr>
              <w:spacing w:before="0" w:after="0" w:line="259" w:lineRule="auto"/>
              <w:jc w:val="left"/>
            </w:pPr>
            <w:r>
              <w:rPr>
                <w:rFonts w:ascii="微软雅黑" w:hAnsi="微软雅黑" w:eastAsia="微软雅黑"/>
                <w:color w:val="20262E"/>
                <w:sz w:val="18"/>
              </w:rPr>
              <w:t>指标来自模型逐样本预测</w:t>
            </w:r>
          </w:p>
        </w:tc>
        <w:tc>
          <w:tcPr>
            <w:tcW w:w="3560" w:type="dxa"/>
            <w:tcMar>
              <w:top w:w="100" w:type="dxa"/>
              <w:left w:w="120" w:type="dxa"/>
              <w:bottom w:w="100" w:type="dxa"/>
              <w:right w:w="120" w:type="dxa"/>
            </w:tcMar>
            <w:vAlign w:val="center"/>
          </w:tcPr>
          <w:p w14:paraId="3037A6F5">
            <w:pPr>
              <w:spacing w:before="0" w:after="0" w:line="259" w:lineRule="auto"/>
              <w:jc w:val="left"/>
            </w:pPr>
            <w:r>
              <w:rPr>
                <w:rFonts w:ascii="微软雅黑" w:hAnsi="微软雅黑" w:eastAsia="微软雅黑"/>
                <w:color w:val="20262E"/>
                <w:sz w:val="18"/>
              </w:rPr>
              <w:t>公开数据实验结果；仍需披露仿真与部署边界</w:t>
            </w:r>
          </w:p>
        </w:tc>
      </w:tr>
    </w:tbl>
    <w:p w14:paraId="0AE997BA">
      <w:pPr>
        <w:spacing w:after="40"/>
      </w:pPr>
    </w:p>
    <w:p w14:paraId="76F02017">
      <w:pPr>
        <w:pStyle w:val="3"/>
        <w:keepNext/>
        <w:keepLines/>
      </w:pPr>
      <w:r>
        <w:rPr>
          <w:rFonts w:ascii="微软雅黑" w:hAnsi="微软雅黑" w:eastAsia="微软雅黑"/>
          <w:color w:val="20262E"/>
        </w:rPr>
        <w:t>附录C：团队提交前检查清单</w:t>
      </w:r>
    </w:p>
    <w:p w14:paraId="619B8C86">
      <w:pPr>
        <w:numPr>
          <w:ilvl w:val="0"/>
          <w:numId w:val="12"/>
        </w:numPr>
        <w:spacing w:after="160" w:line="280" w:lineRule="auto"/>
      </w:pPr>
      <w:r>
        <w:rPr>
          <w:rFonts w:ascii="微软雅黑" w:hAnsi="微软雅黑" w:eastAsia="微软雅黑"/>
          <w:color w:val="20262E"/>
          <w:sz w:val="21"/>
        </w:rPr>
        <w:t>项目分类统一写为“北斗时空信息应用—产业与经济应用—低空经济（无人机巡检）”。</w:t>
      </w:r>
    </w:p>
    <w:p w14:paraId="22ADA07E">
      <w:pPr>
        <w:numPr>
          <w:ilvl w:val="0"/>
          <w:numId w:val="12"/>
        </w:numPr>
        <w:spacing w:after="160" w:line="280" w:lineRule="auto"/>
      </w:pPr>
      <w:r>
        <w:rPr>
          <w:rFonts w:ascii="微软雅黑" w:hAnsi="微软雅黑" w:eastAsia="微软雅黑"/>
          <w:color w:val="20262E"/>
          <w:sz w:val="21"/>
        </w:rPr>
        <w:t>所有结果表明确数据集、类别数、任务数、预算和证据状态。</w:t>
      </w:r>
    </w:p>
    <w:p w14:paraId="60A85CF1">
      <w:pPr>
        <w:numPr>
          <w:ilvl w:val="0"/>
          <w:numId w:val="12"/>
        </w:numPr>
        <w:spacing w:after="160" w:line="280" w:lineRule="auto"/>
      </w:pPr>
      <w:r>
        <w:rPr>
          <w:rFonts w:ascii="微软雅黑" w:hAnsi="微软雅黑" w:eastAsia="微软雅黑"/>
          <w:color w:val="20262E"/>
          <w:sz w:val="21"/>
        </w:rPr>
        <w:t>图像识别与北斗时空诊断采用双路架构，经纬度不被误写成当前分类器直接输入。</w:t>
      </w:r>
    </w:p>
    <w:p w14:paraId="1C98CE0F">
      <w:pPr>
        <w:numPr>
          <w:ilvl w:val="0"/>
          <w:numId w:val="12"/>
        </w:numPr>
        <w:spacing w:after="160" w:line="280" w:lineRule="auto"/>
      </w:pPr>
      <w:r>
        <w:rPr>
          <w:rFonts w:ascii="微软雅黑" w:hAnsi="微软雅黑" w:eastAsia="微软雅黑"/>
          <w:color w:val="20262E"/>
          <w:sz w:val="21"/>
        </w:rPr>
        <w:t>区分预算建议和训练侧真实预算控制，不把规划写成已实现。</w:t>
      </w:r>
    </w:p>
    <w:p w14:paraId="6FD32999">
      <w:pPr>
        <w:numPr>
          <w:ilvl w:val="0"/>
          <w:numId w:val="12"/>
        </w:numPr>
        <w:spacing w:after="160" w:line="280" w:lineRule="auto"/>
      </w:pPr>
      <w:r>
        <w:rPr>
          <w:rFonts w:ascii="微软雅黑" w:hAnsi="微软雅黑" w:eastAsia="微软雅黑"/>
          <w:color w:val="20262E"/>
          <w:sz w:val="21"/>
        </w:rPr>
        <w:t>前端截图保留simulation_only或prediction_backed标识及披露说明。</w:t>
      </w:r>
    </w:p>
    <w:p w14:paraId="4E74AEE0">
      <w:pPr>
        <w:numPr>
          <w:ilvl w:val="0"/>
          <w:numId w:val="12"/>
        </w:numPr>
        <w:spacing w:after="160" w:line="280" w:lineRule="auto"/>
      </w:pPr>
      <w:r>
        <w:rPr>
          <w:rFonts w:ascii="微软雅黑" w:hAnsi="微软雅黑" w:eastAsia="微软雅黑"/>
          <w:color w:val="20262E"/>
          <w:sz w:val="21"/>
        </w:rPr>
        <w:t>共享仓库不包含私有源码、权重、训练日志、服务器账号和原始预测文件。</w:t>
      </w:r>
    </w:p>
    <w:p w14:paraId="677F97A5">
      <w:pPr>
        <w:numPr>
          <w:ilvl w:val="0"/>
          <w:numId w:val="12"/>
        </w:numPr>
        <w:spacing w:after="160" w:line="280" w:lineRule="auto"/>
      </w:pPr>
      <w:r>
        <w:rPr>
          <w:rFonts w:ascii="微软雅黑" w:hAnsi="微软雅黑" w:eastAsia="微软雅黑"/>
          <w:color w:val="20262E"/>
          <w:sz w:val="21"/>
        </w:rPr>
        <w:t>商业与社会效益使用预测和规划措辞，不虚构客户、收入、专利或部署数量。</w:t>
      </w:r>
    </w:p>
    <w:p w14:paraId="47CB5CA5">
      <w:pPr>
        <w:numPr>
          <w:ilvl w:val="0"/>
          <w:numId w:val="12"/>
        </w:numPr>
        <w:spacing w:after="160" w:line="280" w:lineRule="auto"/>
      </w:pPr>
      <w:r>
        <w:rPr>
          <w:rFonts w:ascii="微软雅黑" w:hAnsi="微软雅黑" w:eastAsia="微软雅黑"/>
          <w:color w:val="20262E"/>
          <w:sz w:val="21"/>
        </w:rPr>
        <w:t>答辩人能够解释43.59%、12.11pp和19.23pp分别代表什么。</w:t>
      </w:r>
    </w:p>
    <w:p w14:paraId="06567B58">
      <w:pPr>
        <w:numPr>
          <w:ilvl w:val="0"/>
          <w:numId w:val="12"/>
        </w:numPr>
        <w:spacing w:after="160" w:line="280" w:lineRule="auto"/>
      </w:pPr>
      <w:r>
        <w:rPr>
          <w:rFonts w:ascii="微软雅黑" w:hAnsi="微软雅黑" w:eastAsia="微软雅黑"/>
          <w:color w:val="20262E"/>
          <w:sz w:val="21"/>
        </w:rPr>
        <w:t>所有队员使用同一项目名称、场景、流程和创新点，不各讲一套。</w:t>
      </w:r>
    </w:p>
    <w:tbl>
      <w:tblPr>
        <w:tblStyle w:val="32"/>
        <w:tblW w:w="9360" w:type="dxa"/>
        <w:tblInd w:w="120" w:type="dxa"/>
        <w:tblLayout w:type="fixed"/>
        <w:tblCellMar>
          <w:top w:w="0" w:type="dxa"/>
          <w:left w:w="108" w:type="dxa"/>
          <w:bottom w:w="0" w:type="dxa"/>
          <w:right w:w="108" w:type="dxa"/>
        </w:tblCellMar>
      </w:tblPr>
      <w:tblGrid>
        <w:gridCol w:w="9360"/>
      </w:tblGrid>
      <w:tr w14:paraId="0933D093">
        <w:tblPrEx>
          <w:tblCellMar>
            <w:top w:w="0" w:type="dxa"/>
            <w:left w:w="108" w:type="dxa"/>
            <w:bottom w:w="0" w:type="dxa"/>
            <w:right w:w="108" w:type="dxa"/>
          </w:tblCellMar>
        </w:tblPrEx>
        <w:trPr>
          <w:cantSplit/>
        </w:trPr>
        <w:tc>
          <w:tcPr>
            <w:tcW w:w="9360" w:type="dxa"/>
            <w:shd w:val="clear" w:color="auto" w:fill="FFF4D6"/>
            <w:tcMar>
              <w:top w:w="100" w:type="dxa"/>
              <w:left w:w="120" w:type="dxa"/>
              <w:bottom w:w="100" w:type="dxa"/>
              <w:right w:w="120" w:type="dxa"/>
            </w:tcMar>
            <w:vAlign w:val="center"/>
          </w:tcPr>
          <w:p w14:paraId="18112481">
            <w:pPr>
              <w:spacing w:before="40" w:after="40" w:line="269" w:lineRule="auto"/>
            </w:pPr>
            <w:r>
              <w:rPr>
                <w:rFonts w:ascii="微软雅黑" w:hAnsi="微软雅黑" w:eastAsia="微软雅黑"/>
                <w:b/>
                <w:color w:val="9A6A00"/>
                <w:sz w:val="21"/>
              </w:rPr>
              <w:t xml:space="preserve">结论  </w:t>
            </w:r>
            <w:r>
              <w:rPr>
                <w:rFonts w:ascii="微软雅黑" w:hAnsi="微软雅黑" w:eastAsia="微软雅黑"/>
                <w:color w:val="20262E"/>
                <w:sz w:val="21"/>
              </w:rPr>
              <w:t>当前项目方向成立，北斗关系可以讲清，公开数据结果已具备初赛材料候选价值。下一阶段的关键不是继续堆砌页面，而是用多随机种子、消融和训练侧位置风险预算闭环增强证据，同时逐步把静态展示页升级为可操作的巡检任务原型。</w:t>
            </w:r>
          </w:p>
        </w:tc>
      </w:tr>
    </w:tbl>
    <w:p w14:paraId="0D0AFC8C">
      <w:pPr>
        <w:spacing w:after="40"/>
      </w:pPr>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FC07">
    <w:pPr>
      <w:pStyle w:val="24"/>
      <w:spacing w:after="0"/>
      <w:jc w:val="right"/>
    </w:pPr>
    <w:r>
      <w:rPr>
        <w:rFonts w:ascii="微软雅黑" w:hAnsi="微软雅黑" w:eastAsia="微软雅黑"/>
        <w:color w:val="667085"/>
        <w:sz w:val="17"/>
      </w:rPr>
      <w:t xml:space="preserve">内部沟通与竞赛讲解版  |  </w:t>
    </w:r>
    <w:r>
      <w:rPr>
        <w:rFonts w:ascii="微软雅黑" w:hAnsi="微软雅黑" w:eastAsia="微软雅黑"/>
        <w:color w:val="667085"/>
        <w:sz w:val="18"/>
      </w:rPr>
      <w:fldChar w:fldCharType="begin"/>
    </w:r>
    <w:r>
      <w:rPr>
        <w:rFonts w:ascii="微软雅黑" w:hAnsi="微软雅黑" w:eastAsia="微软雅黑"/>
        <w:color w:val="667085"/>
        <w:sz w:val="18"/>
      </w:rPr>
      <w:instrText xml:space="preserve">PAGE</w:instrText>
    </w:r>
    <w:r>
      <w:rPr>
        <w:rFonts w:ascii="微软雅黑" w:hAnsi="微软雅黑" w:eastAsia="微软雅黑"/>
        <w:color w:val="667085"/>
        <w:sz w:val="18"/>
      </w:rPr>
      <w:fldChar w:fldCharType="separate"/>
    </w:r>
    <w:r>
      <w:rPr>
        <w:rFonts w:ascii="微软雅黑" w:hAnsi="微软雅黑" w:eastAsia="微软雅黑"/>
        <w:color w:val="667085"/>
        <w:sz w:val="18"/>
      </w:rPr>
      <w:t>1</w:t>
    </w:r>
    <w:r>
      <w:rPr>
        <w:rFonts w:ascii="微软雅黑" w:hAnsi="微软雅黑" w:eastAsia="微软雅黑"/>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7245">
    <w:pPr>
      <w:pStyle w:val="25"/>
      <w:spacing w:after="0"/>
      <w:jc w:val="left"/>
    </w:pPr>
    <w:r>
      <w:rPr>
        <w:rFonts w:ascii="微软雅黑" w:hAnsi="微软雅黑" w:eastAsia="微软雅黑"/>
        <w:color w:val="667085"/>
        <w:sz w:val="17"/>
      </w:rPr>
      <w:t>北斗巡知 | 项目完整说明书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00001"/>
    <w:multiLevelType w:val="singleLevel"/>
    <w:tmpl w:val="C1000001"/>
    <w:lvl w:ilvl="0" w:tentative="0">
      <w:start w:val="1"/>
      <w:numFmt w:val="bullet"/>
      <w:lvlText w:val="-"/>
      <w:lvlJc w:val="left"/>
      <w:pPr>
        <w:tabs>
          <w:tab w:val="left" w:pos="720"/>
        </w:tabs>
        <w:spacing w:after="160" w:line="280" w:lineRule="auto"/>
        <w:ind w:left="720" w:hanging="360"/>
      </w:pPr>
      <w:rPr>
        <w:rFonts w:ascii="Arial" w:hAnsi="Arial" w:eastAsia="Arial"/>
      </w:rPr>
    </w:lvl>
  </w:abstractNum>
  <w:abstractNum w:abstractNumId="1">
    <w:nsid w:val="C1000002"/>
    <w:multiLevelType w:val="singleLevel"/>
    <w:tmpl w:val="C1000002"/>
    <w:lvl w:ilvl="0" w:tentative="0">
      <w:start w:val="1"/>
      <w:numFmt w:val="decimal"/>
      <w:lvlText w:val="%1."/>
      <w:lvlJc w:val="left"/>
      <w:pPr>
        <w:tabs>
          <w:tab w:val="left" w:pos="720"/>
        </w:tabs>
        <w:spacing w:after="160" w:line="280" w:lineRule="auto"/>
        <w:ind w:left="720" w:hanging="360"/>
      </w:pPr>
      <w:rPr>
        <w:rFonts w:ascii="微软雅黑" w:hAnsi="微软雅黑" w:eastAsia="微软雅黑"/>
      </w:rPr>
    </w:lvl>
  </w:abstractNum>
  <w:abstractNum w:abstractNumId="2">
    <w:nsid w:val="C1000003"/>
    <w:multiLevelType w:val="singleLevel"/>
    <w:tmpl w:val="C1000003"/>
    <w:lvl w:ilvl="0" w:tentative="0">
      <w:start w:val="1"/>
      <w:numFmt w:val="bullet"/>
      <w:lvlText w:val="-"/>
      <w:lvlJc w:val="left"/>
      <w:pPr>
        <w:tabs>
          <w:tab w:val="left" w:pos="720"/>
        </w:tabs>
        <w:spacing w:after="160" w:line="280" w:lineRule="auto"/>
        <w:ind w:left="720" w:hanging="360"/>
      </w:pPr>
      <w:rPr>
        <w:rFonts w:ascii="Arial" w:hAnsi="Arial" w:eastAsia="Arial"/>
      </w:rPr>
    </w:lvl>
  </w:abstractNum>
  <w:abstractNum w:abstractNumId="3">
    <w:nsid w:val="C1000004"/>
    <w:multiLevelType w:val="singleLevel"/>
    <w:tmpl w:val="C1000004"/>
    <w:lvl w:ilvl="0" w:tentative="0">
      <w:start w:val="1"/>
      <w:numFmt w:val="decimal"/>
      <w:lvlText w:val="%1."/>
      <w:lvlJc w:val="left"/>
      <w:pPr>
        <w:tabs>
          <w:tab w:val="left" w:pos="720"/>
        </w:tabs>
        <w:spacing w:after="160" w:line="280" w:lineRule="auto"/>
        <w:ind w:left="720" w:hanging="360"/>
      </w:pPr>
      <w:rPr>
        <w:rFonts w:ascii="微软雅黑" w:hAnsi="微软雅黑" w:eastAsia="微软雅黑"/>
      </w:rPr>
    </w:lvl>
  </w:abstractNum>
  <w:abstractNum w:abstractNumId="4">
    <w:nsid w:val="C1000005"/>
    <w:multiLevelType w:val="singleLevel"/>
    <w:tmpl w:val="C1000005"/>
    <w:lvl w:ilvl="0" w:tentative="0">
      <w:start w:val="1"/>
      <w:numFmt w:val="bullet"/>
      <w:lvlText w:val="-"/>
      <w:lvlJc w:val="left"/>
      <w:pPr>
        <w:tabs>
          <w:tab w:val="left" w:pos="720"/>
        </w:tabs>
        <w:spacing w:after="160" w:line="280" w:lineRule="auto"/>
        <w:ind w:left="720" w:hanging="360"/>
      </w:pPr>
      <w:rPr>
        <w:rFonts w:ascii="Arial" w:hAnsi="Arial" w:eastAsia="Arial"/>
      </w:rPr>
    </w:lvl>
  </w:abstractNum>
  <w:abstractNum w:abstractNumId="5">
    <w:nsid w:val="C1000006"/>
    <w:multiLevelType w:val="singleLevel"/>
    <w:tmpl w:val="C1000006"/>
    <w:lvl w:ilvl="0" w:tentative="0">
      <w:start w:val="1"/>
      <w:numFmt w:val="bullet"/>
      <w:lvlText w:val="-"/>
      <w:lvlJc w:val="left"/>
      <w:pPr>
        <w:tabs>
          <w:tab w:val="left" w:pos="720"/>
        </w:tabs>
        <w:spacing w:after="160" w:line="280" w:lineRule="auto"/>
        <w:ind w:left="720" w:hanging="360"/>
      </w:pPr>
      <w:rPr>
        <w:rFonts w:ascii="Arial" w:hAnsi="Arial" w:eastAsia="Arial"/>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0"/>
    <w:lvlOverride w:ilvl="0">
      <w:startOverride w:val="1"/>
    </w:lvlOverride>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04C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微软雅黑" w:hAnsi="微软雅黑" w:eastAsia="微软雅黑" w:cstheme="minorBidi"/>
      <w:color w:val="20262E"/>
      <w:sz w:val="21"/>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5862</Words>
  <Characters>6246</Characters>
  <Lines>0</Lines>
  <Paragraphs>0</Paragraphs>
  <TotalTime>2</TotalTime>
  <ScaleCrop>false</ScaleCrop>
  <LinksUpToDate>false</LinksUpToDate>
  <CharactersWithSpaces>6324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基于公开竞赛工程和审核后的公开结果生成。</dc:description>
  <cp:keywords>北斗, 无人机巡检, 类别增量持续学习, 时空风险诊断</cp:keywords>
  <cp:lastModifiedBy>.</cp:lastModifiedBy>
  <dcterms:modified xsi:type="dcterms:W3CDTF">2026-08-05T05:44:57Z</dcterms:modified>
  <dc:subject>北斗时空信息与低空无人机巡检项目团队统一说明</dc:subject>
  <dc:title>北斗巡知项目完整说明书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eyJoZGlkIjoiZTQ4M2JhZjI2MjliZGQxYzJjN2JiY2ExMTM3ZThmZTUiLCJ1c2VySWQiOiIxNjI0MDM3MzA1In0=</vt:lpwstr>
  </property>
  <property fmtid="{D5CDD505-2E9C-101B-9397-08002B2CF9AE}" pid="3" name="KSOProductBuildVer">
    <vt:lpwstr>2052-12.1.0.21171</vt:lpwstr>
  </property>
  <property fmtid="{D5CDD505-2E9C-101B-9397-08002B2CF9AE}" pid="4" name="ICV">
    <vt:lpwstr>652C567F06734EA585C1014395F0B469_12</vt:lpwstr>
  </property>
</Properties>
</file>