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资源置换评估操作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停车券业务：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1.1 </w:t>
      </w:r>
      <w:r>
        <w:rPr>
          <w:rFonts w:eastAsia="等线" w:ascii="Arial" w:cs="Arial" w:hAnsi="Arial"/>
          <w:b w:val="true"/>
          <w:sz w:val="32"/>
        </w:rPr>
        <w:t>信息收集表核对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合作客户主体：承包方时，需关注承包到期时间是否超出合同时间；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是否存在自有小程序/ETC支付渠道：若是，则需要看剔除该渠道收入后的可消耗收入数据；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  <w:shd w:fill="fff67a"/>
        </w:rPr>
        <w:t>依据合作客户主体，联动企查查等或者是ai帮我看其 参保人数是多少人，输出人数给我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781425" cy="36099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1.2 </w:t>
      </w:r>
      <w:r>
        <w:rPr>
          <w:rFonts w:eastAsia="等线" w:ascii="Arial" w:cs="Arial" w:hAnsi="Arial"/>
          <w:b w:val="true"/>
          <w:sz w:val="32"/>
        </w:rPr>
        <w:t>车场数据的复核：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1.2.1 </w:t>
      </w:r>
      <w:r>
        <w:rPr>
          <w:rFonts w:eastAsia="等线" w:ascii="Arial" w:cs="Arial" w:hAnsi="Arial"/>
          <w:b w:val="true"/>
          <w:sz w:val="30"/>
        </w:rPr>
        <w:t>AKE车场</w:t>
      </w:r>
      <w:bookmarkEnd w:id="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则登录智泊云、智汇云后台，查看近一年的临停收入、月票收入、月票类型；如图：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261"/>
        <w:gridCol w:w="1878"/>
        <w:gridCol w:w="2070"/>
        <w:gridCol w:w="2070"/>
      </w:tblGrid>
      <w:tr>
        <w:tc>
          <w:tcPr>
            <w:tcW w:w="2261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临停收入-实收金额-微信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可输出月均值及趋势（下滑说明）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276350" cy="60007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对比测算表：月均临停收入</w:t>
              <w:br/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7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月租收入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可输出月均值及趋势（下滑说明）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038225" cy="48577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对比测算表：月均月租收入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月票类型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取非内部车辆/VIP车辆；即对外的售价，其办理的张数；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162050" cy="542925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对比测算表的：月租价格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临停收入（若有自有小程序/APP/ETC）——用于1.3中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162050" cy="542925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152525" cy="285750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导出明细进行透视（一般会删除第一行）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162050" cy="647700"/>
                  <wp:docPr id="6" name="Drawing 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用【总计-微信小程序（开放平台）-ETC】/总计=可消耗收入占比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color w:val="3370ff"/>
          <w:sz w:val="30"/>
        </w:rPr>
        <w:t xml:space="preserve">1.2.2 </w:t>
      </w:r>
      <w:r>
        <w:rPr>
          <w:rFonts w:eastAsia="等线" w:ascii="Arial" w:cs="Arial" w:hAnsi="Arial"/>
          <w:b w:val="true"/>
          <w:sz w:val="30"/>
        </w:rPr>
        <w:t>非AKE车场——如果以下两个都没有，需要输出给业务进行获取。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color w:val="3370ff"/>
          <w:sz w:val="28"/>
        </w:rPr>
        <w:t xml:space="preserve">1.2.2.1 </w:t>
      </w:r>
      <w:r>
        <w:rPr>
          <w:rFonts w:eastAsia="等线" w:ascii="Arial" w:cs="Arial" w:hAnsi="Arial"/>
          <w:b w:val="true"/>
          <w:sz w:val="28"/>
        </w:rPr>
        <w:t>无提供车场历史的流水数据的情况下：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在广告平台上搜索该车场周边500米内的车场（由近到远）；看其临停等收入数据，与1.2.1一致；</w:t>
      </w:r>
    </w:p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资源置换（新）项目调研反馈表V1.xlsx</w:t>
        </w:r>
      </w:hyperlink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color w:val="3370ff"/>
          <w:sz w:val="28"/>
        </w:rPr>
        <w:t xml:space="preserve">1.2.2.2 </w:t>
      </w:r>
      <w:r>
        <w:rPr>
          <w:rFonts w:eastAsia="等线" w:ascii="Arial" w:cs="Arial" w:hAnsi="Arial"/>
          <w:b w:val="true"/>
          <w:sz w:val="28"/>
        </w:rPr>
        <w:t>提供了车场历史的流水数据</w:t>
      </w:r>
      <w:bookmarkEnd w:id="6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可能是图片、也可能是excel数据，需自行核对数据。——图片是否可以帮我ai分析识别等？excel格式的不统一的情况下是否有好的办法？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1.3 </w:t>
      </w:r>
      <w:r>
        <w:rPr>
          <w:rFonts w:eastAsia="等线" w:ascii="Arial" w:cs="Arial" w:hAnsi="Arial"/>
          <w:b w:val="true"/>
          <w:sz w:val="32"/>
        </w:rPr>
        <w:t>测算表信息核对：</w:t>
      </w:r>
      <w:bookmarkEnd w:id="7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注意事项：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有分期代扣的话，需要输出业务了解分期代扣的额度/月多少。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CRM专项服务费与业务费不会同时共存，若有设备、服务置换金额的填写，则保留CRM专项服务费的值 ；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合同有效年限（月）：需要在1.1的承包期限内；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券消耗年限（月）：需晚于合同有效年限（月）；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车场月租收入、临停收入需要跟1.1的临停月均、月票临停相等（若无涉及置换月票无需填写）；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d83931"/>
          <w:sz w:val="22"/>
          <w:shd w:fill="fff67a"/>
        </w:rPr>
        <w:t>停车券月均消耗额度 是否 ≤ （【总计-微信小程序（开放平台）-ETC】/总计）—可消耗收入占比*车场月均临停收入数据。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计算出毛利率情况（项目整体毛利/停车券总价值），结合实际采买折扣输出 权限范围。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30670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权限范围为：</w:t>
      </w:r>
      <w:r>
        <w:rPr>
          <w:rFonts w:eastAsia="等线" w:ascii="Arial" w:cs="Arial" w:hAnsi="Arial"/>
          <w:b w:val="true"/>
          <w:sz w:val="22"/>
        </w:rPr>
        <w:t>超出总监权限时，请帮我调节测算表，输出可合作方案</w:t>
      </w:r>
      <w:r>
        <w:rPr>
          <w:rFonts w:eastAsia="等线" w:ascii="Arial" w:cs="Arial" w:hAnsi="Arial"/>
          <w:sz w:val="22"/>
        </w:rPr>
        <w:t>。——该评估模式会变，待艾科智泊确定这部分内容可先不做。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4307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车位置换业务：</w:t>
      </w:r>
      <w:bookmarkEnd w:id="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2.1 </w:t>
      </w:r>
      <w:r>
        <w:rPr>
          <w:rFonts w:eastAsia="等线" w:ascii="Arial" w:cs="Arial" w:hAnsi="Arial"/>
          <w:b w:val="true"/>
          <w:sz w:val="32"/>
        </w:rPr>
        <w:t>信息收集表核对</w:t>
      </w:r>
      <w:bookmarkEnd w:id="9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合作客户主体：承包方时，需关注承包到期时间是否超出合同时间；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是否存在自有小程序/ETC支付渠道：若是，则需要看剔除该渠道收入后的可消耗收入数据；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是否允许张贴物料：若不允许，输出业务二次明确沟通；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781425" cy="360997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2.2 </w:t>
      </w:r>
      <w:r>
        <w:rPr>
          <w:rFonts w:eastAsia="等线" w:ascii="Arial" w:cs="Arial" w:hAnsi="Arial"/>
          <w:b w:val="true"/>
          <w:sz w:val="32"/>
        </w:rPr>
        <w:t>车场数据的复核：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color w:val="3370ff"/>
          <w:sz w:val="30"/>
        </w:rPr>
        <w:t xml:space="preserve">2.2.1 </w:t>
      </w:r>
      <w:r>
        <w:rPr>
          <w:rFonts w:eastAsia="等线" w:ascii="Arial" w:cs="Arial" w:hAnsi="Arial"/>
          <w:b w:val="true"/>
          <w:sz w:val="30"/>
        </w:rPr>
        <w:t>AKE车场</w:t>
      </w:r>
      <w:bookmarkEnd w:id="1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则登录智泊云、智汇云后台，查看近一年的临停收入、月票收入、月票类型；如图：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3015"/>
        <w:gridCol w:w="2504"/>
        <w:gridCol w:w="2760"/>
      </w:tblGrid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临停收入-实收金额-微信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可输出月均值及趋势（下滑说明）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762125" cy="828675"/>
                  <wp:docPr id="10" name="Drawing 1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对比测算表：月均临停收入</w:t>
              <w:br/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0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月租收入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可输出月均值及趋势（下滑说明）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28750" cy="676275"/>
                  <wp:docPr id="11" name="Drawing 1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对比测算表：月均月租收入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月票类型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取非内部车辆/VIP车辆；即对外的售价，其办理的张数；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00200" cy="752475"/>
                  <wp:docPr id="12" name="Drawing 1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对比测算表的：月租价格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color w:val="3370ff"/>
          <w:sz w:val="30"/>
        </w:rPr>
        <w:t xml:space="preserve">2.2.2 </w:t>
      </w:r>
      <w:r>
        <w:rPr>
          <w:rFonts w:eastAsia="等线" w:ascii="Arial" w:cs="Arial" w:hAnsi="Arial"/>
          <w:b w:val="true"/>
          <w:sz w:val="30"/>
        </w:rPr>
        <w:t>非AKE车场——如果以下两个都没有，需要输出给业务进行获取。</w:t>
      </w:r>
      <w:bookmarkEnd w:id="1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color w:val="3370ff"/>
          <w:sz w:val="28"/>
        </w:rPr>
        <w:t xml:space="preserve">2.2.2.1 </w:t>
      </w:r>
      <w:r>
        <w:rPr>
          <w:rFonts w:eastAsia="等线" w:ascii="Arial" w:cs="Arial" w:hAnsi="Arial"/>
          <w:b w:val="true"/>
          <w:sz w:val="28"/>
        </w:rPr>
        <w:t>无提供车场历史的流水数据的情况下：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在广告平台上搜索该车场周边500米内的车场（由近到远）；看其临停等收入数据，与1.2.1一致；</w:t>
      </w:r>
    </w:p>
    <w:p>
      <w:pPr>
        <w:spacing w:before="120" w:after="120" w:line="288" w:lineRule="auto"/>
        <w:ind w:left="0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资源置换（新）项目调研反馈表V1.xlsx</w:t>
        </w:r>
      </w:hyperlink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color w:val="3370ff"/>
          <w:sz w:val="28"/>
        </w:rPr>
        <w:t xml:space="preserve">2.2.2.2 </w:t>
      </w:r>
      <w:r>
        <w:rPr>
          <w:rFonts w:eastAsia="等线" w:ascii="Arial" w:cs="Arial" w:hAnsi="Arial"/>
          <w:b w:val="true"/>
          <w:sz w:val="28"/>
        </w:rPr>
        <w:t>提供了车场历史的流水数据</w:t>
      </w:r>
      <w:bookmarkEnd w:id="1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可能是图片、也可能是excel数据，需自行核对数据。——图片是否可以帮我ai分析识别等？excel格式的不统一的情况下是否有好的办法？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color w:val="3370ff"/>
          <w:sz w:val="32"/>
        </w:rPr>
        <w:t xml:space="preserve">2.3 </w:t>
      </w:r>
      <w:r>
        <w:rPr>
          <w:rFonts w:eastAsia="等线" w:ascii="Arial" w:cs="Arial" w:hAnsi="Arial"/>
          <w:b w:val="true"/>
          <w:sz w:val="32"/>
        </w:rPr>
        <w:t>测算信息核对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注意事项：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信息完整度，该填都得填；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设备服务置换金额 若跟 CRM结算价一致 需要与业务确定下是否填错，设备服务置换金额应该为CRM的报价单总金额；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对外办理的月卡费用：艾科车场的月票类型中需要为对外办理的月票的套餐（非VIP商户住户等）。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合同有效年限（月）：需要在1.1的承包期限内；且需要3年及以上。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计算出毛利率，输出对应的业务审核权限内。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8125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权限范围为：</w:t>
      </w:r>
      <w:r>
        <w:rPr>
          <w:rFonts w:eastAsia="等线" w:ascii="Arial" w:cs="Arial" w:hAnsi="Arial"/>
          <w:b w:val="true"/>
          <w:sz w:val="22"/>
        </w:rPr>
        <w:t>超出总监权限时，请帮我调节测算表，输出可合作方案</w:t>
      </w:r>
      <w:r>
        <w:rPr>
          <w:rFonts w:eastAsia="等线" w:ascii="Arial" w:cs="Arial" w:hAnsi="Arial"/>
          <w:sz w:val="22"/>
        </w:rPr>
        <w:t>。——该评估模式会变，待艾科智泊确定这部分内容可先不做。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71675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332851">
    <w:lvl>
      <w:numFmt w:val="bullet"/>
      <w:suff w:val="tab"/>
      <w:lvlText w:val="•"/>
      <w:rPr>
        <w:color w:val="3370ff"/>
      </w:rPr>
    </w:lvl>
  </w:abstractNum>
  <w:abstractNum w:abstractNumId="3332852">
    <w:lvl>
      <w:numFmt w:val="bullet"/>
      <w:suff w:val="tab"/>
      <w:lvlText w:val="￮"/>
      <w:rPr>
        <w:color w:val="3370ff"/>
      </w:rPr>
    </w:lvl>
  </w:abstractNum>
  <w:abstractNum w:abstractNumId="3332853">
    <w:lvl>
      <w:numFmt w:val="bullet"/>
      <w:suff w:val="tab"/>
      <w:lvlText w:val="￮"/>
      <w:rPr>
        <w:color w:val="3370ff"/>
      </w:rPr>
    </w:lvl>
  </w:abstractNum>
  <w:abstractNum w:abstractNumId="3332854">
    <w:lvl>
      <w:numFmt w:val="bullet"/>
      <w:suff w:val="tab"/>
      <w:lvlText w:val="￮"/>
      <w:rPr>
        <w:color w:val="3370ff"/>
      </w:rPr>
    </w:lvl>
  </w:abstractNum>
  <w:abstractNum w:abstractNumId="3332855">
    <w:lvl>
      <w:numFmt w:val="bullet"/>
      <w:suff w:val="tab"/>
      <w:lvlText w:val="￮"/>
      <w:rPr>
        <w:color w:val="3370ff"/>
      </w:rPr>
    </w:lvl>
  </w:abstractNum>
  <w:abstractNum w:abstractNumId="3332856">
    <w:lvl>
      <w:numFmt w:val="bullet"/>
      <w:suff w:val="tab"/>
      <w:lvlText w:val="￮"/>
      <w:rPr>
        <w:color w:val="3370ff"/>
      </w:rPr>
    </w:lvl>
  </w:abstractNum>
  <w:abstractNum w:abstractNumId="3332857">
    <w:lvl>
      <w:numFmt w:val="bullet"/>
      <w:suff w:val="tab"/>
      <w:lvlText w:val="￮"/>
      <w:rPr>
        <w:color w:val="3370ff"/>
      </w:rPr>
    </w:lvl>
  </w:abstractNum>
  <w:abstractNum w:abstractNumId="3332858">
    <w:lvl>
      <w:numFmt w:val="bullet"/>
      <w:suff w:val="tab"/>
      <w:lvlText w:val="￮"/>
      <w:rPr>
        <w:color w:val="3370ff"/>
      </w:rPr>
    </w:lvl>
  </w:abstractNum>
  <w:abstractNum w:abstractNumId="3332859">
    <w:lvl>
      <w:numFmt w:val="bullet"/>
      <w:suff w:val="tab"/>
      <w:lvlText w:val="•"/>
      <w:rPr>
        <w:color w:val="3370ff"/>
      </w:rPr>
    </w:lvl>
  </w:abstractNum>
  <w:abstractNum w:abstractNumId="3332860">
    <w:lvl>
      <w:numFmt w:val="bullet"/>
      <w:suff w:val="tab"/>
      <w:lvlText w:val="•"/>
      <w:rPr>
        <w:color w:val="3370ff"/>
      </w:rPr>
    </w:lvl>
  </w:abstractNum>
  <w:abstractNum w:abstractNumId="3332861">
    <w:lvl>
      <w:numFmt w:val="bullet"/>
      <w:suff w:val="tab"/>
      <w:lvlText w:val="•"/>
      <w:rPr>
        <w:color w:val="3370ff"/>
      </w:rPr>
    </w:lvl>
  </w:abstractNum>
  <w:abstractNum w:abstractNumId="3332862">
    <w:lvl>
      <w:numFmt w:val="bullet"/>
      <w:suff w:val="tab"/>
      <w:lvlText w:val="•"/>
      <w:rPr>
        <w:color w:val="3370ff"/>
      </w:rPr>
    </w:lvl>
  </w:abstractNum>
  <w:abstractNum w:abstractNumId="3332863">
    <w:lvl>
      <w:numFmt w:val="bullet"/>
      <w:suff w:val="tab"/>
      <w:lvlText w:val="•"/>
      <w:rPr>
        <w:color w:val="3370ff"/>
      </w:rPr>
    </w:lvl>
  </w:abstractNum>
  <w:abstractNum w:abstractNumId="3332864">
    <w:lvl>
      <w:numFmt w:val="bullet"/>
      <w:suff w:val="tab"/>
      <w:lvlText w:val="•"/>
      <w:rPr>
        <w:color w:val="3370ff"/>
      </w:rPr>
    </w:lvl>
  </w:abstractNum>
  <w:abstractNum w:abstractNumId="3332865">
    <w:lvl>
      <w:numFmt w:val="bullet"/>
      <w:suff w:val="tab"/>
      <w:lvlText w:val="•"/>
      <w:rPr>
        <w:color w:val="3370ff"/>
      </w:rPr>
    </w:lvl>
  </w:abstractNum>
  <w:abstractNum w:abstractNumId="3332866">
    <w:lvl>
      <w:numFmt w:val="bullet"/>
      <w:suff w:val="tab"/>
      <w:lvlText w:val="•"/>
      <w:rPr>
        <w:color w:val="3370ff"/>
      </w:rPr>
    </w:lvl>
  </w:abstractNum>
  <w:num w:numId="1">
    <w:abstractNumId w:val="3332851"/>
  </w:num>
  <w:num w:numId="2">
    <w:abstractNumId w:val="3332852"/>
  </w:num>
  <w:num w:numId="3">
    <w:abstractNumId w:val="3332853"/>
  </w:num>
  <w:num w:numId="4">
    <w:abstractNumId w:val="3332854"/>
  </w:num>
  <w:num w:numId="5">
    <w:abstractNumId w:val="3332855"/>
  </w:num>
  <w:num w:numId="6">
    <w:abstractNumId w:val="3332856"/>
  </w:num>
  <w:num w:numId="7">
    <w:abstractNumId w:val="3332857"/>
  </w:num>
  <w:num w:numId="8">
    <w:abstractNumId w:val="3332858"/>
  </w:num>
  <w:num w:numId="9">
    <w:abstractNumId w:val="3332859"/>
  </w:num>
  <w:num w:numId="10">
    <w:abstractNumId w:val="3332860"/>
  </w:num>
  <w:num w:numId="11">
    <w:abstractNumId w:val="3332861"/>
  </w:num>
  <w:num w:numId="12">
    <w:abstractNumId w:val="3332862"/>
  </w:num>
  <w:num w:numId="13">
    <w:abstractNumId w:val="3332863"/>
  </w:num>
  <w:num w:numId="14">
    <w:abstractNumId w:val="3332864"/>
  </w:num>
  <w:num w:numId="15">
    <w:abstractNumId w:val="3332865"/>
  </w:num>
  <w:num w:numId="16">
    <w:abstractNumId w:val="333286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https://akeparking.feishu.cn/wiki/NB6qw4Sk1iFjzpktvCvcvR6nnnd?from=from_copylink" TargetMode="External" Type="http://schemas.openxmlformats.org/officeDocument/2006/relationships/hyperlink"/><Relationship Id="rId12" Target="numbering.xml" Type="http://schemas.openxmlformats.org/officeDocument/2006/relationships/numbering"/><Relationship Id="rId13" Target="media/image8.png" Type="http://schemas.openxmlformats.org/officeDocument/2006/relationships/image"/><Relationship Id="rId14" Target="media/image9.png" Type="http://schemas.openxmlformats.org/officeDocument/2006/relationships/image"/><Relationship Id="rId15" Target="https://akeparking.feishu.cn/wiki/NB6qw4Sk1iFjzpktvCvcvR6nnnd?from=from_copylink" TargetMode="External" Type="http://schemas.openxmlformats.org/officeDocument/2006/relationships/hyperlink"/><Relationship Id="rId16" Target="media/image10.png" Type="http://schemas.openxmlformats.org/officeDocument/2006/relationships/image"/><Relationship Id="rId17" Target="media/image11.png" Type="http://schemas.openxmlformats.org/officeDocument/2006/relationships/image"/><Relationship Id="rId18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2026-05-08T15:29:20Z</dcterms:created>
  <dc:creator>Apache POI</dc:creator>
</cp:coreProperties>
</file>