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面向长时空间任务的智能体协同交互机制设计与实现</w:t>
      </w:r>
    </w:p>
    <w:p>
      <w:pPr>
        <w:pStyle w:val="Heading1"/>
      </w:pPr>
      <w:r>
        <w:t>1 引言</w:t>
      </w:r>
    </w:p>
    <w:p>
      <w:pPr>
        <w:pStyle w:val="Heading2"/>
      </w:pPr>
      <w:r>
        <w:t>1.1 研究背景</w:t>
      </w:r>
    </w:p>
    <w:p>
      <w:pPr>
        <w:jc w:val="both"/>
      </w:pPr>
      <w:r>
        <w:t>在由多类无人平台共同执行的持续性任务中，操作员需要通过终端了解设备群正在完成哪些工作，并在目标、环境或执行条件变化时作出调整。设备自主执行和自主接替，使操作员可以围绕任务目标开展监督；与此同时，执行对象、任务分工与空间范围会随过程变化，用户需要把设备状态与整体任务联系起来，才能判断当前安排是否仍符合要求。面向这一工作形态，交互界面承担着任务理解、调整表达和执行反馈之间的衔接作用。</w:t>
      </w:r>
    </w:p>
    <w:p>
      <w:pPr>
        <w:jc w:val="both"/>
      </w:pPr>
      <w:r>
        <w:t>本文所讨论的长时空间任务，是指持续数小时以上、执行对象分布于地理空间的任务。时间维度涉及已有进展、当前执行、后续安排及多次调整之间的关系；空间维度涉及设备位置、任务区域、路径和作用范围。以持续区域巡查为例，某一设备离开当前区域，可能是完成工作后的正常转移，也可能是设备接替引起的分工变化。操作员作出判断所需的信息，既包括设备当前位置，也包括该区域的完成情况、变化前后的任务归属与后续安排。</w:t>
      </w:r>
    </w:p>
    <w:p>
      <w:pPr>
        <w:jc w:val="both"/>
      </w:pPr>
      <w:r>
        <w:t>情境感知理论将动态任务中的状态感知、意义理解和后续状态预测联系起来，为分析操作员需要获取和理解的信息提供了基础[1]。据此，本文将执行理解具体化为对任务事实、目标关系和后续影响的判断，并进一步考察这些判断如何支持用户操作。长时任务背景在此用于界定过程演化与多次参与的条件，人员疲劳或长期警觉性的变化需另行研究。</w:t>
      </w:r>
    </w:p>
    <w:p>
      <w:pPr>
        <w:pStyle w:val="Heading2"/>
      </w:pPr>
      <w:r>
        <w:t>1.2 已有研究与问题提出</w:t>
      </w:r>
    </w:p>
    <w:p>
      <w:pPr>
        <w:jc w:val="both"/>
      </w:pPr>
      <w:r>
        <w:t>空间表达与任务规划的结合已有研究基础。Szafir等面向室内飞行机器人设计了三类交互原型，其中协作界面将三维空间航点与可编辑时间线结合，支持任务顺序调整和人机依赖关系表达，并在其任务条件下改善了用户完成任务及响应变化的表现[2]。该工作说明空间与时间信息可以共同进入用户操作过程，也为本研究提供了可比较的设计方案。其对象与本文的异构设备群监督场景存在差异，已有机制在自主接替和多次任务调整中的适用方式仍需结合业务分析与原型评价确定。</w:t>
      </w:r>
    </w:p>
    <w:p>
      <w:pPr>
        <w:jc w:val="both"/>
      </w:pPr>
      <w:r>
        <w:t>用户需要理解的信息也会随协作情境改变。Senaratne等通过对16名具有人机团队实践经验的参与者开展访谈，提出动态情境感知框架，指出所需情境感知与任务条件、成员角色和能力有关[3]。这一研究为按任务需要组织信息提供了依据，但其访谈发现不能直接作为本文应用现场的需求证据，也不能据此认定某种界面有效。本文据此关注监督、调整与结果核查之间的信息需求变化，并在具体设计中检验信息组织方式。</w:t>
      </w:r>
    </w:p>
    <w:p>
      <w:pPr>
        <w:jc w:val="both"/>
      </w:pPr>
      <w:r>
        <w:t>本文的工程动机来自应用单位尚缺少满足上述协作过程的交互实现。围绕这一建设需求，需要进一步回答：用户查看空间对象时，怎样理解与之相关的任务过程；表达新的空间要求时，怎样明确调整对象、范围和生效条件；系统完成自主调整或接受人工要求后，用户怎样判断实际变化及其影响。现有功能的缺失说明系统建设的必要性，而具体研究贡献仍应通过已有方案比较、设计理由和评价证据加以界定。</w:t>
      </w:r>
    </w:p>
    <w:p>
      <w:pPr>
        <w:pStyle w:val="Heading2"/>
      </w:pPr>
      <w:r>
        <w:t>1.3 研究目标与内容</w:t>
      </w:r>
    </w:p>
    <w:p>
      <w:pPr>
        <w:jc w:val="both"/>
      </w:pPr>
      <w:r>
        <w:t>本文研究的问题是：在长时空间任务持续执行和变化的过程中，如何通过空间交互界面支持用户理解设备群的执行情况、准确表达和实施调整，并判断调整与任务结果是否符合要求。研究聚焦面向用户的交互层，复用设备控制、任务规划及自主接替能力。操作员可在业务权限内否决或修改安排，自主执行过程中能够由系统处理的变化则继续按既有规则运行。</w:t>
      </w:r>
    </w:p>
    <w:p>
      <w:pPr>
        <w:jc w:val="both"/>
      </w:pPr>
      <w:r>
        <w:t>围绕上述问题，本文设置两个目标。一是支持任务过程理解，考察用户对当前状态、关键变化、任务目标和后续安排的判断；二是支持有效介入与结果确认，考察用户能否准确表达调整、在合理条件下介入，并识别要求的实际落实情况。用户体验由理解正确性、对象与范围错误、操作耗时和主观负担等共同反映，评价时分别记录后台执行结果与用户对结果的判断。</w:t>
      </w:r>
    </w:p>
    <w:p>
      <w:pPr>
        <w:jc w:val="both"/>
      </w:pPr>
      <w:r>
        <w:t>研究内容按执行信息组织与呈现、用户与智能体的协同介入、执行衔接与反馈三项机制展开。空间交互是重点探索方向：任务、设备、区域与路径既构成用户理解执行的参照，也构成表达调整和核查结果的操作对象。本文拟通过场景分析形成需求，在原型中实现相互衔接的交互流程，并以功能验证和用户任务评价考察其适用性。交互机制及其实现方法的贡献，将依据实际设计差异与验证结果确定。</w:t>
      </w:r>
    </w:p>
    <w:p>
      <w:pPr>
        <w:pStyle w:val="Heading1"/>
      </w:pPr>
      <w:r>
        <w:t>3 任务场景与需求分析</w:t>
      </w:r>
    </w:p>
    <w:p>
      <w:pPr>
        <w:pStyle w:val="Heading2"/>
      </w:pPr>
      <w:r>
        <w:t>3.1 应用场景与角色职责</w:t>
      </w:r>
    </w:p>
    <w:p>
      <w:pPr>
        <w:jc w:val="both"/>
      </w:pPr>
      <w:r>
        <w:t>研究场景为操作员通过现有终端远程监督异构无人平台班组完成长时空间任务。班组包含空中、地面和四足平台，各类平台由相应执行智能体控制，信息处理、态势分析和任务规划智能体提供支撑。这里的智能体指承担任务执行或协作职责的软件实体；界面按用户的任务需要呈现其相关行为和结果，具体内部实现不改变本章对交互职责的划分。</w:t>
      </w:r>
    </w:p>
    <w:p>
      <w:pPr>
        <w:jc w:val="both"/>
      </w:pPr>
      <w:r>
        <w:t>本研究采用设备群能够自主执行并自主接替的业务前提。操作员负责表达目标与约束、理解任务进展、处理需要人工取舍的事项以及确认结果。设备异常后，系统可以依据既有能力调整任务归属并继续执行，用户随后检查调整是否满足任务要求，并在必要时否决或改派。人工权限、可修改阶段及指令生效方式由业务规则确定，不要求每次接替都先经过人工审批。</w:t>
      </w:r>
    </w:p>
    <w:p>
      <w:pPr>
        <w:jc w:val="both"/>
      </w:pPr>
      <w:r>
        <w:t>下文采用场景推演分析交互需求。班组组成、自主执行形态和操作员监督职责来自当前业务描述；新增区域、自主接替等情节用于具体化用户任务。尚未通过现场观察或日志验证的操作困难，在本章作为待核查的需求假设处理。场景中的平台数量、任务时长、区域规模及接口能力，将在系统实现与实验部分按实际条件说明。</w:t>
      </w:r>
    </w:p>
    <w:p>
      <w:pPr>
        <w:pStyle w:val="Heading2"/>
      </w:pPr>
      <w:r>
        <w:t>3.2 长时空间任务的交互特征</w:t>
      </w:r>
    </w:p>
    <w:p>
      <w:pPr>
        <w:jc w:val="both"/>
      </w:pPr>
      <w:r>
        <w:t>持续执行使同一任务包含多个时间参照。用户查看当前状态时，可能需要知道形成该状态的关键变化；提出新要求时，需要区分已经完成的工作、仍在执行的工作和可以调整的后续安排。例如，“后续增加该区域的复查频次”与“立即重做该区域已完成的检查”涉及相同空间对象，却具有不同的时间范围和执行含义。界面需要使这些区别进入表达与确认过程，并在再次查看时保留相关上下文。</w:t>
      </w:r>
    </w:p>
    <w:p>
      <w:pPr>
        <w:jc w:val="both"/>
      </w:pPr>
      <w:r>
        <w:t>空间对象与执行任务之间也存在可变的对应关系。同一区域可以在不同阶段由不同设备承担，一个设备可以连续参与多个区域的任务。自主接替发生后，任务目标可能保持不变，而设备归属、行进路径或完成顺序发生变化。因此，用户应能够从区域或任务追踪相关执行，也能够从设备状态定位其承担的工作。设计需要核查用户常用的查找入口以及跨对象关联的必要程度。</w:t>
      </w:r>
    </w:p>
    <w:p>
      <w:pPr>
        <w:jc w:val="both"/>
      </w:pPr>
      <w:r>
        <w:t>空间选择具有操作语义。用户圈定地图区域后，可能希望新增任务、限制进入、调整优先级或查看历史，单独的几何范围不足以确定操作含义。区域边界、目标要求、适用对象与生效条件共同决定调整内容。本文将空间交互界定为借助空间对象及其关系完成理解、选择、修改和核查的过程；具体实现可以采用二维地图、对象列表与语言输入的组合，表现维度依据任务需要选择。</w:t>
      </w:r>
    </w:p>
    <w:p>
      <w:pPr>
        <w:jc w:val="both"/>
      </w:pPr>
      <w:r>
        <w:t>多次参与要求交互保持连续。用户可能在一次查看中只确认正常执行，在另一次查看中提出调整，也可能在调整尚未完全落实时再次参与。若每次进入都需重新辨认任务、对象和既有决定，操作成本可能增加。由此提出的设计要求是保留必要的任务关联与调整记录，并让用户区分历史信息、当前事实与后续计划；其具体收益及信息负担需在评价中同时考察。</w:t>
      </w:r>
    </w:p>
    <w:p>
      <w:pPr>
        <w:pStyle w:val="Heading2"/>
      </w:pPr>
      <w:r>
        <w:t>3.3 完整工作过程与协作情境</w:t>
      </w:r>
    </w:p>
    <w:p>
      <w:pPr>
        <w:jc w:val="both"/>
      </w:pPr>
      <w:r>
        <w:t>任务从目标与空间要求的表达开始。操作员确认系统理解的任务范围和约束后，设备群自主开展工作，界面提供进展与关键变化信息。需要补充要求时，操作员主动发起调整；遇到既有权限或约束无法直接处理的取舍时，系统提出征询。调整形成后，用户继续监督执行，并在阶段或任务结束时核查目标完成情况。</w:t>
      </w:r>
    </w:p>
    <w:p>
      <w:pPr>
        <w:jc w:val="both"/>
      </w:pPr>
      <w:r>
        <w:t>为检查交互流程的覆盖性，本文将工作过程归纳为表1所列的六类协作情境。该分类服务于需求分析，不要求任务按固定顺序经过全部情境。正常执行、主动调整与异常恢复可以交叉发生，同一种业务事件也可能涉及多类情境。</w:t>
      </w:r>
    </w:p>
    <w:p>
      <w:pPr>
        <w:pStyle w:val="Caption"/>
        <w:keepNext/>
        <w:spacing w:before="120" w:after="120"/>
        <w:ind w:firstLine="0"/>
        <w:jc w:val="center"/>
      </w:pPr>
      <w:r>
        <w:rPr>
          <w:sz w:val="21"/>
        </w:rPr>
        <w:t>表1 典型协作情境与用户任务</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4535"/>
        <w:gridCol w:w="2778"/>
      </w:tblGrid>
      <w:tr>
        <w:trPr>
          <w:cantSplit/>
          <w:tblHeader/>
        </w:trPr>
        <w:tc>
          <w:tcPr>
            <w:tcW w:type="dxa" w:w="1644"/>
            <w:vAlign w:val="center"/>
            <w:tcMar>
              <w:top w:w="85" w:type="dxa"/>
              <w:bottom w:w="85" w:type="dxa"/>
              <w:left w:w="100" w:type="dxa"/>
              <w:right w:w="100" w:type="dxa"/>
            </w:tcMar>
            <w:shd w:fill="E8EDF2"/>
          </w:tcPr>
          <w:p>
            <w:pPr>
              <w:keepNext/>
              <w:spacing w:after="0" w:line="300" w:lineRule="exact"/>
              <w:ind w:firstLine="0"/>
              <w:jc w:val="center"/>
            </w:pPr>
            <w:r>
              <w:rPr>
                <w:b/>
                <w:sz w:val="20"/>
              </w:rPr>
              <w:t>情境</w:t>
            </w:r>
          </w:p>
        </w:tc>
        <w:tc>
          <w:tcPr>
            <w:tcW w:type="dxa" w:w="4535"/>
            <w:vAlign w:val="center"/>
            <w:tcMar>
              <w:top w:w="85" w:type="dxa"/>
              <w:bottom w:w="85" w:type="dxa"/>
              <w:left w:w="100" w:type="dxa"/>
              <w:right w:w="100" w:type="dxa"/>
            </w:tcMar>
            <w:shd w:fill="E8EDF2"/>
          </w:tcPr>
          <w:p>
            <w:pPr>
              <w:keepNext/>
              <w:spacing w:after="0" w:line="300" w:lineRule="exact"/>
              <w:ind w:firstLine="0"/>
              <w:jc w:val="left"/>
            </w:pPr>
            <w:r>
              <w:rPr>
                <w:b/>
                <w:sz w:val="20"/>
              </w:rPr>
              <w:t>主要用户任务</w:t>
            </w:r>
          </w:p>
        </w:tc>
        <w:tc>
          <w:tcPr>
            <w:tcW w:type="dxa" w:w="2778"/>
            <w:vAlign w:val="center"/>
            <w:tcMar>
              <w:top w:w="85" w:type="dxa"/>
              <w:bottom w:w="85" w:type="dxa"/>
              <w:left w:w="100" w:type="dxa"/>
              <w:right w:w="100" w:type="dxa"/>
            </w:tcMar>
            <w:shd w:fill="E8EDF2"/>
          </w:tcPr>
          <w:p>
            <w:pPr>
              <w:keepNext/>
              <w:spacing w:after="0" w:line="300" w:lineRule="exact"/>
              <w:ind w:firstLine="0"/>
              <w:jc w:val="left"/>
            </w:pPr>
            <w:r>
              <w:rPr>
                <w:b/>
                <w:sz w:val="20"/>
              </w:rPr>
              <w:t>交互结果</w:t>
            </w:r>
          </w:p>
        </w:tc>
      </w:tr>
      <w:tr>
        <w:trPr>
          <w:cantSplit/>
        </w:trPr>
        <w:tc>
          <w:tcPr>
            <w:tcW w:type="dxa" w:w="1644"/>
            <w:vAlign w:val="center"/>
            <w:tcMar>
              <w:top w:w="85" w:type="dxa"/>
              <w:bottom w:w="85" w:type="dxa"/>
              <w:left w:w="100" w:type="dxa"/>
              <w:right w:w="100" w:type="dxa"/>
            </w:tcMar>
          </w:tcPr>
          <w:p>
            <w:pPr>
              <w:keepNext w:val="0"/>
              <w:spacing w:after="0" w:line="300" w:lineRule="exact"/>
              <w:ind w:firstLine="0"/>
              <w:jc w:val="center"/>
            </w:pPr>
            <w:r>
              <w:rPr>
                <w:b w:val="0"/>
                <w:sz w:val="20"/>
              </w:rPr>
              <w:t>S1 目标委托</w:t>
            </w:r>
          </w:p>
        </w:tc>
        <w:tc>
          <w:tcPr>
            <w:tcW w:type="dxa" w:w="4535"/>
            <w:vAlign w:val="center"/>
            <w:tcMar>
              <w:top w:w="85" w:type="dxa"/>
              <w:bottom w:w="85" w:type="dxa"/>
              <w:left w:w="100" w:type="dxa"/>
              <w:right w:w="100" w:type="dxa"/>
            </w:tcMar>
          </w:tcPr>
          <w:p>
            <w:pPr>
              <w:keepNext w:val="0"/>
              <w:spacing w:after="0" w:line="300" w:lineRule="exact"/>
              <w:ind w:firstLine="0"/>
              <w:jc w:val="left"/>
            </w:pPr>
            <w:r>
              <w:rPr>
                <w:b w:val="0"/>
                <w:sz w:val="20"/>
              </w:rPr>
              <w:t>表达任务区域、目标与约束，确认系统理解</w:t>
            </w:r>
          </w:p>
        </w:tc>
        <w:tc>
          <w:tcPr>
            <w:tcW w:type="dxa" w:w="2778"/>
            <w:vAlign w:val="center"/>
            <w:tcMar>
              <w:top w:w="85" w:type="dxa"/>
              <w:bottom w:w="85" w:type="dxa"/>
              <w:left w:w="100" w:type="dxa"/>
              <w:right w:w="100" w:type="dxa"/>
            </w:tcMar>
          </w:tcPr>
          <w:p>
            <w:pPr>
              <w:keepNext w:val="0"/>
              <w:spacing w:after="0" w:line="300" w:lineRule="exact"/>
              <w:ind w:firstLine="0"/>
              <w:jc w:val="left"/>
            </w:pPr>
            <w:r>
              <w:rPr>
                <w:b w:val="0"/>
                <w:sz w:val="20"/>
              </w:rPr>
              <w:t>明确的任务要求</w:t>
            </w:r>
          </w:p>
        </w:tc>
      </w:tr>
      <w:tr>
        <w:trPr>
          <w:cantSplit/>
        </w:trPr>
        <w:tc>
          <w:tcPr>
            <w:tcW w:type="dxa" w:w="1644"/>
            <w:vAlign w:val="center"/>
            <w:tcMar>
              <w:top w:w="85" w:type="dxa"/>
              <w:bottom w:w="85" w:type="dxa"/>
              <w:left w:w="100" w:type="dxa"/>
              <w:right w:w="100" w:type="dxa"/>
            </w:tcMar>
          </w:tcPr>
          <w:p>
            <w:pPr>
              <w:keepNext w:val="0"/>
              <w:spacing w:after="0" w:line="300" w:lineRule="exact"/>
              <w:ind w:firstLine="0"/>
              <w:jc w:val="center"/>
            </w:pPr>
            <w:r>
              <w:rPr>
                <w:b w:val="0"/>
                <w:sz w:val="20"/>
              </w:rPr>
              <w:t>S2 过程监督</w:t>
            </w:r>
          </w:p>
        </w:tc>
        <w:tc>
          <w:tcPr>
            <w:tcW w:type="dxa" w:w="4535"/>
            <w:vAlign w:val="center"/>
            <w:tcMar>
              <w:top w:w="85" w:type="dxa"/>
              <w:bottom w:w="85" w:type="dxa"/>
              <w:left w:w="100" w:type="dxa"/>
              <w:right w:w="100" w:type="dxa"/>
            </w:tcMar>
          </w:tcPr>
          <w:p>
            <w:pPr>
              <w:keepNext w:val="0"/>
              <w:spacing w:after="0" w:line="300" w:lineRule="exact"/>
              <w:ind w:firstLine="0"/>
              <w:jc w:val="left"/>
            </w:pPr>
            <w:r>
              <w:rPr>
                <w:b w:val="0"/>
                <w:sz w:val="20"/>
              </w:rPr>
              <w:t>理解执行状态、重要变化与后续安排</w:t>
            </w:r>
          </w:p>
        </w:tc>
        <w:tc>
          <w:tcPr>
            <w:tcW w:type="dxa" w:w="2778"/>
            <w:vAlign w:val="center"/>
            <w:tcMar>
              <w:top w:w="85" w:type="dxa"/>
              <w:bottom w:w="85" w:type="dxa"/>
              <w:left w:w="100" w:type="dxa"/>
              <w:right w:w="100" w:type="dxa"/>
            </w:tcMar>
          </w:tcPr>
          <w:p>
            <w:pPr>
              <w:keepNext w:val="0"/>
              <w:spacing w:after="0" w:line="300" w:lineRule="exact"/>
              <w:ind w:firstLine="0"/>
              <w:jc w:val="left"/>
            </w:pPr>
            <w:r>
              <w:rPr>
                <w:b w:val="0"/>
                <w:sz w:val="20"/>
              </w:rPr>
              <w:t>继续观察或准备介入</w:t>
            </w:r>
          </w:p>
        </w:tc>
      </w:tr>
      <w:tr>
        <w:trPr>
          <w:cantSplit/>
        </w:trPr>
        <w:tc>
          <w:tcPr>
            <w:tcW w:type="dxa" w:w="1644"/>
            <w:vAlign w:val="center"/>
            <w:tcMar>
              <w:top w:w="85" w:type="dxa"/>
              <w:bottom w:w="85" w:type="dxa"/>
              <w:left w:w="100" w:type="dxa"/>
              <w:right w:w="100" w:type="dxa"/>
            </w:tcMar>
          </w:tcPr>
          <w:p>
            <w:pPr>
              <w:keepNext w:val="0"/>
              <w:spacing w:after="0" w:line="300" w:lineRule="exact"/>
              <w:ind w:firstLine="0"/>
              <w:jc w:val="center"/>
            </w:pPr>
            <w:r>
              <w:rPr>
                <w:b w:val="0"/>
                <w:sz w:val="20"/>
              </w:rPr>
              <w:t>S3 必要征询</w:t>
            </w:r>
          </w:p>
        </w:tc>
        <w:tc>
          <w:tcPr>
            <w:tcW w:type="dxa" w:w="4535"/>
            <w:vAlign w:val="center"/>
            <w:tcMar>
              <w:top w:w="85" w:type="dxa"/>
              <w:bottom w:w="85" w:type="dxa"/>
              <w:left w:w="100" w:type="dxa"/>
              <w:right w:w="100" w:type="dxa"/>
            </w:tcMar>
          </w:tcPr>
          <w:p>
            <w:pPr>
              <w:keepNext w:val="0"/>
              <w:spacing w:after="0" w:line="300" w:lineRule="exact"/>
              <w:ind w:firstLine="0"/>
              <w:jc w:val="left"/>
            </w:pPr>
            <w:r>
              <w:rPr>
                <w:b w:val="0"/>
                <w:sz w:val="20"/>
              </w:rPr>
              <w:t>理解取舍原因，选择、修改或拒绝安排</w:t>
            </w:r>
          </w:p>
        </w:tc>
        <w:tc>
          <w:tcPr>
            <w:tcW w:type="dxa" w:w="2778"/>
            <w:vAlign w:val="center"/>
            <w:tcMar>
              <w:top w:w="85" w:type="dxa"/>
              <w:bottom w:w="85" w:type="dxa"/>
              <w:left w:w="100" w:type="dxa"/>
              <w:right w:w="100" w:type="dxa"/>
            </w:tcMar>
          </w:tcPr>
          <w:p>
            <w:pPr>
              <w:keepNext w:val="0"/>
              <w:spacing w:after="0" w:line="300" w:lineRule="exact"/>
              <w:ind w:firstLine="0"/>
              <w:jc w:val="left"/>
            </w:pPr>
            <w:r>
              <w:rPr>
                <w:b w:val="0"/>
                <w:sz w:val="20"/>
              </w:rPr>
              <w:t>权限内的决定</w:t>
            </w:r>
          </w:p>
        </w:tc>
      </w:tr>
      <w:tr>
        <w:trPr>
          <w:cantSplit/>
        </w:trPr>
        <w:tc>
          <w:tcPr>
            <w:tcW w:type="dxa" w:w="1644"/>
            <w:vAlign w:val="center"/>
            <w:tcMar>
              <w:top w:w="85" w:type="dxa"/>
              <w:bottom w:w="85" w:type="dxa"/>
              <w:left w:w="100" w:type="dxa"/>
              <w:right w:w="100" w:type="dxa"/>
            </w:tcMar>
          </w:tcPr>
          <w:p>
            <w:pPr>
              <w:keepNext w:val="0"/>
              <w:spacing w:after="0" w:line="300" w:lineRule="exact"/>
              <w:ind w:firstLine="0"/>
              <w:jc w:val="center"/>
            </w:pPr>
            <w:r>
              <w:rPr>
                <w:b w:val="0"/>
                <w:sz w:val="20"/>
              </w:rPr>
              <w:t>S4 主动调整</w:t>
            </w:r>
          </w:p>
        </w:tc>
        <w:tc>
          <w:tcPr>
            <w:tcW w:type="dxa" w:w="4535"/>
            <w:vAlign w:val="center"/>
            <w:tcMar>
              <w:top w:w="85" w:type="dxa"/>
              <w:bottom w:w="85" w:type="dxa"/>
              <w:left w:w="100" w:type="dxa"/>
              <w:right w:w="100" w:type="dxa"/>
            </w:tcMar>
          </w:tcPr>
          <w:p>
            <w:pPr>
              <w:keepNext w:val="0"/>
              <w:spacing w:after="0" w:line="300" w:lineRule="exact"/>
              <w:ind w:firstLine="0"/>
              <w:jc w:val="left"/>
            </w:pPr>
            <w:r>
              <w:rPr>
                <w:b w:val="0"/>
                <w:sz w:val="20"/>
              </w:rPr>
              <w:t>指定对象和范围，表达新的任务要求</w:t>
            </w:r>
          </w:p>
        </w:tc>
        <w:tc>
          <w:tcPr>
            <w:tcW w:type="dxa" w:w="2778"/>
            <w:vAlign w:val="center"/>
            <w:tcMar>
              <w:top w:w="85" w:type="dxa"/>
              <w:bottom w:w="85" w:type="dxa"/>
              <w:left w:w="100" w:type="dxa"/>
              <w:right w:w="100" w:type="dxa"/>
            </w:tcMar>
          </w:tcPr>
          <w:p>
            <w:pPr>
              <w:keepNext w:val="0"/>
              <w:spacing w:after="0" w:line="300" w:lineRule="exact"/>
              <w:ind w:firstLine="0"/>
              <w:jc w:val="left"/>
            </w:pPr>
            <w:r>
              <w:rPr>
                <w:b w:val="0"/>
                <w:sz w:val="20"/>
              </w:rPr>
              <w:t>明确的调整要求</w:t>
            </w:r>
          </w:p>
        </w:tc>
      </w:tr>
      <w:tr>
        <w:trPr>
          <w:cantSplit/>
        </w:trPr>
        <w:tc>
          <w:tcPr>
            <w:tcW w:type="dxa" w:w="1644"/>
            <w:vAlign w:val="center"/>
            <w:tcMar>
              <w:top w:w="85" w:type="dxa"/>
              <w:bottom w:w="85" w:type="dxa"/>
              <w:left w:w="100" w:type="dxa"/>
              <w:right w:w="100" w:type="dxa"/>
            </w:tcMar>
          </w:tcPr>
          <w:p>
            <w:pPr>
              <w:keepNext w:val="0"/>
              <w:spacing w:after="0" w:line="300" w:lineRule="exact"/>
              <w:ind w:firstLine="0"/>
              <w:jc w:val="center"/>
            </w:pPr>
            <w:r>
              <w:rPr>
                <w:b w:val="0"/>
                <w:sz w:val="20"/>
              </w:rPr>
              <w:t>S5 异常恢复</w:t>
            </w:r>
          </w:p>
        </w:tc>
        <w:tc>
          <w:tcPr>
            <w:tcW w:type="dxa" w:w="4535"/>
            <w:vAlign w:val="center"/>
            <w:tcMar>
              <w:top w:w="85" w:type="dxa"/>
              <w:bottom w:w="85" w:type="dxa"/>
              <w:left w:w="100" w:type="dxa"/>
              <w:right w:w="100" w:type="dxa"/>
            </w:tcMar>
          </w:tcPr>
          <w:p>
            <w:pPr>
              <w:keepNext w:val="0"/>
              <w:spacing w:after="0" w:line="300" w:lineRule="exact"/>
              <w:ind w:firstLine="0"/>
              <w:jc w:val="left"/>
            </w:pPr>
            <w:r>
              <w:rPr>
                <w:b w:val="0"/>
                <w:sz w:val="20"/>
              </w:rPr>
              <w:t>理解异常及自主处理，判断是否需要进一步调整</w:t>
            </w:r>
          </w:p>
        </w:tc>
        <w:tc>
          <w:tcPr>
            <w:tcW w:type="dxa" w:w="2778"/>
            <w:vAlign w:val="center"/>
            <w:tcMar>
              <w:top w:w="85" w:type="dxa"/>
              <w:bottom w:w="85" w:type="dxa"/>
              <w:left w:w="100" w:type="dxa"/>
              <w:right w:w="100" w:type="dxa"/>
            </w:tcMar>
          </w:tcPr>
          <w:p>
            <w:pPr>
              <w:keepNext w:val="0"/>
              <w:spacing w:after="0" w:line="300" w:lineRule="exact"/>
              <w:ind w:firstLine="0"/>
              <w:jc w:val="left"/>
            </w:pPr>
            <w:r>
              <w:rPr>
                <w:b w:val="0"/>
                <w:sz w:val="20"/>
              </w:rPr>
              <w:t>后续处理或继续执行</w:t>
            </w:r>
          </w:p>
        </w:tc>
      </w:tr>
      <w:tr>
        <w:trPr>
          <w:cantSplit/>
        </w:trPr>
        <w:tc>
          <w:tcPr>
            <w:tcW w:type="dxa" w:w="1644"/>
            <w:vAlign w:val="center"/>
            <w:tcMar>
              <w:top w:w="85" w:type="dxa"/>
              <w:bottom w:w="85" w:type="dxa"/>
              <w:left w:w="100" w:type="dxa"/>
              <w:right w:w="100" w:type="dxa"/>
            </w:tcMar>
          </w:tcPr>
          <w:p>
            <w:pPr>
              <w:keepNext w:val="0"/>
              <w:spacing w:after="0" w:line="300" w:lineRule="exact"/>
              <w:ind w:firstLine="0"/>
              <w:jc w:val="center"/>
            </w:pPr>
            <w:r>
              <w:rPr>
                <w:b w:val="0"/>
                <w:sz w:val="20"/>
              </w:rPr>
              <w:t>S6 结果确认</w:t>
            </w:r>
          </w:p>
        </w:tc>
        <w:tc>
          <w:tcPr>
            <w:tcW w:type="dxa" w:w="4535"/>
            <w:vAlign w:val="center"/>
            <w:tcMar>
              <w:top w:w="85" w:type="dxa"/>
              <w:bottom w:w="85" w:type="dxa"/>
              <w:left w:w="100" w:type="dxa"/>
              <w:right w:w="100" w:type="dxa"/>
            </w:tcMar>
          </w:tcPr>
          <w:p>
            <w:pPr>
              <w:keepNext w:val="0"/>
              <w:spacing w:after="0" w:line="300" w:lineRule="exact"/>
              <w:ind w:firstLine="0"/>
              <w:jc w:val="left"/>
            </w:pPr>
            <w:r>
              <w:rPr>
                <w:b w:val="0"/>
                <w:sz w:val="20"/>
              </w:rPr>
              <w:t>对照目标检查完成情况与未完成项</w:t>
            </w:r>
          </w:p>
        </w:tc>
        <w:tc>
          <w:tcPr>
            <w:tcW w:type="dxa" w:w="2778"/>
            <w:vAlign w:val="center"/>
            <w:tcMar>
              <w:top w:w="85" w:type="dxa"/>
              <w:bottom w:w="85" w:type="dxa"/>
              <w:left w:w="100" w:type="dxa"/>
              <w:right w:w="100" w:type="dxa"/>
            </w:tcMar>
          </w:tcPr>
          <w:p>
            <w:pPr>
              <w:keepNext w:val="0"/>
              <w:spacing w:after="0" w:line="300" w:lineRule="exact"/>
              <w:ind w:firstLine="0"/>
              <w:jc w:val="left"/>
            </w:pPr>
            <w:r>
              <w:rPr>
                <w:b w:val="0"/>
                <w:sz w:val="20"/>
              </w:rPr>
              <w:t>确认结果或继续任务</w:t>
            </w:r>
          </w:p>
        </w:tc>
      </w:tr>
    </w:tbl>
    <w:p>
      <w:pPr>
        <w:spacing w:after="0"/>
      </w:pPr>
    </w:p>
    <w:p>
      <w:pPr>
        <w:pStyle w:val="Heading2"/>
      </w:pPr>
      <w:r>
        <w:t>3.4 重点场景中的交互问题</w:t>
      </w:r>
    </w:p>
    <w:p>
      <w:pPr>
        <w:pStyle w:val="Heading3"/>
      </w:pPr>
      <w:r>
        <w:t>3.4.1 正常执行与过程监督</w:t>
      </w:r>
    </w:p>
    <w:p>
      <w:pPr>
        <w:jc w:val="both"/>
      </w:pPr>
      <w:r>
        <w:t>以持续区域巡查为例，操作员首先需要了解各区域的任务进度、执行设备和后续安排。查看某一区域时，应能判断已完成哪些工作、当前由谁执行以及下一步计划是什么；查看某一设备时，应能定位其所属任务与作用范围。对于按预期完成的自主转移或接替，用户可以继续观察，无须为了结束提示而作出业务确认。该场景用于检查常态理解和查询成本，避免界面只在异常发生后才提供完整上下文。</w:t>
      </w:r>
    </w:p>
    <w:p>
      <w:pPr>
        <w:pStyle w:val="Heading3"/>
      </w:pPr>
      <w:r>
        <w:t>3.4.2 执行中新增区域</w:t>
      </w:r>
    </w:p>
    <w:p>
      <w:pPr>
        <w:jc w:val="both"/>
      </w:pPr>
      <w:r>
        <w:t>任务进行过程中，操作员希望将一处新区域纳入工作范围，并表达“加入该区域的巡查，已完成工作保留，原重点区域的要求继续有效”。这一要求同时包含新增范围、既有任务关系和持续约束。用户需要指定区域边界及具体要求，检查系统理解的范围是否一致，再查看新增任务对原安排的影响。设备选择和任务分配沿用后台能力，界面支持用户围绕区域、目标和约束作出取舍。</w:t>
      </w:r>
    </w:p>
    <w:p>
      <w:pPr>
        <w:jc w:val="both"/>
      </w:pPr>
      <w:r>
        <w:t>此场景的需求假设在于，空间选区与要求表达之间可能存在信息衔接问题：所选范围是否被正确使用，原任务的哪些要求继续保留，新增工作何时进入执行。交互应支持用户在提交前修正误解，并在提交后沿同一区域或任务核查结果。若后台只提供计划变化而缺少完成时间估计，界面应依据实际可得信息说明变化，不补造量化影响。</w:t>
      </w:r>
    </w:p>
    <w:p>
      <w:pPr>
        <w:pStyle w:val="Heading3"/>
      </w:pPr>
      <w:r>
        <w:t>3.4.3 设备异常与自主接替</w:t>
      </w:r>
    </w:p>
    <w:p>
      <w:pPr>
        <w:jc w:val="both"/>
      </w:pPr>
      <w:r>
        <w:t>某设备无法继续承担任务后，系统自主将剩余工作交由其他设备执行。操作员需要理解接替涉及哪些任务和区域，原设备已经完成的工作是否保留，后续路径与任务顺序发生了什么变化，以及这些变化是否影响原目标。研究重点是用户如何理解并判断自主调整后的任务状态，而具体接替方案由既有系统产生。</w:t>
      </w:r>
    </w:p>
    <w:p>
      <w:pPr>
        <w:jc w:val="both"/>
      </w:pPr>
      <w:r>
        <w:t>若调整符合既有要求，合理行为可以是继续观察；若出现任务遗漏、范围变化或不符合约束的安排，操作员可在权限内否决或改派。只有用户确实需要比较可行调整时，界面才呈现对应的任务范围、变化部分和可获得的影响信息。评价应同时包含无需进一步介入和需要介入的情形，以区分准确监督与无必要的重复调整。异常后的信息缺失也应与已确认的执行变化分开表达。</w:t>
      </w:r>
    </w:p>
    <w:p>
      <w:pPr>
        <w:pStyle w:val="Heading2"/>
      </w:pPr>
      <w:r>
        <w:t>3.5 用户交互需求</w:t>
      </w:r>
    </w:p>
    <w:p>
      <w:pPr>
        <w:jc w:val="both"/>
      </w:pPr>
      <w:r>
        <w:t>根据上述任务特征和场景推演，本文提出五项交互需求。它们描述用户需要完成的工作和判断条件，作为后续设计与业务走查的依据；具体困难的发生频率、严重程度及现有界面的支持情况仍需核查。</w:t>
      </w:r>
    </w:p>
    <w:p>
      <w:pPr>
        <w:pStyle w:val="Heading3"/>
      </w:pPr>
      <w:r>
        <w:t>3.5.1 任务进展与空间分布理解</w:t>
      </w:r>
    </w:p>
    <w:p>
      <w:pPr>
        <w:jc w:val="both"/>
      </w:pPr>
      <w:r>
        <w:t>R1要求用户能够识别任务进展及其空间分布，并建立任务、设备、区域与路径之间的对应。其判断对象包括区域工作是否开始或完成、当前执行设备及其任务归属。设计应支持从用户当前关注的对象进入相关任务信息，保持不同入口中的对象含义一致。可通过状态判断、任务与对象匹配以及查找耗时检查这一需求的满足情况。</w:t>
      </w:r>
    </w:p>
    <w:p>
      <w:pPr>
        <w:pStyle w:val="Heading3"/>
      </w:pPr>
      <w:r>
        <w:t>3.5.2 变化过程与后续安排理解</w:t>
      </w:r>
    </w:p>
    <w:p>
      <w:pPr>
        <w:jc w:val="both"/>
      </w:pPr>
      <w:r>
        <w:t>R2要求用户能够理解关键变化及其与当前状态、后续安排的关系。用户应能分辨变化前后的工作范围和执行归属，并在需要时找到相应历史依据。信息呈现需区分已经发生的事实、当前有效的计划和对未来的估计，历史查看需标明时间参照。评价重点是变化遗漏、过程理解和后续影响判断，而非用户记住全部事件的数量。</w:t>
      </w:r>
    </w:p>
    <w:p>
      <w:pPr>
        <w:pStyle w:val="Heading3"/>
      </w:pPr>
      <w:r>
        <w:t>3.5.3 空间调整的准确表达</w:t>
      </w:r>
    </w:p>
    <w:p>
      <w:pPr>
        <w:jc w:val="both"/>
      </w:pPr>
      <w:r>
        <w:t>R3要求用户能够明确指定调整对象、空间范围、任务要求与生效条件。空间选择、对象输入和语言描述之间应保持对应，提交前应能检查并修正系统理解。例如，调整某区域的任务时，用户应能区分对区域内全部工作、某类工作或指定设备的修改。该需求通过对象、范围、约束和时间条件的表达错误及操作完成情况检验。</w:t>
      </w:r>
    </w:p>
    <w:p>
      <w:pPr>
        <w:pStyle w:val="Heading3"/>
      </w:pPr>
      <w:r>
        <w:t>3.5.4 影响理解与介入判断</w:t>
      </w:r>
    </w:p>
    <w:p>
      <w:pPr>
        <w:jc w:val="both"/>
      </w:pPr>
      <w:r>
        <w:t>R4要求用户能够判断自主调整或拟议修改对既有任务的影响，并决定继续观察、修订或否决。影响信息应关联到受影响任务和空间范围，使用户辨明保留、改变和无法调整的部分。存在多个可行安排时，可按相同任务条件比较；信息不足时，应明确判断依据的边界。评价依据业务规则预先定义合理操作集合，分别统计漏介入、误介入与影响判断错误。</w:t>
      </w:r>
    </w:p>
    <w:p>
      <w:pPr>
        <w:pStyle w:val="Heading3"/>
      </w:pPr>
      <w:r>
        <w:t>3.5.5 执行反馈与后续衔接</w:t>
      </w:r>
    </w:p>
    <w:p>
      <w:pPr>
        <w:jc w:val="both"/>
      </w:pPr>
      <w:r>
        <w:t>R5要求用户能够对照已确认要求核查执行反馈，并识别尚未完成或需要再次处理的部分。请求被接收、计划被更新和实际目标达成具有不同含义，应按可获得的业务依据加以区分。多对象调整需保留各对象的落实情况，连续修改产生的反馈应能归属到相应要求。评价时分别记录执行事实与用户判断，以识别错误确认、重复提交或不恰当的后续操作。</w:t>
      </w:r>
    </w:p>
    <w:p>
      <w:pPr>
        <w:pStyle w:val="Heading2"/>
      </w:pPr>
      <w:r>
        <w:t>3.6 需求与机制设计的对应</w:t>
      </w:r>
    </w:p>
    <w:p>
      <w:pPr>
        <w:jc w:val="both"/>
      </w:pPr>
      <w:r>
        <w:t>五项需求由三项相互衔接的机制承担，如表2所示。执行信息组织与呈现机制M1支持过程理解，协同介入机制M2将理解与调整表达连接起来，执行衔接与反馈机制M3支持结果核查并更新后续理解。空间对象及其任务关联贯穿这一过程，具体控件和布局将在机制设计与原型阶段确定。</w:t>
      </w:r>
    </w:p>
    <w:p>
      <w:pPr>
        <w:pStyle w:val="Caption"/>
        <w:keepNext/>
        <w:spacing w:before="120" w:after="120"/>
        <w:ind w:firstLine="0"/>
        <w:jc w:val="center"/>
      </w:pPr>
      <w:r>
        <w:rPr>
          <w:sz w:val="21"/>
        </w:rPr>
        <w:t>表2 需求与机制及评价的对应</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2835"/>
        <w:gridCol w:w="4252"/>
      </w:tblGrid>
      <w:tr>
        <w:trPr>
          <w:cantSplit/>
          <w:tblHeader/>
        </w:trPr>
        <w:tc>
          <w:tcPr>
            <w:tcW w:type="dxa" w:w="1871"/>
            <w:vAlign w:val="center"/>
            <w:tcMar>
              <w:top w:w="85" w:type="dxa"/>
              <w:bottom w:w="85" w:type="dxa"/>
              <w:left w:w="100" w:type="dxa"/>
              <w:right w:w="100" w:type="dxa"/>
            </w:tcMar>
            <w:shd w:fill="E8EDF2"/>
          </w:tcPr>
          <w:p>
            <w:pPr>
              <w:keepNext/>
              <w:spacing w:after="0" w:line="300" w:lineRule="exact"/>
              <w:ind w:firstLine="0"/>
              <w:jc w:val="center"/>
            </w:pPr>
            <w:r>
              <w:rPr>
                <w:b/>
                <w:sz w:val="20"/>
              </w:rPr>
              <w:t>需求</w:t>
            </w:r>
          </w:p>
        </w:tc>
        <w:tc>
          <w:tcPr>
            <w:tcW w:type="dxa" w:w="2835"/>
            <w:vAlign w:val="center"/>
            <w:tcMar>
              <w:top w:w="85" w:type="dxa"/>
              <w:bottom w:w="85" w:type="dxa"/>
              <w:left w:w="100" w:type="dxa"/>
              <w:right w:w="100" w:type="dxa"/>
            </w:tcMar>
            <w:shd w:fill="E8EDF2"/>
          </w:tcPr>
          <w:p>
            <w:pPr>
              <w:keepNext/>
              <w:spacing w:after="0" w:line="300" w:lineRule="exact"/>
              <w:ind w:firstLine="0"/>
              <w:jc w:val="left"/>
            </w:pPr>
            <w:r>
              <w:rPr>
                <w:b/>
                <w:sz w:val="20"/>
              </w:rPr>
              <w:t>主要机制</w:t>
            </w:r>
          </w:p>
        </w:tc>
        <w:tc>
          <w:tcPr>
            <w:tcW w:type="dxa" w:w="4252"/>
            <w:vAlign w:val="center"/>
            <w:tcMar>
              <w:top w:w="85" w:type="dxa"/>
              <w:bottom w:w="85" w:type="dxa"/>
              <w:left w:w="100" w:type="dxa"/>
              <w:right w:w="100" w:type="dxa"/>
            </w:tcMar>
            <w:shd w:fill="E8EDF2"/>
          </w:tcPr>
          <w:p>
            <w:pPr>
              <w:keepNext/>
              <w:spacing w:after="0" w:line="300" w:lineRule="exact"/>
              <w:ind w:firstLine="0"/>
              <w:jc w:val="left"/>
            </w:pPr>
            <w:r>
              <w:rPr>
                <w:b/>
                <w:sz w:val="20"/>
              </w:rPr>
              <w:t>拟观察的表现</w:t>
            </w:r>
          </w:p>
        </w:tc>
      </w:tr>
      <w:tr>
        <w:trPr>
          <w:cantSplit/>
        </w:trPr>
        <w:tc>
          <w:tcPr>
            <w:tcW w:type="dxa" w:w="1871"/>
            <w:vAlign w:val="center"/>
            <w:tcMar>
              <w:top w:w="85" w:type="dxa"/>
              <w:bottom w:w="85" w:type="dxa"/>
              <w:left w:w="100" w:type="dxa"/>
              <w:right w:w="100" w:type="dxa"/>
            </w:tcMar>
          </w:tcPr>
          <w:p>
            <w:pPr>
              <w:keepNext w:val="0"/>
              <w:spacing w:after="0" w:line="300" w:lineRule="exact"/>
              <w:ind w:firstLine="0"/>
              <w:jc w:val="center"/>
            </w:pPr>
            <w:r>
              <w:rPr>
                <w:b w:val="0"/>
                <w:sz w:val="20"/>
              </w:rPr>
              <w:t>R1 进展与分布</w:t>
            </w:r>
          </w:p>
        </w:tc>
        <w:tc>
          <w:tcPr>
            <w:tcW w:type="dxa" w:w="2835"/>
            <w:vAlign w:val="center"/>
            <w:tcMar>
              <w:top w:w="85" w:type="dxa"/>
              <w:bottom w:w="85" w:type="dxa"/>
              <w:left w:w="100" w:type="dxa"/>
              <w:right w:w="100" w:type="dxa"/>
            </w:tcMar>
          </w:tcPr>
          <w:p>
            <w:pPr>
              <w:keepNext w:val="0"/>
              <w:spacing w:after="0" w:line="300" w:lineRule="exact"/>
              <w:ind w:firstLine="0"/>
              <w:jc w:val="left"/>
            </w:pPr>
            <w:r>
              <w:rPr>
                <w:b w:val="0"/>
                <w:sz w:val="20"/>
              </w:rPr>
              <w:t>M1 信息组织与呈现</w:t>
            </w:r>
          </w:p>
        </w:tc>
        <w:tc>
          <w:tcPr>
            <w:tcW w:type="dxa" w:w="4252"/>
            <w:vAlign w:val="center"/>
            <w:tcMar>
              <w:top w:w="85" w:type="dxa"/>
              <w:bottom w:w="85" w:type="dxa"/>
              <w:left w:w="100" w:type="dxa"/>
              <w:right w:w="100" w:type="dxa"/>
            </w:tcMar>
          </w:tcPr>
          <w:p>
            <w:pPr>
              <w:keepNext w:val="0"/>
              <w:spacing w:after="0" w:line="300" w:lineRule="exact"/>
              <w:ind w:firstLine="0"/>
              <w:jc w:val="left"/>
            </w:pPr>
            <w:r>
              <w:rPr>
                <w:b w:val="0"/>
                <w:sz w:val="20"/>
              </w:rPr>
              <w:t>状态判断、对象匹配、查找耗时</w:t>
            </w:r>
          </w:p>
        </w:tc>
      </w:tr>
      <w:tr>
        <w:trPr>
          <w:cantSplit/>
        </w:trPr>
        <w:tc>
          <w:tcPr>
            <w:tcW w:type="dxa" w:w="1871"/>
            <w:vAlign w:val="center"/>
            <w:tcMar>
              <w:top w:w="85" w:type="dxa"/>
              <w:bottom w:w="85" w:type="dxa"/>
              <w:left w:w="100" w:type="dxa"/>
              <w:right w:w="100" w:type="dxa"/>
            </w:tcMar>
          </w:tcPr>
          <w:p>
            <w:pPr>
              <w:keepNext w:val="0"/>
              <w:spacing w:after="0" w:line="300" w:lineRule="exact"/>
              <w:ind w:firstLine="0"/>
              <w:jc w:val="center"/>
            </w:pPr>
            <w:r>
              <w:rPr>
                <w:b w:val="0"/>
                <w:sz w:val="20"/>
              </w:rPr>
              <w:t>R2 变化与后续</w:t>
            </w:r>
          </w:p>
        </w:tc>
        <w:tc>
          <w:tcPr>
            <w:tcW w:type="dxa" w:w="2835"/>
            <w:vAlign w:val="center"/>
            <w:tcMar>
              <w:top w:w="85" w:type="dxa"/>
              <w:bottom w:w="85" w:type="dxa"/>
              <w:left w:w="100" w:type="dxa"/>
              <w:right w:w="100" w:type="dxa"/>
            </w:tcMar>
          </w:tcPr>
          <w:p>
            <w:pPr>
              <w:keepNext w:val="0"/>
              <w:spacing w:after="0" w:line="300" w:lineRule="exact"/>
              <w:ind w:firstLine="0"/>
              <w:jc w:val="left"/>
            </w:pPr>
            <w:r>
              <w:rPr>
                <w:b w:val="0"/>
                <w:sz w:val="20"/>
              </w:rPr>
              <w:t>M1 信息组织与呈现</w:t>
            </w:r>
          </w:p>
        </w:tc>
        <w:tc>
          <w:tcPr>
            <w:tcW w:type="dxa" w:w="4252"/>
            <w:vAlign w:val="center"/>
            <w:tcMar>
              <w:top w:w="85" w:type="dxa"/>
              <w:bottom w:w="85" w:type="dxa"/>
              <w:left w:w="100" w:type="dxa"/>
              <w:right w:w="100" w:type="dxa"/>
            </w:tcMar>
          </w:tcPr>
          <w:p>
            <w:pPr>
              <w:keepNext w:val="0"/>
              <w:spacing w:after="0" w:line="300" w:lineRule="exact"/>
              <w:ind w:firstLine="0"/>
              <w:jc w:val="left"/>
            </w:pPr>
            <w:r>
              <w:rPr>
                <w:b w:val="0"/>
                <w:sz w:val="20"/>
              </w:rPr>
              <w:t>变化遗漏、过程与影响判断</w:t>
            </w:r>
          </w:p>
        </w:tc>
      </w:tr>
      <w:tr>
        <w:trPr>
          <w:cantSplit/>
        </w:trPr>
        <w:tc>
          <w:tcPr>
            <w:tcW w:type="dxa" w:w="1871"/>
            <w:vAlign w:val="center"/>
            <w:tcMar>
              <w:top w:w="85" w:type="dxa"/>
              <w:bottom w:w="85" w:type="dxa"/>
              <w:left w:w="100" w:type="dxa"/>
              <w:right w:w="100" w:type="dxa"/>
            </w:tcMar>
          </w:tcPr>
          <w:p>
            <w:pPr>
              <w:keepNext w:val="0"/>
              <w:spacing w:after="0" w:line="300" w:lineRule="exact"/>
              <w:ind w:firstLine="0"/>
              <w:jc w:val="center"/>
            </w:pPr>
            <w:r>
              <w:rPr>
                <w:b w:val="0"/>
                <w:sz w:val="20"/>
              </w:rPr>
              <w:t>R3 调整表达</w:t>
            </w:r>
          </w:p>
        </w:tc>
        <w:tc>
          <w:tcPr>
            <w:tcW w:type="dxa" w:w="2835"/>
            <w:vAlign w:val="center"/>
            <w:tcMar>
              <w:top w:w="85" w:type="dxa"/>
              <w:bottom w:w="85" w:type="dxa"/>
              <w:left w:w="100" w:type="dxa"/>
              <w:right w:w="100" w:type="dxa"/>
            </w:tcMar>
          </w:tcPr>
          <w:p>
            <w:pPr>
              <w:keepNext w:val="0"/>
              <w:spacing w:after="0" w:line="300" w:lineRule="exact"/>
              <w:ind w:firstLine="0"/>
              <w:jc w:val="left"/>
            </w:pPr>
            <w:r>
              <w:rPr>
                <w:b w:val="0"/>
                <w:sz w:val="20"/>
              </w:rPr>
              <w:t>M2 协同介入</w:t>
            </w:r>
          </w:p>
        </w:tc>
        <w:tc>
          <w:tcPr>
            <w:tcW w:type="dxa" w:w="4252"/>
            <w:vAlign w:val="center"/>
            <w:tcMar>
              <w:top w:w="85" w:type="dxa"/>
              <w:bottom w:w="85" w:type="dxa"/>
              <w:left w:w="100" w:type="dxa"/>
              <w:right w:w="100" w:type="dxa"/>
            </w:tcMar>
          </w:tcPr>
          <w:p>
            <w:pPr>
              <w:keepNext w:val="0"/>
              <w:spacing w:after="0" w:line="300" w:lineRule="exact"/>
              <w:ind w:firstLine="0"/>
              <w:jc w:val="left"/>
            </w:pPr>
            <w:r>
              <w:rPr>
                <w:b w:val="0"/>
                <w:sz w:val="20"/>
              </w:rPr>
              <w:t>对象、范围、约束与时间条件错误</w:t>
            </w:r>
          </w:p>
        </w:tc>
      </w:tr>
      <w:tr>
        <w:trPr>
          <w:cantSplit/>
        </w:trPr>
        <w:tc>
          <w:tcPr>
            <w:tcW w:type="dxa" w:w="1871"/>
            <w:vAlign w:val="center"/>
            <w:tcMar>
              <w:top w:w="85" w:type="dxa"/>
              <w:bottom w:w="85" w:type="dxa"/>
              <w:left w:w="100" w:type="dxa"/>
              <w:right w:w="100" w:type="dxa"/>
            </w:tcMar>
          </w:tcPr>
          <w:p>
            <w:pPr>
              <w:keepNext w:val="0"/>
              <w:spacing w:after="0" w:line="300" w:lineRule="exact"/>
              <w:ind w:firstLine="0"/>
              <w:jc w:val="center"/>
            </w:pPr>
            <w:r>
              <w:rPr>
                <w:b w:val="0"/>
                <w:sz w:val="20"/>
              </w:rPr>
              <w:t>R4 影响与介入</w:t>
            </w:r>
          </w:p>
        </w:tc>
        <w:tc>
          <w:tcPr>
            <w:tcW w:type="dxa" w:w="2835"/>
            <w:vAlign w:val="center"/>
            <w:tcMar>
              <w:top w:w="85" w:type="dxa"/>
              <w:bottom w:w="85" w:type="dxa"/>
              <w:left w:w="100" w:type="dxa"/>
              <w:right w:w="100" w:type="dxa"/>
            </w:tcMar>
          </w:tcPr>
          <w:p>
            <w:pPr>
              <w:keepNext w:val="0"/>
              <w:spacing w:after="0" w:line="300" w:lineRule="exact"/>
              <w:ind w:firstLine="0"/>
              <w:jc w:val="left"/>
            </w:pPr>
            <w:r>
              <w:rPr>
                <w:b w:val="0"/>
                <w:sz w:val="20"/>
              </w:rPr>
              <w:t>M1与M2共同支持</w:t>
            </w:r>
          </w:p>
        </w:tc>
        <w:tc>
          <w:tcPr>
            <w:tcW w:type="dxa" w:w="4252"/>
            <w:vAlign w:val="center"/>
            <w:tcMar>
              <w:top w:w="85" w:type="dxa"/>
              <w:bottom w:w="85" w:type="dxa"/>
              <w:left w:w="100" w:type="dxa"/>
              <w:right w:w="100" w:type="dxa"/>
            </w:tcMar>
          </w:tcPr>
          <w:p>
            <w:pPr>
              <w:keepNext w:val="0"/>
              <w:spacing w:after="0" w:line="300" w:lineRule="exact"/>
              <w:ind w:firstLine="0"/>
              <w:jc w:val="left"/>
            </w:pPr>
            <w:r>
              <w:rPr>
                <w:b w:val="0"/>
                <w:sz w:val="20"/>
              </w:rPr>
              <w:t>影响判断、漏介入与误介入</w:t>
            </w:r>
          </w:p>
        </w:tc>
      </w:tr>
      <w:tr>
        <w:trPr>
          <w:cantSplit/>
        </w:trPr>
        <w:tc>
          <w:tcPr>
            <w:tcW w:type="dxa" w:w="1871"/>
            <w:vAlign w:val="center"/>
            <w:tcMar>
              <w:top w:w="85" w:type="dxa"/>
              <w:bottom w:w="85" w:type="dxa"/>
              <w:left w:w="100" w:type="dxa"/>
              <w:right w:w="100" w:type="dxa"/>
            </w:tcMar>
          </w:tcPr>
          <w:p>
            <w:pPr>
              <w:keepNext w:val="0"/>
              <w:spacing w:after="0" w:line="300" w:lineRule="exact"/>
              <w:ind w:firstLine="0"/>
              <w:jc w:val="center"/>
            </w:pPr>
            <w:r>
              <w:rPr>
                <w:b w:val="0"/>
                <w:sz w:val="20"/>
              </w:rPr>
              <w:t>R5 落实与衔接</w:t>
            </w:r>
          </w:p>
        </w:tc>
        <w:tc>
          <w:tcPr>
            <w:tcW w:type="dxa" w:w="2835"/>
            <w:vAlign w:val="center"/>
            <w:tcMar>
              <w:top w:w="85" w:type="dxa"/>
              <w:bottom w:w="85" w:type="dxa"/>
              <w:left w:w="100" w:type="dxa"/>
              <w:right w:w="100" w:type="dxa"/>
            </w:tcMar>
          </w:tcPr>
          <w:p>
            <w:pPr>
              <w:keepNext w:val="0"/>
              <w:spacing w:after="0" w:line="300" w:lineRule="exact"/>
              <w:ind w:firstLine="0"/>
              <w:jc w:val="left"/>
            </w:pPr>
            <w:r>
              <w:rPr>
                <w:b w:val="0"/>
                <w:sz w:val="20"/>
              </w:rPr>
              <w:t>M3 执行衔接与反馈</w:t>
            </w:r>
          </w:p>
        </w:tc>
        <w:tc>
          <w:tcPr>
            <w:tcW w:type="dxa" w:w="4252"/>
            <w:vAlign w:val="center"/>
            <w:tcMar>
              <w:top w:w="85" w:type="dxa"/>
              <w:bottom w:w="85" w:type="dxa"/>
              <w:left w:w="100" w:type="dxa"/>
              <w:right w:w="100" w:type="dxa"/>
            </w:tcMar>
          </w:tcPr>
          <w:p>
            <w:pPr>
              <w:keepNext w:val="0"/>
              <w:spacing w:after="0" w:line="300" w:lineRule="exact"/>
              <w:ind w:firstLine="0"/>
              <w:jc w:val="left"/>
            </w:pPr>
            <w:r>
              <w:rPr>
                <w:b w:val="0"/>
                <w:sz w:val="20"/>
              </w:rPr>
              <w:t>落实判断、错误确认与后续操作</w:t>
            </w:r>
          </w:p>
        </w:tc>
      </w:tr>
    </w:tbl>
    <w:p>
      <w:pPr>
        <w:spacing w:after="0"/>
      </w:pPr>
    </w:p>
    <w:p>
      <w:pPr>
        <w:jc w:val="both"/>
      </w:pPr>
      <w:r>
        <w:t>后续评价拟在相同任务事实、后台能力、基本操作和必要反馈条件下，比较合理常规方案与本文交互方案。整体对照用于回答任务理解与有效介入两个研究目标；若进一步选定某项空间交互机制，则通过针对性比较检验其增量作用。支撑交互的实现方法可另行检验响应、状态关联和恢复表现，并说明这些技术结果与用户任务的联系。</w:t>
      </w:r>
    </w:p>
    <w:p>
      <w:pPr>
        <w:jc w:val="both"/>
      </w:pPr>
      <w:r>
        <w:t>需求核查优先落实目标用户的职责边界、空间对象及任务数据的可得性、允许调整的范围与生效条件，以及两个重点场景中的合理处理方式。业务走查据此修订需求和案例，原型评价再检查设计是否改善理解与操作。系统持续运行、短时人员任务和人员长期监督分别报告，以保持研究结论与实际证据范围一致。</w:t>
      </w:r>
    </w:p>
    <w:p>
      <w:pPr>
        <w:pStyle w:val="Heading1"/>
      </w:pPr>
      <w:r>
        <w:t>参考文献</w:t>
      </w:r>
    </w:p>
    <w:p>
      <w:pPr>
        <w:keepLines/>
        <w:spacing w:line="320" w:lineRule="exact" w:after="120"/>
        <w:ind w:hanging="360" w:left="360"/>
      </w:pPr>
      <w:r>
        <w:rPr>
          <w:sz w:val="21"/>
        </w:rPr>
        <w:t>[1] Endsley M R. Toward a Theory of Situation Awareness in Dynamic Systems[J]. Human Factors, 1995, 37(1): 32–64. https://doi.org/10.1518/001872095779049543</w:t>
      </w:r>
    </w:p>
    <w:p>
      <w:pPr>
        <w:keepLines/>
        <w:spacing w:line="320" w:lineRule="exact" w:after="120"/>
        <w:ind w:hanging="360" w:left="360"/>
      </w:pPr>
      <w:r>
        <w:rPr>
          <w:sz w:val="21"/>
        </w:rPr>
        <w:t>[2] Szafir D, Mutlu B, Fong T. Designing planning and control interfaces to support user collaboration with flying robots[J]. The International Journal of Robotics Research, 2017, 36(5–7): 514–542. https://doi.org/10.1177/0278364916688256</w:t>
      </w:r>
    </w:p>
    <w:p>
      <w:pPr>
        <w:keepLines/>
        <w:spacing w:line="320" w:lineRule="exact" w:after="120"/>
        <w:ind w:hanging="360" w:left="360"/>
      </w:pPr>
      <w:r>
        <w:rPr>
          <w:sz w:val="21"/>
        </w:rPr>
        <w:t>[3] Senaratne H, Tian L, Sikka P, et al. A Framework for Dynamic Situational Awareness in Human Robot Teams: An Interview Study[EB/OL]. arXiv:2501.08507v1, 2025[2026-09-13]. https://arxiv.org/html/2501.08507v1</w:t>
      </w:r>
    </w:p>
    <w:sectPr w:rsidR="00FC693F" w:rsidRPr="0006063C" w:rsidSect="00034616">
      <w:footerReference w:type="default" r:id="rId9"/>
      <w:pgSz w:w="11906" w:h="16838"/>
      <w:pgMar w:top="1361" w:right="1474" w:bottom="1304" w:left="1474" w:header="720"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sz w:val="20"/>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00" w:lineRule="exact" w:after="6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60" w:line="288" w:lineRule="auto"/>
      <w:ind w:firstLine="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line="288" w:lineRule="auto"/>
      <w:ind w:firstLine="0"/>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line="288" w:lineRule="auto"/>
      <w:ind w:firstLine="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320" w:line="288" w:lineRule="auto" w:before="0"/>
      <w:ind w:firstLine="0"/>
      <w:contextualSpacing/>
    </w:pPr>
    <w:rPr>
      <w:rFonts w:asciiTheme="majorHAnsi" w:eastAsiaTheme="majorEastAsia" w:hAnsiTheme="majorHAnsi" w:cstheme="majorBidi" w:ascii="Times New Roman" w:hAnsi="Times New Roman" w:eastAsia="黑体"/>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pPr>
    <w:rPr>
      <w:rFonts w:ascii="Times New Roman" w:hAnsi="Times New Roman" w:eastAsia="宋体"/>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面向长时空间任务的智能体协同交互机制设计与实现</dc:title>
  <dc:subject>引言与任务场景及需求分析</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