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658531829"/>
        <w:docPartObj>
          <w:docPartGallery w:val="Table of Contents"/>
          <w:docPartUnique/>
        </w:docPartObj>
      </w:sdtPr>
      <w:sdtEndPr/>
      <w:sdtContent>
        <w:p w:rsidR="0032255D" w:rsidRDefault="0032255D">
          <w:pPr>
            <w:pStyle w:val="TOC"/>
          </w:pPr>
          <w:r>
            <w:rPr>
              <w:lang w:val="zh-CN"/>
            </w:rPr>
            <w:t>目录</w:t>
          </w:r>
        </w:p>
        <w:p w:rsidR="0032255D" w:rsidRDefault="0032255D">
          <w:pPr>
            <w:pStyle w:val="10"/>
            <w:tabs>
              <w:tab w:val="right" w:leader="dot" w:pos="8296"/>
            </w:tabs>
            <w:rPr>
              <w:noProof/>
            </w:rPr>
          </w:pPr>
          <w:r>
            <w:fldChar w:fldCharType="begin"/>
          </w:r>
          <w:r>
            <w:instrText xml:space="preserve"> TOC \o "1-3" \h \z \u </w:instrText>
          </w:r>
          <w:r>
            <w:fldChar w:fldCharType="separate"/>
          </w:r>
          <w:hyperlink w:anchor="_Toc432583979" w:history="1">
            <w:r w:rsidRPr="00875692">
              <w:rPr>
                <w:rStyle w:val="a7"/>
                <w:rFonts w:hint="eastAsia"/>
                <w:noProof/>
              </w:rPr>
              <w:t>摘要</w:t>
            </w:r>
            <w:r>
              <w:rPr>
                <w:noProof/>
                <w:webHidden/>
              </w:rPr>
              <w:tab/>
            </w:r>
            <w:r>
              <w:rPr>
                <w:noProof/>
                <w:webHidden/>
              </w:rPr>
              <w:fldChar w:fldCharType="begin"/>
            </w:r>
            <w:r>
              <w:rPr>
                <w:noProof/>
                <w:webHidden/>
              </w:rPr>
              <w:instrText xml:space="preserve"> PAGEREF _Toc432583979 \h </w:instrText>
            </w:r>
            <w:r>
              <w:rPr>
                <w:noProof/>
                <w:webHidden/>
              </w:rPr>
            </w:r>
            <w:r>
              <w:rPr>
                <w:noProof/>
                <w:webHidden/>
              </w:rPr>
              <w:fldChar w:fldCharType="separate"/>
            </w:r>
            <w:r>
              <w:rPr>
                <w:noProof/>
                <w:webHidden/>
              </w:rPr>
              <w:t>2</w:t>
            </w:r>
            <w:r>
              <w:rPr>
                <w:noProof/>
                <w:webHidden/>
              </w:rPr>
              <w:fldChar w:fldCharType="end"/>
            </w:r>
          </w:hyperlink>
        </w:p>
        <w:p w:rsidR="0032255D" w:rsidRDefault="00A81864">
          <w:pPr>
            <w:pStyle w:val="10"/>
            <w:tabs>
              <w:tab w:val="right" w:leader="dot" w:pos="8296"/>
            </w:tabs>
            <w:rPr>
              <w:noProof/>
            </w:rPr>
          </w:pPr>
          <w:hyperlink w:anchor="_Toc432583980" w:history="1">
            <w:r w:rsidR="0032255D" w:rsidRPr="00875692">
              <w:rPr>
                <w:rStyle w:val="a7"/>
                <w:noProof/>
              </w:rPr>
              <w:t>Alpha</w:t>
            </w:r>
            <w:r w:rsidR="0032255D" w:rsidRPr="00875692">
              <w:rPr>
                <w:rStyle w:val="a7"/>
                <w:rFonts w:hint="eastAsia"/>
                <w:noProof/>
              </w:rPr>
              <w:t>来源概述</w:t>
            </w:r>
            <w:r w:rsidR="0032255D">
              <w:rPr>
                <w:noProof/>
                <w:webHidden/>
              </w:rPr>
              <w:tab/>
            </w:r>
            <w:r w:rsidR="0032255D">
              <w:rPr>
                <w:noProof/>
                <w:webHidden/>
              </w:rPr>
              <w:fldChar w:fldCharType="begin"/>
            </w:r>
            <w:r w:rsidR="0032255D">
              <w:rPr>
                <w:noProof/>
                <w:webHidden/>
              </w:rPr>
              <w:instrText xml:space="preserve"> PAGEREF _Toc432583980 \h </w:instrText>
            </w:r>
            <w:r w:rsidR="0032255D">
              <w:rPr>
                <w:noProof/>
                <w:webHidden/>
              </w:rPr>
            </w:r>
            <w:r w:rsidR="0032255D">
              <w:rPr>
                <w:noProof/>
                <w:webHidden/>
              </w:rPr>
              <w:fldChar w:fldCharType="separate"/>
            </w:r>
            <w:r w:rsidR="0032255D">
              <w:rPr>
                <w:noProof/>
                <w:webHidden/>
              </w:rPr>
              <w:t>2</w:t>
            </w:r>
            <w:r w:rsidR="0032255D">
              <w:rPr>
                <w:noProof/>
                <w:webHidden/>
              </w:rPr>
              <w:fldChar w:fldCharType="end"/>
            </w:r>
          </w:hyperlink>
        </w:p>
        <w:p w:rsidR="0032255D" w:rsidRDefault="00A81864">
          <w:pPr>
            <w:pStyle w:val="10"/>
            <w:tabs>
              <w:tab w:val="right" w:leader="dot" w:pos="8296"/>
            </w:tabs>
            <w:rPr>
              <w:noProof/>
            </w:rPr>
          </w:pPr>
          <w:hyperlink w:anchor="_Toc432583981" w:history="1">
            <w:r w:rsidR="0032255D" w:rsidRPr="00875692">
              <w:rPr>
                <w:rStyle w:val="a7"/>
                <w:rFonts w:hint="eastAsia"/>
                <w:noProof/>
              </w:rPr>
              <w:t>多因子框架概述</w:t>
            </w:r>
            <w:r w:rsidR="0032255D">
              <w:rPr>
                <w:noProof/>
                <w:webHidden/>
              </w:rPr>
              <w:tab/>
            </w:r>
            <w:r w:rsidR="0032255D">
              <w:rPr>
                <w:noProof/>
                <w:webHidden/>
              </w:rPr>
              <w:fldChar w:fldCharType="begin"/>
            </w:r>
            <w:r w:rsidR="0032255D">
              <w:rPr>
                <w:noProof/>
                <w:webHidden/>
              </w:rPr>
              <w:instrText xml:space="preserve"> PAGEREF _Toc432583981 \h </w:instrText>
            </w:r>
            <w:r w:rsidR="0032255D">
              <w:rPr>
                <w:noProof/>
                <w:webHidden/>
              </w:rPr>
            </w:r>
            <w:r w:rsidR="0032255D">
              <w:rPr>
                <w:noProof/>
                <w:webHidden/>
              </w:rPr>
              <w:fldChar w:fldCharType="separate"/>
            </w:r>
            <w:r w:rsidR="0032255D">
              <w:rPr>
                <w:noProof/>
                <w:webHidden/>
              </w:rPr>
              <w:t>2</w:t>
            </w:r>
            <w:r w:rsidR="0032255D">
              <w:rPr>
                <w:noProof/>
                <w:webHidden/>
              </w:rPr>
              <w:fldChar w:fldCharType="end"/>
            </w:r>
          </w:hyperlink>
        </w:p>
        <w:p w:rsidR="0032255D" w:rsidRDefault="00A81864">
          <w:pPr>
            <w:pStyle w:val="10"/>
            <w:tabs>
              <w:tab w:val="right" w:leader="dot" w:pos="8296"/>
            </w:tabs>
            <w:rPr>
              <w:noProof/>
            </w:rPr>
          </w:pPr>
          <w:hyperlink w:anchor="_Toc432583982" w:history="1">
            <w:r w:rsidR="0032255D" w:rsidRPr="00875692">
              <w:rPr>
                <w:rStyle w:val="a7"/>
                <w:rFonts w:hint="eastAsia"/>
                <w:noProof/>
              </w:rPr>
              <w:t>因子分析</w:t>
            </w:r>
            <w:r w:rsidR="0032255D">
              <w:rPr>
                <w:noProof/>
                <w:webHidden/>
              </w:rPr>
              <w:tab/>
            </w:r>
            <w:r w:rsidR="0032255D">
              <w:rPr>
                <w:noProof/>
                <w:webHidden/>
              </w:rPr>
              <w:fldChar w:fldCharType="begin"/>
            </w:r>
            <w:r w:rsidR="0032255D">
              <w:rPr>
                <w:noProof/>
                <w:webHidden/>
              </w:rPr>
              <w:instrText xml:space="preserve"> PAGEREF _Toc432583982 \h </w:instrText>
            </w:r>
            <w:r w:rsidR="0032255D">
              <w:rPr>
                <w:noProof/>
                <w:webHidden/>
              </w:rPr>
            </w:r>
            <w:r w:rsidR="0032255D">
              <w:rPr>
                <w:noProof/>
                <w:webHidden/>
              </w:rPr>
              <w:fldChar w:fldCharType="separate"/>
            </w:r>
            <w:r w:rsidR="0032255D">
              <w:rPr>
                <w:noProof/>
                <w:webHidden/>
              </w:rPr>
              <w:t>4</w:t>
            </w:r>
            <w:r w:rsidR="0032255D">
              <w:rPr>
                <w:noProof/>
                <w:webHidden/>
              </w:rPr>
              <w:fldChar w:fldCharType="end"/>
            </w:r>
          </w:hyperlink>
        </w:p>
        <w:p w:rsidR="0032255D" w:rsidRDefault="0032255D">
          <w:pPr>
            <w:rPr>
              <w:b/>
              <w:bCs/>
              <w:lang w:val="zh-CN"/>
            </w:rPr>
          </w:pPr>
          <w:r>
            <w:rPr>
              <w:b/>
              <w:bCs/>
              <w:lang w:val="zh-CN"/>
            </w:rPr>
            <w:fldChar w:fldCharType="end"/>
          </w: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32255D">
          <w:pPr>
            <w:rPr>
              <w:b/>
              <w:bCs/>
              <w:lang w:val="zh-CN"/>
            </w:rPr>
          </w:pPr>
        </w:p>
        <w:p w:rsidR="0032255D" w:rsidRDefault="00A81864"/>
      </w:sdtContent>
    </w:sdt>
    <w:p w:rsidR="002A4133" w:rsidRPr="00F3462A" w:rsidRDefault="00023CC3" w:rsidP="001F2F57">
      <w:pPr>
        <w:pStyle w:val="1"/>
        <w:numPr>
          <w:ilvl w:val="0"/>
          <w:numId w:val="0"/>
        </w:numPr>
      </w:pPr>
      <w:bookmarkStart w:id="0" w:name="_Toc432583979"/>
      <w:r w:rsidRPr="00F3462A">
        <w:rPr>
          <w:rFonts w:hint="eastAsia"/>
        </w:rPr>
        <w:lastRenderedPageBreak/>
        <w:t>摘要</w:t>
      </w:r>
      <w:bookmarkEnd w:id="0"/>
    </w:p>
    <w:p w:rsidR="00023CC3" w:rsidRDefault="000B1971" w:rsidP="005E7DB4">
      <w:pPr>
        <w:ind w:firstLine="420"/>
      </w:pPr>
      <w:r>
        <w:rPr>
          <w:rFonts w:hint="eastAsia"/>
        </w:rPr>
        <w:t>根据现代金融理论，证券投资收益主要取决于市场的平均收益（即</w:t>
      </w:r>
      <w:r>
        <w:rPr>
          <w:rFonts w:hint="eastAsia"/>
        </w:rPr>
        <w:t>Beta</w:t>
      </w:r>
      <w:r>
        <w:rPr>
          <w:rFonts w:hint="eastAsia"/>
        </w:rPr>
        <w:t>收益）以及独立于市场的超额收益（即</w:t>
      </w:r>
      <w:r>
        <w:rPr>
          <w:rFonts w:hint="eastAsia"/>
        </w:rPr>
        <w:t>Alpha</w:t>
      </w:r>
      <w:r>
        <w:rPr>
          <w:rFonts w:hint="eastAsia"/>
        </w:rPr>
        <w:t>收益）</w:t>
      </w:r>
      <w:r w:rsidR="005E7DB4">
        <w:rPr>
          <w:rFonts w:hint="eastAsia"/>
        </w:rPr>
        <w:t>。由于，</w:t>
      </w:r>
      <w:r w:rsidR="005E7DB4">
        <w:rPr>
          <w:rFonts w:hint="eastAsia"/>
        </w:rPr>
        <w:t>Alpha</w:t>
      </w:r>
      <w:r w:rsidR="005E7DB4">
        <w:rPr>
          <w:rFonts w:hint="eastAsia"/>
        </w:rPr>
        <w:t>的不同导致不同证券之间收益率的显著差异。因此，寻找出有效的</w:t>
      </w:r>
      <w:r w:rsidR="005E7DB4">
        <w:rPr>
          <w:rFonts w:hint="eastAsia"/>
        </w:rPr>
        <w:t>Alpha</w:t>
      </w:r>
      <w:r w:rsidR="005E7DB4">
        <w:rPr>
          <w:rFonts w:hint="eastAsia"/>
        </w:rPr>
        <w:t>因子将能帮助投资者获得超越市场的超额收益。本文主要着重于</w:t>
      </w:r>
      <w:r w:rsidR="005E7DB4">
        <w:rPr>
          <w:rFonts w:hint="eastAsia"/>
        </w:rPr>
        <w:t>Alpha</w:t>
      </w:r>
      <w:r w:rsidR="005E7DB4">
        <w:rPr>
          <w:rFonts w:hint="eastAsia"/>
        </w:rPr>
        <w:t>因子的挖掘，建立有效的</w:t>
      </w:r>
      <w:r w:rsidR="005E7DB4">
        <w:rPr>
          <w:rFonts w:hint="eastAsia"/>
        </w:rPr>
        <w:t>Alpha</w:t>
      </w:r>
      <w:r w:rsidR="005E7DB4">
        <w:rPr>
          <w:rFonts w:hint="eastAsia"/>
        </w:rPr>
        <w:t>因子挖掘流程以及衡量因子有效性标准，通过回溯测试直观的</w:t>
      </w:r>
      <w:r w:rsidR="00DE320C">
        <w:rPr>
          <w:rFonts w:hint="eastAsia"/>
        </w:rPr>
        <w:t>反映</w:t>
      </w:r>
      <w:r w:rsidR="005E7DB4">
        <w:rPr>
          <w:rFonts w:hint="eastAsia"/>
        </w:rPr>
        <w:t>因子的效用性。</w:t>
      </w:r>
    </w:p>
    <w:p w:rsidR="00593B81" w:rsidRDefault="00593B81" w:rsidP="005E7DB4">
      <w:pPr>
        <w:ind w:firstLine="420"/>
      </w:pPr>
      <w:r>
        <w:rPr>
          <w:rFonts w:hint="eastAsia"/>
        </w:rPr>
        <w:t>关键词：</w:t>
      </w:r>
      <w:r>
        <w:rPr>
          <w:rFonts w:hint="eastAsia"/>
        </w:rPr>
        <w:t>Alpha</w:t>
      </w:r>
      <w:r>
        <w:rPr>
          <w:rFonts w:hint="eastAsia"/>
        </w:rPr>
        <w:t>多因子，回溯测试</w:t>
      </w:r>
    </w:p>
    <w:p w:rsidR="005E7DB4" w:rsidRDefault="005E7DB4" w:rsidP="005E7DB4">
      <w:pPr>
        <w:ind w:firstLine="420"/>
      </w:pPr>
    </w:p>
    <w:p w:rsidR="00D95967" w:rsidRPr="00D95967" w:rsidRDefault="00D95967" w:rsidP="001F2F57">
      <w:pPr>
        <w:pStyle w:val="1"/>
        <w:numPr>
          <w:ilvl w:val="0"/>
          <w:numId w:val="0"/>
        </w:numPr>
      </w:pPr>
      <w:bookmarkStart w:id="1" w:name="_Toc432583980"/>
      <w:r>
        <w:rPr>
          <w:rFonts w:hint="eastAsia"/>
        </w:rPr>
        <w:t>Alpha</w:t>
      </w:r>
      <w:r>
        <w:rPr>
          <w:rFonts w:hint="eastAsia"/>
        </w:rPr>
        <w:t>来源</w:t>
      </w:r>
      <w:r w:rsidRPr="00D95967">
        <w:rPr>
          <w:rFonts w:hint="eastAsia"/>
        </w:rPr>
        <w:t>概述</w:t>
      </w:r>
      <w:bookmarkEnd w:id="1"/>
    </w:p>
    <w:p w:rsidR="00D95967" w:rsidRDefault="00424BEF" w:rsidP="00876555">
      <w:pPr>
        <w:ind w:firstLine="420"/>
      </w:pPr>
      <w:r>
        <w:rPr>
          <w:rFonts w:hint="eastAsia"/>
        </w:rPr>
        <w:t>现代金融理论认为，</w:t>
      </w:r>
      <w:r w:rsidR="009C7014">
        <w:rPr>
          <w:rFonts w:hint="eastAsia"/>
        </w:rPr>
        <w:t>证券投资收益主要来自于两部分：市场的平均收益（即</w:t>
      </w:r>
      <w:r w:rsidR="009C7014">
        <w:rPr>
          <w:rFonts w:hint="eastAsia"/>
        </w:rPr>
        <w:t>Beta</w:t>
      </w:r>
      <w:r w:rsidR="009C7014">
        <w:rPr>
          <w:rFonts w:hint="eastAsia"/>
        </w:rPr>
        <w:t>收益）以及独立于市场的超额收益（即</w:t>
      </w:r>
      <w:r w:rsidR="009C7014">
        <w:rPr>
          <w:rFonts w:hint="eastAsia"/>
        </w:rPr>
        <w:t>Alpha</w:t>
      </w:r>
      <w:r w:rsidR="009C7014">
        <w:rPr>
          <w:rFonts w:hint="eastAsia"/>
        </w:rPr>
        <w:t>收益）。</w:t>
      </w:r>
      <w:r w:rsidR="00D12F0F">
        <w:rPr>
          <w:rFonts w:hint="eastAsia"/>
        </w:rPr>
        <w:t>根据资产定价模型（</w:t>
      </w:r>
      <w:r w:rsidR="00D12F0F">
        <w:rPr>
          <w:rFonts w:hint="eastAsia"/>
        </w:rPr>
        <w:t>CAPM</w:t>
      </w:r>
      <w:r w:rsidR="00D12F0F">
        <w:rPr>
          <w:rFonts w:hint="eastAsia"/>
        </w:rPr>
        <w:t>），证券投资的收益率可表示为</w:t>
      </w:r>
      <w:r w:rsidR="00DA0888">
        <w:rPr>
          <w:rFonts w:hint="eastAsia"/>
        </w:rPr>
        <w:t>：</w:t>
      </w:r>
    </w:p>
    <w:p w:rsidR="00DA0888" w:rsidRPr="00DA0888" w:rsidRDefault="00DA0888" w:rsidP="00876555">
      <w:pPr>
        <w:ind w:firstLine="420"/>
      </w:pPr>
      <m:oMathPara>
        <m:oMath>
          <m:r>
            <m:rPr>
              <m:sty m:val="p"/>
            </m:rP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+α+β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+ε</m:t>
          </m:r>
        </m:oMath>
      </m:oMathPara>
    </w:p>
    <w:p w:rsidR="00DA0888" w:rsidRDefault="00DA0888" w:rsidP="00876555">
      <w:pPr>
        <w:ind w:firstLine="420"/>
      </w:pPr>
      <w:r>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为市场上无风险收益率，</w:t>
      </w:r>
      <m:oMath>
        <m:r>
          <m:rPr>
            <m:sty m:val="p"/>
          </m:rPr>
          <w:rPr>
            <w:rFonts w:ascii="Cambria Math" w:hAnsi="Cambria Math"/>
          </w:rPr>
          <m:t>ε</m:t>
        </m:r>
      </m:oMath>
      <w:r>
        <w:rPr>
          <w:rFonts w:hint="eastAsia"/>
        </w:rPr>
        <w:t>表示为</w:t>
      </w:r>
      <w:r w:rsidR="006B0263">
        <w:rPr>
          <w:rFonts w:hint="eastAsia"/>
        </w:rPr>
        <w:t>收益率</w:t>
      </w:r>
      <w:r>
        <w:rPr>
          <w:rFonts w:hint="eastAsia"/>
        </w:rPr>
        <w:t>残差。</w:t>
      </w:r>
    </w:p>
    <w:p w:rsidR="00E30939" w:rsidRDefault="00E30939" w:rsidP="00876555">
      <w:pPr>
        <w:ind w:firstLine="420"/>
      </w:pPr>
      <w:r>
        <w:rPr>
          <w:rFonts w:hint="eastAsia"/>
        </w:rPr>
        <w:t>由于，</w:t>
      </w:r>
      <w:r w:rsidR="002A0DE9">
        <w:rPr>
          <w:rFonts w:hint="eastAsia"/>
        </w:rPr>
        <w:t>Beta</w:t>
      </w:r>
      <w:r w:rsidR="002A0DE9">
        <w:rPr>
          <w:rFonts w:hint="eastAsia"/>
        </w:rPr>
        <w:t>收益基于市场整体表现与个股特征无关，因此如何挖掘具有显著</w:t>
      </w:r>
      <w:r w:rsidR="002C1BE4">
        <w:rPr>
          <w:rFonts w:hint="eastAsia"/>
        </w:rPr>
        <w:t>A</w:t>
      </w:r>
      <w:r w:rsidR="002A0DE9">
        <w:rPr>
          <w:rFonts w:hint="eastAsia"/>
        </w:rPr>
        <w:t>lpha</w:t>
      </w:r>
      <w:r w:rsidR="002A0DE9">
        <w:rPr>
          <w:rFonts w:hint="eastAsia"/>
        </w:rPr>
        <w:t>特征的个股，从而获得超越市场平均表现成为了投资者追逐的目标。</w:t>
      </w:r>
    </w:p>
    <w:p w:rsidR="002C1BE4" w:rsidRDefault="002C1BE4" w:rsidP="00876555">
      <w:pPr>
        <w:ind w:firstLine="420"/>
      </w:pPr>
      <w:r>
        <w:rPr>
          <w:rFonts w:hint="eastAsia"/>
        </w:rPr>
        <w:t>对于</w:t>
      </w:r>
      <w:r>
        <w:rPr>
          <w:rFonts w:hint="eastAsia"/>
        </w:rPr>
        <w:t>Alpha</w:t>
      </w:r>
      <w:r>
        <w:rPr>
          <w:rFonts w:hint="eastAsia"/>
        </w:rPr>
        <w:t>的来源可谓是五花八门，有源于财务指标的，有源于技术指标的，也有源于舆情指标的。因此，本文主要侧重于</w:t>
      </w:r>
      <w:r>
        <w:rPr>
          <w:rFonts w:hint="eastAsia"/>
        </w:rPr>
        <w:t>Alpha</w:t>
      </w:r>
      <w:r w:rsidR="00A4047E">
        <w:rPr>
          <w:rFonts w:hint="eastAsia"/>
        </w:rPr>
        <w:t>因子的挖掘，以求建立起一个完善的因子数据库，最后根据该因子数据库构建适用于当下市场特征的多因子</w:t>
      </w:r>
      <w:r w:rsidR="001D37E7">
        <w:rPr>
          <w:rFonts w:hint="eastAsia"/>
        </w:rPr>
        <w:t>Alpha</w:t>
      </w:r>
      <w:r w:rsidR="00A4047E">
        <w:rPr>
          <w:rFonts w:hint="eastAsia"/>
        </w:rPr>
        <w:t>策略</w:t>
      </w:r>
      <w:r>
        <w:rPr>
          <w:rFonts w:hint="eastAsia"/>
        </w:rPr>
        <w:t>。</w:t>
      </w:r>
    </w:p>
    <w:p w:rsidR="005E7DB4" w:rsidRDefault="005E7DB4" w:rsidP="00876555">
      <w:pPr>
        <w:ind w:firstLine="420"/>
      </w:pPr>
    </w:p>
    <w:p w:rsidR="009654C3" w:rsidRPr="00F3462A" w:rsidRDefault="00023CC3" w:rsidP="001F2F57">
      <w:pPr>
        <w:pStyle w:val="1"/>
        <w:numPr>
          <w:ilvl w:val="0"/>
          <w:numId w:val="0"/>
        </w:numPr>
      </w:pPr>
      <w:bookmarkStart w:id="2" w:name="_Toc432583981"/>
      <w:r w:rsidRPr="00F3462A">
        <w:rPr>
          <w:rFonts w:hint="eastAsia"/>
        </w:rPr>
        <w:t>多因子框架概述</w:t>
      </w:r>
      <w:bookmarkEnd w:id="2"/>
    </w:p>
    <w:p w:rsidR="00293C62" w:rsidRPr="00293C62" w:rsidRDefault="00F3462A" w:rsidP="009C7014">
      <w:pPr>
        <w:ind w:firstLine="420"/>
      </w:pPr>
      <w:r>
        <w:rPr>
          <w:rFonts w:hint="eastAsia"/>
        </w:rPr>
        <w:t>本文主要侧重于挖掘有效</w:t>
      </w:r>
      <w:r>
        <w:rPr>
          <w:rFonts w:hint="eastAsia"/>
        </w:rPr>
        <w:t>Alpha</w:t>
      </w:r>
      <w:r>
        <w:rPr>
          <w:rFonts w:hint="eastAsia"/>
        </w:rPr>
        <w:t>因子上，</w:t>
      </w:r>
      <w:r w:rsidR="008E3F0E">
        <w:rPr>
          <w:rFonts w:hint="eastAsia"/>
        </w:rPr>
        <w:t>由于市场所包含的数据相当庞大，各种选股因子也非常之多，因此量化选股的一个大前提，就是要建立一个尽可能完备的数据库，基于这个数据库，从中挖掘历史以及当前市场中具有显著效用的因子。</w:t>
      </w:r>
      <w:r w:rsidR="005E7BB7">
        <w:rPr>
          <w:rFonts w:hint="eastAsia"/>
        </w:rPr>
        <w:t>由于需要处理的数据量之大，时间关系，在回溯测试部分，仅对部分因子进行测试，而且回测时间样本区间设置较短。</w:t>
      </w:r>
    </w:p>
    <w:p w:rsidR="00023CC3" w:rsidRPr="004A73F9" w:rsidRDefault="00023CC3" w:rsidP="009E7022">
      <w:pPr>
        <w:pStyle w:val="a3"/>
        <w:numPr>
          <w:ilvl w:val="0"/>
          <w:numId w:val="2"/>
        </w:numPr>
        <w:spacing w:line="480" w:lineRule="auto"/>
        <w:ind w:firstLineChars="0"/>
        <w:rPr>
          <w:b/>
        </w:rPr>
      </w:pPr>
      <w:r w:rsidRPr="004A73F9">
        <w:rPr>
          <w:rFonts w:hint="eastAsia"/>
          <w:b/>
        </w:rPr>
        <w:t>各类因子划分</w:t>
      </w:r>
    </w:p>
    <w:p w:rsidR="00023CC3" w:rsidRDefault="009E7022" w:rsidP="009E7022">
      <w:r>
        <w:rPr>
          <w:rFonts w:hint="eastAsia"/>
        </w:rPr>
        <w:t>由于因子种类繁多，我将因子划分为如下几类：</w:t>
      </w:r>
    </w:p>
    <w:p w:rsidR="009E7022" w:rsidRDefault="009E7022" w:rsidP="009E7022">
      <w:pPr>
        <w:pStyle w:val="a3"/>
        <w:numPr>
          <w:ilvl w:val="0"/>
          <w:numId w:val="3"/>
        </w:numPr>
        <w:ind w:firstLineChars="0"/>
      </w:pPr>
      <w:r>
        <w:rPr>
          <w:rFonts w:hint="eastAsia"/>
        </w:rPr>
        <w:t>估值类因子：与股票估值相关的因子，包括常见的</w:t>
      </w:r>
      <w:r>
        <w:rPr>
          <w:rFonts w:hint="eastAsia"/>
        </w:rPr>
        <w:t>PE</w:t>
      </w:r>
      <w:r>
        <w:rPr>
          <w:rFonts w:hint="eastAsia"/>
        </w:rPr>
        <w:t>，</w:t>
      </w:r>
      <w:r>
        <w:rPr>
          <w:rFonts w:hint="eastAsia"/>
        </w:rPr>
        <w:t>PB</w:t>
      </w:r>
      <w:r>
        <w:rPr>
          <w:rFonts w:hint="eastAsia"/>
        </w:rPr>
        <w:t>，</w:t>
      </w:r>
      <w:r>
        <w:rPr>
          <w:rFonts w:hint="eastAsia"/>
        </w:rPr>
        <w:t>PCF</w:t>
      </w:r>
      <w:r>
        <w:rPr>
          <w:rFonts w:hint="eastAsia"/>
        </w:rPr>
        <w:t>等等；</w:t>
      </w:r>
    </w:p>
    <w:p w:rsidR="009E7022" w:rsidRDefault="009E7022" w:rsidP="009E7022">
      <w:pPr>
        <w:pStyle w:val="a3"/>
        <w:numPr>
          <w:ilvl w:val="0"/>
          <w:numId w:val="3"/>
        </w:numPr>
        <w:ind w:firstLineChars="0"/>
      </w:pPr>
      <w:r>
        <w:rPr>
          <w:rFonts w:hint="eastAsia"/>
        </w:rPr>
        <w:t>成长类因子：</w:t>
      </w:r>
      <w:r w:rsidR="00C32DD1">
        <w:rPr>
          <w:rFonts w:hint="eastAsia"/>
        </w:rPr>
        <w:t>与股票的业绩成长等相关的因子</w:t>
      </w:r>
      <w:r w:rsidR="000E3356">
        <w:rPr>
          <w:rFonts w:hint="eastAsia"/>
        </w:rPr>
        <w:t>，包括常见的净利润增长率，主营业务收入增长率等等；</w:t>
      </w:r>
    </w:p>
    <w:p w:rsidR="00C32DD1" w:rsidRDefault="00C32DD1" w:rsidP="009E7022">
      <w:pPr>
        <w:pStyle w:val="a3"/>
        <w:numPr>
          <w:ilvl w:val="0"/>
          <w:numId w:val="3"/>
        </w:numPr>
        <w:ind w:firstLineChars="0"/>
      </w:pPr>
      <w:r>
        <w:rPr>
          <w:rFonts w:hint="eastAsia"/>
        </w:rPr>
        <w:t>规模类因子：</w:t>
      </w:r>
      <w:r w:rsidR="000E3356">
        <w:rPr>
          <w:rFonts w:hint="eastAsia"/>
        </w:rPr>
        <w:t>与股票规模相关的因子，包括常见的总资产，总市值，流通市值等等；</w:t>
      </w:r>
    </w:p>
    <w:p w:rsidR="00C32DD1" w:rsidRDefault="00C32DD1" w:rsidP="009E7022">
      <w:pPr>
        <w:pStyle w:val="a3"/>
        <w:numPr>
          <w:ilvl w:val="0"/>
          <w:numId w:val="3"/>
        </w:numPr>
        <w:ind w:firstLineChars="0"/>
      </w:pPr>
      <w:r>
        <w:rPr>
          <w:rFonts w:hint="eastAsia"/>
        </w:rPr>
        <w:t>质量类因子：</w:t>
      </w:r>
      <w:r w:rsidR="006018E0">
        <w:rPr>
          <w:rFonts w:hint="eastAsia"/>
        </w:rPr>
        <w:t>与股票财务质量，资本结构相关的因子，包括常见的</w:t>
      </w:r>
      <w:r w:rsidR="006018E0">
        <w:rPr>
          <w:rFonts w:hint="eastAsia"/>
        </w:rPr>
        <w:t>ROA</w:t>
      </w:r>
      <w:r w:rsidR="006018E0">
        <w:rPr>
          <w:rFonts w:hint="eastAsia"/>
        </w:rPr>
        <w:t>，</w:t>
      </w:r>
      <w:r w:rsidR="006018E0">
        <w:rPr>
          <w:rFonts w:hint="eastAsia"/>
        </w:rPr>
        <w:t>ROE</w:t>
      </w:r>
      <w:r w:rsidR="006018E0">
        <w:rPr>
          <w:rFonts w:hint="eastAsia"/>
        </w:rPr>
        <w:t>，资产负债率等等；</w:t>
      </w:r>
    </w:p>
    <w:p w:rsidR="00C32DD1" w:rsidRDefault="00C32DD1" w:rsidP="009E7022">
      <w:pPr>
        <w:pStyle w:val="a3"/>
        <w:numPr>
          <w:ilvl w:val="0"/>
          <w:numId w:val="3"/>
        </w:numPr>
        <w:ind w:firstLineChars="0"/>
      </w:pPr>
      <w:r>
        <w:rPr>
          <w:rFonts w:hint="eastAsia"/>
        </w:rPr>
        <w:t>技术类因子：</w:t>
      </w:r>
      <w:r w:rsidR="00F858FB">
        <w:rPr>
          <w:rFonts w:hint="eastAsia"/>
        </w:rPr>
        <w:t>与技术指标相关的因子，如</w:t>
      </w:r>
      <w:r w:rsidR="00F858FB">
        <w:rPr>
          <w:rFonts w:hint="eastAsia"/>
        </w:rPr>
        <w:t>MACD</w:t>
      </w:r>
      <w:r w:rsidR="00F858FB">
        <w:rPr>
          <w:rFonts w:hint="eastAsia"/>
        </w:rPr>
        <w:t>，</w:t>
      </w:r>
      <w:r w:rsidR="00F858FB">
        <w:rPr>
          <w:rFonts w:hint="eastAsia"/>
        </w:rPr>
        <w:t>RSI</w:t>
      </w:r>
      <w:r w:rsidR="00F858FB">
        <w:rPr>
          <w:rFonts w:hint="eastAsia"/>
        </w:rPr>
        <w:t>等等；</w:t>
      </w:r>
    </w:p>
    <w:p w:rsidR="00F858FB" w:rsidRDefault="00F858FB" w:rsidP="00F858FB">
      <w:pPr>
        <w:pStyle w:val="a3"/>
        <w:ind w:left="420" w:firstLineChars="0" w:firstLine="0"/>
      </w:pPr>
    </w:p>
    <w:p w:rsidR="00F858FB" w:rsidRPr="004A73F9" w:rsidRDefault="00F858FB" w:rsidP="00B5235D">
      <w:pPr>
        <w:pStyle w:val="a3"/>
        <w:numPr>
          <w:ilvl w:val="0"/>
          <w:numId w:val="2"/>
        </w:numPr>
        <w:spacing w:line="480" w:lineRule="auto"/>
        <w:ind w:left="357" w:firstLineChars="0"/>
        <w:rPr>
          <w:b/>
        </w:rPr>
      </w:pPr>
      <w:r w:rsidRPr="004A73F9">
        <w:rPr>
          <w:rFonts w:hint="eastAsia"/>
          <w:b/>
        </w:rPr>
        <w:t>因子测试数据处理</w:t>
      </w:r>
    </w:p>
    <w:p w:rsidR="00F858FB" w:rsidRDefault="00950D47" w:rsidP="00950D47">
      <w:pPr>
        <w:pStyle w:val="a3"/>
        <w:ind w:left="357" w:firstLineChars="0" w:firstLine="0"/>
      </w:pPr>
      <w:r>
        <w:rPr>
          <w:rFonts w:hint="eastAsia"/>
        </w:rPr>
        <w:t>我对各类因子建立起一个统一的数据处理过程：</w:t>
      </w:r>
    </w:p>
    <w:p w:rsidR="00950D47" w:rsidRDefault="00950D47" w:rsidP="00950D47">
      <w:pPr>
        <w:pStyle w:val="a3"/>
        <w:numPr>
          <w:ilvl w:val="0"/>
          <w:numId w:val="4"/>
        </w:numPr>
        <w:ind w:firstLineChars="0"/>
      </w:pPr>
      <w:r>
        <w:rPr>
          <w:rFonts w:hint="eastAsia"/>
        </w:rPr>
        <w:t>所有数据均来自底层数据库；</w:t>
      </w:r>
    </w:p>
    <w:p w:rsidR="00950D47" w:rsidRDefault="00950D47" w:rsidP="00950D47">
      <w:pPr>
        <w:pStyle w:val="a3"/>
        <w:numPr>
          <w:ilvl w:val="0"/>
          <w:numId w:val="4"/>
        </w:numPr>
        <w:ind w:firstLineChars="0"/>
      </w:pPr>
      <w:proofErr w:type="gramStart"/>
      <w:r>
        <w:rPr>
          <w:rFonts w:hint="eastAsia"/>
        </w:rPr>
        <w:t>回测周期</w:t>
      </w:r>
      <w:proofErr w:type="gramEnd"/>
      <w:r>
        <w:rPr>
          <w:rFonts w:hint="eastAsia"/>
        </w:rPr>
        <w:t>为：</w:t>
      </w:r>
      <w:r w:rsidR="003B1A51">
        <w:rPr>
          <w:rFonts w:hint="eastAsia"/>
        </w:rPr>
        <w:t>2014.01.01-2014.</w:t>
      </w:r>
      <w:r w:rsidR="00335649">
        <w:rPr>
          <w:rFonts w:hint="eastAsia"/>
        </w:rPr>
        <w:t>0</w:t>
      </w:r>
      <w:r w:rsidR="003B1A51">
        <w:rPr>
          <w:rFonts w:hint="eastAsia"/>
        </w:rPr>
        <w:t>3</w:t>
      </w:r>
      <w:r w:rsidR="00B606D6">
        <w:rPr>
          <w:rFonts w:hint="eastAsia"/>
        </w:rPr>
        <w:t>.31</w:t>
      </w:r>
    </w:p>
    <w:p w:rsidR="00950D47" w:rsidRDefault="003E2542" w:rsidP="00950D47">
      <w:pPr>
        <w:pStyle w:val="a3"/>
        <w:numPr>
          <w:ilvl w:val="0"/>
          <w:numId w:val="4"/>
        </w:numPr>
        <w:ind w:firstLineChars="0"/>
      </w:pPr>
      <w:r>
        <w:rPr>
          <w:rFonts w:hint="eastAsia"/>
        </w:rPr>
        <w:t>基准指数统一使用沪深</w:t>
      </w:r>
      <w:r>
        <w:rPr>
          <w:rFonts w:hint="eastAsia"/>
        </w:rPr>
        <w:t>300</w:t>
      </w:r>
      <w:r>
        <w:rPr>
          <w:rFonts w:hint="eastAsia"/>
        </w:rPr>
        <w:t>；</w:t>
      </w:r>
    </w:p>
    <w:p w:rsidR="003E2542" w:rsidRDefault="00385E2A" w:rsidP="00950D47">
      <w:pPr>
        <w:pStyle w:val="a3"/>
        <w:numPr>
          <w:ilvl w:val="0"/>
          <w:numId w:val="4"/>
        </w:numPr>
        <w:ind w:firstLineChars="0"/>
      </w:pPr>
      <w:r>
        <w:rPr>
          <w:rFonts w:hint="eastAsia"/>
        </w:rPr>
        <w:t>因子数据预处理，包括去</w:t>
      </w:r>
      <w:proofErr w:type="gramStart"/>
      <w:r>
        <w:rPr>
          <w:rFonts w:hint="eastAsia"/>
        </w:rPr>
        <w:t>极值化</w:t>
      </w:r>
      <w:proofErr w:type="gramEnd"/>
      <w:r>
        <w:rPr>
          <w:rFonts w:hint="eastAsia"/>
        </w:rPr>
        <w:t>以及标准化：</w:t>
      </w:r>
    </w:p>
    <w:p w:rsidR="003E2542" w:rsidRDefault="00385E2A" w:rsidP="003E2542">
      <w:pPr>
        <w:pStyle w:val="a3"/>
        <w:numPr>
          <w:ilvl w:val="0"/>
          <w:numId w:val="5"/>
        </w:numPr>
        <w:ind w:firstLineChars="0"/>
      </w:pPr>
      <w:r>
        <w:rPr>
          <w:rFonts w:hint="eastAsia"/>
        </w:rPr>
        <w:t>去极值化：本文使用“中位数去极值法”进行去</w:t>
      </w:r>
      <w:proofErr w:type="gramStart"/>
      <w:r>
        <w:rPr>
          <w:rFonts w:hint="eastAsia"/>
        </w:rPr>
        <w:t>极值化</w:t>
      </w:r>
      <w:proofErr w:type="gramEnd"/>
      <w:r>
        <w:rPr>
          <w:rFonts w:hint="eastAsia"/>
        </w:rPr>
        <w:t>处理，公式如下：</w:t>
      </w:r>
    </w:p>
    <w:p w:rsidR="00385E2A" w:rsidRPr="00385E2A" w:rsidRDefault="00A81864" w:rsidP="00385E2A">
      <w:pPr>
        <w:pStyle w:val="a3"/>
        <w:ind w:left="1197"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   upper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MAD</m:t>
              </m:r>
            </m:sub>
          </m:sSub>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MAD</m:t>
              </m:r>
            </m:sub>
          </m:sSub>
        </m:oMath>
      </m:oMathPara>
    </w:p>
    <w:p w:rsidR="00385E2A" w:rsidRPr="0014210C" w:rsidRDefault="00A81864" w:rsidP="00385E2A">
      <w:pPr>
        <w:pStyle w:val="a3"/>
        <w:ind w:left="1197"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   lower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MAD</m:t>
              </m:r>
            </m:sub>
          </m:sSub>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MAD</m:t>
              </m:r>
            </m:sub>
          </m:sSub>
        </m:oMath>
      </m:oMathPara>
    </w:p>
    <w:p w:rsidR="00385E2A" w:rsidRPr="00B3592A" w:rsidRDefault="00374954" w:rsidP="00374954">
      <w:pPr>
        <w:pStyle w:val="a3"/>
        <w:ind w:left="1197" w:firstLineChars="0" w:firstLine="0"/>
      </w:pPr>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为第</w:t>
      </w:r>
      <w:proofErr w:type="spellStart"/>
      <w:r>
        <w:rPr>
          <w:rFonts w:hint="eastAsia"/>
        </w:rPr>
        <w:t>i</w:t>
      </w:r>
      <w:proofErr w:type="spellEnd"/>
      <w:proofErr w:type="gramStart"/>
      <w:r>
        <w:rPr>
          <w:rFonts w:hint="eastAsia"/>
        </w:rPr>
        <w:t>个</w:t>
      </w:r>
      <w:proofErr w:type="gramEnd"/>
      <w:r>
        <w:rPr>
          <w:rFonts w:hint="eastAsia"/>
        </w:rPr>
        <w:t>描述性变量的观察值，</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为所有观察值得中位数，</w:t>
      </w:r>
      <w:r w:rsidR="00B35862">
        <w:rPr>
          <w:rFonts w:hint="eastAsia"/>
        </w:rPr>
        <w:t>将</w:t>
      </w:r>
      <w:r>
        <w:rPr>
          <w:rFonts w:hint="eastAsia"/>
        </w:rPr>
        <w:t>观察值与</w:t>
      </w:r>
      <w:r w:rsidR="00B35862">
        <w:rPr>
          <w:rFonts w:hint="eastAsia"/>
        </w:rPr>
        <w:t>中位数的绝对偏离记作</w:t>
      </w:r>
      <m:oMath>
        <m:sSub>
          <m:sSubPr>
            <m:ctrlPr>
              <w:rPr>
                <w:rFonts w:ascii="Cambria Math" w:hAnsi="Cambria Math"/>
              </w:rPr>
            </m:ctrlPr>
          </m:sSubPr>
          <m:e>
            <m:r>
              <w:rPr>
                <w:rFonts w:ascii="Cambria Math" w:hAnsi="Cambria Math"/>
              </w:rPr>
              <m:t>D</m:t>
            </m:r>
          </m:e>
          <m:sub>
            <m:r>
              <w:rPr>
                <w:rFonts w:ascii="Cambria Math" w:hAnsi="Cambria Math"/>
              </w:rPr>
              <m:t>i,AD</m:t>
            </m:r>
          </m:sub>
        </m:sSub>
      </m:oMath>
      <w:r w:rsidR="00B3592A">
        <w:rPr>
          <w:rFonts w:hint="eastAsia"/>
        </w:rPr>
        <w:t>，</w:t>
      </w:r>
      <w:r w:rsidR="00B35862">
        <w:rPr>
          <w:rFonts w:hint="eastAsia"/>
        </w:rPr>
        <w:t>即</w:t>
      </w:r>
      <m:oMath>
        <m:sSub>
          <m:sSubPr>
            <m:ctrlPr>
              <w:rPr>
                <w:rFonts w:ascii="Cambria Math" w:hAnsi="Cambria Math"/>
              </w:rPr>
            </m:ctrlPr>
          </m:sSubPr>
          <m:e>
            <m:r>
              <w:rPr>
                <w:rFonts w:ascii="Cambria Math" w:hAnsi="Cambria Math"/>
              </w:rPr>
              <m:t>D</m:t>
            </m:r>
          </m:e>
          <m:sub>
            <m:r>
              <w:rPr>
                <w:rFonts w:ascii="Cambria Math" w:hAnsi="Cambria Math"/>
              </w:rPr>
              <m:t>i,  AD</m:t>
            </m:r>
          </m:sub>
        </m:sSub>
      </m:oMath>
      <w:r w:rsidR="00B35862">
        <w:rPr>
          <w:rFonts w:hint="eastAsia"/>
        </w:rPr>
        <w:t>=</w:t>
      </w:r>
      <m:oMath>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oMath>
      <w:r w:rsidR="00B3592A">
        <w:rPr>
          <w:rFonts w:hint="eastAsia"/>
        </w:rPr>
        <w:t>，将</w:t>
      </w:r>
      <m:oMath>
        <m:sSub>
          <m:sSubPr>
            <m:ctrlPr>
              <w:rPr>
                <w:rFonts w:ascii="Cambria Math" w:hAnsi="Cambria Math"/>
              </w:rPr>
            </m:ctrlPr>
          </m:sSubPr>
          <m:e>
            <m:r>
              <w:rPr>
                <w:rFonts w:ascii="Cambria Math" w:hAnsi="Cambria Math"/>
              </w:rPr>
              <m:t>D</m:t>
            </m:r>
          </m:e>
          <m:sub>
            <m:r>
              <w:rPr>
                <w:rFonts w:ascii="Cambria Math" w:hAnsi="Cambria Math"/>
              </w:rPr>
              <m:t>MAD</m:t>
            </m:r>
          </m:sub>
        </m:sSub>
      </m:oMath>
      <w:r w:rsidR="00B3592A">
        <w:rPr>
          <w:rFonts w:hint="eastAsia"/>
        </w:rPr>
        <w:t>记作</w:t>
      </w:r>
      <m:oMath>
        <m:sSub>
          <m:sSubPr>
            <m:ctrlPr>
              <w:rPr>
                <w:rFonts w:ascii="Cambria Math" w:hAnsi="Cambria Math"/>
              </w:rPr>
            </m:ctrlPr>
          </m:sSubPr>
          <m:e>
            <m:r>
              <w:rPr>
                <w:rFonts w:ascii="Cambria Math" w:hAnsi="Cambria Math"/>
              </w:rPr>
              <m:t>D</m:t>
            </m:r>
          </m:e>
          <m:sub>
            <m:r>
              <w:rPr>
                <w:rFonts w:ascii="Cambria Math" w:hAnsi="Cambria Math"/>
              </w:rPr>
              <m:t>i,   AD</m:t>
            </m:r>
          </m:sub>
        </m:sSub>
      </m:oMath>
      <w:r w:rsidR="00B3592A">
        <w:rPr>
          <w:rFonts w:hint="eastAsia"/>
        </w:rPr>
        <w:t>的中位数，</w:t>
      </w:r>
      <m:oMath>
        <m:sSub>
          <m:sSubPr>
            <m:ctrlPr>
              <w:rPr>
                <w:rFonts w:ascii="Cambria Math" w:hAnsi="Cambria Math"/>
              </w:rPr>
            </m:ctrlPr>
          </m:sSubPr>
          <m:e>
            <m:r>
              <w:rPr>
                <w:rFonts w:ascii="Cambria Math" w:hAnsi="Cambria Math"/>
              </w:rPr>
              <m:t>D</m:t>
            </m:r>
          </m:e>
          <m:sub>
            <m:r>
              <w:rPr>
                <w:rFonts w:ascii="Cambria Math" w:hAnsi="Cambria Math"/>
              </w:rPr>
              <m:t>i,   upper</m:t>
            </m:r>
          </m:sub>
        </m:sSub>
      </m:oMath>
      <w:r w:rsidR="00B3592A">
        <w:rPr>
          <w:rFonts w:hint="eastAsia"/>
        </w:rPr>
        <w:t>和</w:t>
      </w:r>
      <m:oMath>
        <m:sSub>
          <m:sSubPr>
            <m:ctrlPr>
              <w:rPr>
                <w:rFonts w:ascii="Cambria Math" w:hAnsi="Cambria Math"/>
              </w:rPr>
            </m:ctrlPr>
          </m:sSubPr>
          <m:e>
            <m:r>
              <w:rPr>
                <w:rFonts w:ascii="Cambria Math" w:hAnsi="Cambria Math"/>
              </w:rPr>
              <m:t>D</m:t>
            </m:r>
          </m:e>
          <m:sub>
            <m:r>
              <w:rPr>
                <w:rFonts w:ascii="Cambria Math" w:hAnsi="Cambria Math"/>
              </w:rPr>
              <m:t>i,   lower</m:t>
            </m:r>
          </m:sub>
        </m:sSub>
      </m:oMath>
      <w:r w:rsidR="00B3592A">
        <w:rPr>
          <w:rFonts w:hint="eastAsia"/>
        </w:rPr>
        <w:t>分别表示中位数去</w:t>
      </w:r>
      <w:proofErr w:type="gramStart"/>
      <w:r w:rsidR="00B3592A">
        <w:rPr>
          <w:rFonts w:hint="eastAsia"/>
        </w:rPr>
        <w:t>极值化</w:t>
      </w:r>
      <w:proofErr w:type="gramEnd"/>
      <w:r w:rsidR="00B3592A">
        <w:rPr>
          <w:rFonts w:hint="eastAsia"/>
        </w:rPr>
        <w:t>后描述性变量的上下限，</w:t>
      </w:r>
      <w:r w:rsidR="00B3592A">
        <w:rPr>
          <w:rFonts w:hint="eastAsia"/>
        </w:rPr>
        <w:t>n</w:t>
      </w:r>
      <w:r w:rsidR="00B3592A">
        <w:rPr>
          <w:rFonts w:hint="eastAsia"/>
        </w:rPr>
        <w:t>用于控制</w:t>
      </w:r>
      <m:oMath>
        <m:sSub>
          <m:sSubPr>
            <m:ctrlPr>
              <w:rPr>
                <w:rFonts w:ascii="Cambria Math" w:hAnsi="Cambria Math"/>
              </w:rPr>
            </m:ctrlPr>
          </m:sSubPr>
          <m:e>
            <m:r>
              <w:rPr>
                <w:rFonts w:ascii="Cambria Math" w:hAnsi="Cambria Math"/>
              </w:rPr>
              <m:t>D</m:t>
            </m:r>
          </m:e>
          <m:sub>
            <m:r>
              <w:rPr>
                <w:rFonts w:ascii="Cambria Math" w:hAnsi="Cambria Math"/>
              </w:rPr>
              <m:t>i,   upper</m:t>
            </m:r>
          </m:sub>
        </m:sSub>
      </m:oMath>
      <w:r w:rsidR="00B3592A">
        <w:rPr>
          <w:rFonts w:hint="eastAsia"/>
        </w:rPr>
        <w:t>和</w:t>
      </w:r>
      <m:oMath>
        <m:sSub>
          <m:sSubPr>
            <m:ctrlPr>
              <w:rPr>
                <w:rFonts w:ascii="Cambria Math" w:hAnsi="Cambria Math"/>
              </w:rPr>
            </m:ctrlPr>
          </m:sSubPr>
          <m:e>
            <m:r>
              <w:rPr>
                <w:rFonts w:ascii="Cambria Math" w:hAnsi="Cambria Math"/>
              </w:rPr>
              <m:t>D</m:t>
            </m:r>
          </m:e>
          <m:sub>
            <m:r>
              <w:rPr>
                <w:rFonts w:ascii="Cambria Math" w:hAnsi="Cambria Math"/>
              </w:rPr>
              <m:t>i,   lower</m:t>
            </m:r>
          </m:sub>
        </m:sSub>
      </m:oMath>
      <w:r w:rsidR="00B3592A">
        <w:rPr>
          <w:rFonts w:hint="eastAsia"/>
        </w:rPr>
        <w:t>的常数，本文取</w:t>
      </w:r>
      <w:r w:rsidR="00B3592A">
        <w:rPr>
          <w:rFonts w:hint="eastAsia"/>
        </w:rPr>
        <w:t>n=3</w:t>
      </w:r>
      <w:r w:rsidR="00B3592A">
        <w:rPr>
          <w:rFonts w:hint="eastAsia"/>
        </w:rPr>
        <w:t>。</w:t>
      </w:r>
    </w:p>
    <w:p w:rsidR="00374954" w:rsidRDefault="00B3592A" w:rsidP="003E2542">
      <w:pPr>
        <w:pStyle w:val="a3"/>
        <w:numPr>
          <w:ilvl w:val="0"/>
          <w:numId w:val="5"/>
        </w:numPr>
        <w:ind w:firstLineChars="0"/>
      </w:pPr>
      <w:r>
        <w:rPr>
          <w:rFonts w:hint="eastAsia"/>
        </w:rPr>
        <w:t>标准化：</w:t>
      </w:r>
      <w:r w:rsidR="00F76785">
        <w:rPr>
          <w:rFonts w:hint="eastAsia"/>
        </w:rPr>
        <w:t>由于各个描述性因子所衡量的单位不同，导致因子数值范围差异较大</w:t>
      </w:r>
      <w:r w:rsidR="00C32A98">
        <w:rPr>
          <w:rFonts w:hint="eastAsia"/>
        </w:rPr>
        <w:t>，因此在进行因子分析之前，必须对其进行标准化，本文采用最常见的</w:t>
      </w:r>
      <w:r w:rsidR="00C32A98">
        <w:rPr>
          <w:rFonts w:hint="eastAsia"/>
        </w:rPr>
        <w:t>N(0,1)</w:t>
      </w:r>
      <w:r w:rsidR="00C32A98">
        <w:rPr>
          <w:rFonts w:hint="eastAsia"/>
        </w:rPr>
        <w:t>正态标准化处理，公式如下：</w:t>
      </w:r>
    </w:p>
    <w:p w:rsidR="00B034AA" w:rsidRPr="00950D47" w:rsidRDefault="00C32A98" w:rsidP="00B034AA">
      <w:pPr>
        <w:pStyle w:val="a3"/>
        <w:ind w:left="1197" w:firstLineChars="0" w:firstLine="0"/>
        <w:jc w:val="center"/>
      </w:pPr>
      <w:r>
        <w:rPr>
          <w:rFonts w:hint="eastAsia"/>
        </w:rPr>
        <w:t>标准化后向量</w:t>
      </w:r>
      <w:r>
        <w:rPr>
          <w:rFonts w:hint="eastAsia"/>
        </w:rPr>
        <w:t>=</w:t>
      </w:r>
      <w:r>
        <w:rPr>
          <w:rFonts w:hint="eastAsia"/>
        </w:rPr>
        <w:t>（原向量</w:t>
      </w:r>
      <w:r>
        <w:rPr>
          <w:rFonts w:hint="eastAsia"/>
        </w:rPr>
        <w:t>-</w:t>
      </w:r>
      <w:r>
        <w:rPr>
          <w:rFonts w:hint="eastAsia"/>
        </w:rPr>
        <w:t>均值）</w:t>
      </w:r>
      <w:r>
        <w:rPr>
          <w:rFonts w:hint="eastAsia"/>
        </w:rPr>
        <w:t>/</w:t>
      </w:r>
      <w:r>
        <w:rPr>
          <w:rFonts w:hint="eastAsia"/>
        </w:rPr>
        <w:t>标准差</w:t>
      </w:r>
    </w:p>
    <w:p w:rsidR="00F858FB" w:rsidRPr="004A73F9" w:rsidRDefault="00B034AA" w:rsidP="00F858FB">
      <w:pPr>
        <w:pStyle w:val="a3"/>
        <w:numPr>
          <w:ilvl w:val="0"/>
          <w:numId w:val="2"/>
        </w:numPr>
        <w:ind w:firstLineChars="0"/>
        <w:rPr>
          <w:b/>
        </w:rPr>
      </w:pPr>
      <w:r w:rsidRPr="004A73F9">
        <w:rPr>
          <w:rFonts w:hint="eastAsia"/>
          <w:b/>
        </w:rPr>
        <w:t>因子评价标准</w:t>
      </w:r>
    </w:p>
    <w:p w:rsidR="00B034AA" w:rsidRDefault="00B034AA" w:rsidP="005328C8">
      <w:pPr>
        <w:pStyle w:val="a3"/>
        <w:ind w:left="420" w:firstLineChars="0"/>
      </w:pPr>
      <w:r>
        <w:rPr>
          <w:rFonts w:hint="eastAsia"/>
        </w:rPr>
        <w:t>如何对因子的有效性进行衡量是本文研究的核心，我认为一个有效的</w:t>
      </w:r>
      <w:r>
        <w:rPr>
          <w:rFonts w:hint="eastAsia"/>
        </w:rPr>
        <w:t>Alpha</w:t>
      </w:r>
      <w:r>
        <w:rPr>
          <w:rFonts w:hint="eastAsia"/>
        </w:rPr>
        <w:t>因子应该能够带来长期稳定的</w:t>
      </w:r>
      <w:r>
        <w:rPr>
          <w:rFonts w:hint="eastAsia"/>
        </w:rPr>
        <w:t>Alpha</w:t>
      </w:r>
      <w:r>
        <w:rPr>
          <w:rFonts w:hint="eastAsia"/>
        </w:rPr>
        <w:t>收益，同时因子在各期的表现应该具备较好的稳定性，即</w:t>
      </w:r>
      <w:r w:rsidR="00722787">
        <w:rPr>
          <w:rFonts w:hint="eastAsia"/>
        </w:rPr>
        <w:t>因子的</w:t>
      </w:r>
      <w:r w:rsidR="00722787">
        <w:rPr>
          <w:rFonts w:hint="eastAsia"/>
        </w:rPr>
        <w:t>beta</w:t>
      </w:r>
      <w:r w:rsidR="00722787">
        <w:rPr>
          <w:rFonts w:hint="eastAsia"/>
        </w:rPr>
        <w:t>系数相对较低，以保证因子的与市场的相关性相对较低</w:t>
      </w:r>
      <w:r>
        <w:rPr>
          <w:rFonts w:hint="eastAsia"/>
        </w:rPr>
        <w:t>。另外，市场上存在</w:t>
      </w:r>
      <w:r w:rsidR="005328C8">
        <w:rPr>
          <w:rFonts w:hint="eastAsia"/>
        </w:rPr>
        <w:t>动量</w:t>
      </w:r>
      <w:r w:rsidR="005328C8">
        <w:rPr>
          <w:rFonts w:hint="eastAsia"/>
        </w:rPr>
        <w:t>/</w:t>
      </w:r>
      <w:r w:rsidR="005328C8">
        <w:rPr>
          <w:rFonts w:hint="eastAsia"/>
        </w:rPr>
        <w:t>反转效应，当股价持续大跌的时候往往会出现反转，因此对于多因子选股中的超低配组合是否具备较高的胜率也是考察的标准之一。</w:t>
      </w:r>
    </w:p>
    <w:p w:rsidR="005328C8" w:rsidRDefault="005328C8" w:rsidP="00B034AA">
      <w:pPr>
        <w:pStyle w:val="a3"/>
        <w:ind w:left="360" w:firstLineChars="0" w:firstLine="0"/>
      </w:pPr>
      <w:r>
        <w:rPr>
          <w:rFonts w:hint="eastAsia"/>
        </w:rPr>
        <w:tab/>
      </w:r>
      <w:r>
        <w:rPr>
          <w:rFonts w:hint="eastAsia"/>
        </w:rPr>
        <w:tab/>
      </w:r>
      <w:r>
        <w:rPr>
          <w:rFonts w:hint="eastAsia"/>
        </w:rPr>
        <w:t>综上所述，本文采用五</w:t>
      </w:r>
      <w:proofErr w:type="gramStart"/>
      <w:r>
        <w:rPr>
          <w:rFonts w:hint="eastAsia"/>
        </w:rPr>
        <w:t>等分位</w:t>
      </w:r>
      <w:proofErr w:type="gramEnd"/>
      <w:r>
        <w:rPr>
          <w:rFonts w:hint="eastAsia"/>
        </w:rPr>
        <w:t>法替代因子打分法来考察各个因子的表现，以有效性指标来衡量各个因子的有效性。</w:t>
      </w:r>
    </w:p>
    <w:p w:rsidR="00004EB0" w:rsidRDefault="00004EB0" w:rsidP="00B034AA">
      <w:pPr>
        <w:pStyle w:val="a3"/>
        <w:ind w:left="360" w:firstLineChars="0" w:firstLine="0"/>
      </w:pPr>
      <w:r>
        <w:rPr>
          <w:rFonts w:hint="eastAsia"/>
        </w:rPr>
        <w:tab/>
      </w:r>
      <w:r>
        <w:rPr>
          <w:rFonts w:hint="eastAsia"/>
        </w:rPr>
        <w:tab/>
      </w:r>
      <w:r w:rsidR="009323BC" w:rsidRPr="00DA60EE">
        <w:rPr>
          <w:rFonts w:hint="eastAsia"/>
          <w:b/>
        </w:rPr>
        <w:t>有效性指标</w:t>
      </w:r>
      <w:r w:rsidR="009323BC">
        <w:rPr>
          <w:rFonts w:hint="eastAsia"/>
        </w:rPr>
        <w:t>：通过跟踪超</w:t>
      </w:r>
      <w:r>
        <w:rPr>
          <w:rFonts w:hint="eastAsia"/>
        </w:rPr>
        <w:t>配与超低配组合的表现来考察因子的有效性，包括</w:t>
      </w:r>
      <w:r>
        <w:rPr>
          <w:rFonts w:hint="eastAsia"/>
        </w:rPr>
        <w:t>IC</w:t>
      </w:r>
      <w:r>
        <w:rPr>
          <w:rFonts w:hint="eastAsia"/>
        </w:rPr>
        <w:t>，</w:t>
      </w:r>
      <w:r>
        <w:rPr>
          <w:rFonts w:hint="eastAsia"/>
        </w:rPr>
        <w:t>IR</w:t>
      </w:r>
      <w:r>
        <w:rPr>
          <w:rFonts w:hint="eastAsia"/>
        </w:rPr>
        <w:t>，</w:t>
      </w:r>
      <w:r w:rsidR="0015348D">
        <w:rPr>
          <w:rFonts w:hint="eastAsia"/>
        </w:rPr>
        <w:t>因子胜率</w:t>
      </w:r>
      <w:r w:rsidR="000A36D1">
        <w:rPr>
          <w:rFonts w:hint="eastAsia"/>
        </w:rPr>
        <w:t>，累计收益率</w:t>
      </w:r>
      <w:r>
        <w:rPr>
          <w:rFonts w:hint="eastAsia"/>
        </w:rPr>
        <w:t>。</w:t>
      </w:r>
    </w:p>
    <w:p w:rsidR="00004EB0" w:rsidRDefault="00553568" w:rsidP="00553568">
      <w:pPr>
        <w:ind w:left="360" w:firstLine="420"/>
      </w:pPr>
      <w:r>
        <w:rPr>
          <w:rFonts w:hint="eastAsia"/>
        </w:rPr>
        <w:t>（</w:t>
      </w:r>
      <w:r>
        <w:rPr>
          <w:rFonts w:hint="eastAsia"/>
        </w:rPr>
        <w:t>1</w:t>
      </w:r>
      <w:r>
        <w:rPr>
          <w:rFonts w:hint="eastAsia"/>
        </w:rPr>
        <w:t>）</w:t>
      </w:r>
      <w:r w:rsidR="00FA3032" w:rsidRPr="00DA60EE">
        <w:rPr>
          <w:rFonts w:hint="eastAsia"/>
          <w:b/>
        </w:rPr>
        <w:t>因子</w:t>
      </w:r>
      <w:r w:rsidR="00FA3032" w:rsidRPr="00DA60EE">
        <w:rPr>
          <w:rFonts w:hint="eastAsia"/>
          <w:b/>
        </w:rPr>
        <w:t>IC</w:t>
      </w:r>
      <w:r w:rsidR="00FA3032" w:rsidRPr="00DA60EE">
        <w:rPr>
          <w:rFonts w:hint="eastAsia"/>
          <w:b/>
        </w:rPr>
        <w:t>（信息系数）</w:t>
      </w:r>
      <w:r w:rsidR="00FA3032">
        <w:rPr>
          <w:rFonts w:hint="eastAsia"/>
        </w:rPr>
        <w:t>：</w:t>
      </w:r>
      <w:r w:rsidR="009323BC">
        <w:rPr>
          <w:rFonts w:hint="eastAsia"/>
        </w:rPr>
        <w:t>即每个时点因子在各个股票的</w:t>
      </w:r>
      <w:proofErr w:type="gramStart"/>
      <w:r w:rsidR="00A81864">
        <w:rPr>
          <w:rFonts w:hint="eastAsia"/>
        </w:rPr>
        <w:t>暴露值</w:t>
      </w:r>
      <w:bookmarkStart w:id="3" w:name="_GoBack"/>
      <w:bookmarkEnd w:id="3"/>
      <w:proofErr w:type="gramEnd"/>
      <w:r w:rsidR="009323BC">
        <w:rPr>
          <w:rFonts w:hint="eastAsia"/>
        </w:rPr>
        <w:t>与各股票下期回报之间的相关系数，本文认为如果一个因子的</w:t>
      </w:r>
      <w:r w:rsidR="009323BC">
        <w:rPr>
          <w:rFonts w:hint="eastAsia"/>
        </w:rPr>
        <w:t>IC</w:t>
      </w:r>
      <w:r w:rsidR="009323BC">
        <w:rPr>
          <w:rFonts w:hint="eastAsia"/>
        </w:rPr>
        <w:t>值的绝对值高于</w:t>
      </w:r>
      <w:r w:rsidR="009323BC">
        <w:rPr>
          <w:rFonts w:hint="eastAsia"/>
        </w:rPr>
        <w:t>2%</w:t>
      </w:r>
      <w:r w:rsidR="009323BC">
        <w:rPr>
          <w:rFonts w:hint="eastAsia"/>
        </w:rPr>
        <w:t>，则认为该因子在优选个股</w:t>
      </w:r>
      <w:r w:rsidR="009323BC">
        <w:rPr>
          <w:rFonts w:hint="eastAsia"/>
        </w:rPr>
        <w:t>Alpha</w:t>
      </w:r>
      <w:r w:rsidR="009323BC">
        <w:rPr>
          <w:rFonts w:hint="eastAsia"/>
        </w:rPr>
        <w:t>收益上有较好的效果，</w:t>
      </w:r>
      <w:r w:rsidR="009323BC">
        <w:rPr>
          <w:rFonts w:hint="eastAsia"/>
        </w:rPr>
        <w:t>IC</w:t>
      </w:r>
      <w:r w:rsidR="009323BC">
        <w:rPr>
          <w:rFonts w:hint="eastAsia"/>
        </w:rPr>
        <w:t>为正表示该因子与股票未来的收益率呈正相关，应该超配</w:t>
      </w:r>
      <w:r>
        <w:rPr>
          <w:rFonts w:hint="eastAsia"/>
        </w:rPr>
        <w:t>因子</w:t>
      </w:r>
      <w:proofErr w:type="gramStart"/>
      <w:r>
        <w:rPr>
          <w:rFonts w:hint="eastAsia"/>
        </w:rPr>
        <w:t>暴露值</w:t>
      </w:r>
      <w:proofErr w:type="gramEnd"/>
      <w:r>
        <w:rPr>
          <w:rFonts w:hint="eastAsia"/>
        </w:rPr>
        <w:t>高的股票，反之若</w:t>
      </w:r>
      <w:r>
        <w:rPr>
          <w:rFonts w:hint="eastAsia"/>
        </w:rPr>
        <w:t>IC</w:t>
      </w:r>
      <w:r w:rsidR="00A22DFF">
        <w:rPr>
          <w:rFonts w:hint="eastAsia"/>
        </w:rPr>
        <w:t>为负</w:t>
      </w:r>
      <w:r w:rsidR="00F13C56">
        <w:rPr>
          <w:rFonts w:hint="eastAsia"/>
        </w:rPr>
        <w:t>，</w:t>
      </w:r>
      <w:r w:rsidR="00A22DFF">
        <w:rPr>
          <w:rFonts w:hint="eastAsia"/>
        </w:rPr>
        <w:t>则</w:t>
      </w:r>
      <w:r w:rsidR="003759AA">
        <w:rPr>
          <w:rFonts w:hint="eastAsia"/>
        </w:rPr>
        <w:t>低</w:t>
      </w:r>
      <w:r>
        <w:rPr>
          <w:rFonts w:hint="eastAsia"/>
        </w:rPr>
        <w:t>配因子</w:t>
      </w:r>
      <w:proofErr w:type="gramStart"/>
      <w:r>
        <w:rPr>
          <w:rFonts w:hint="eastAsia"/>
        </w:rPr>
        <w:t>暴露值</w:t>
      </w:r>
      <w:proofErr w:type="gramEnd"/>
      <w:r>
        <w:rPr>
          <w:rFonts w:hint="eastAsia"/>
        </w:rPr>
        <w:t>低的股票。</w:t>
      </w:r>
    </w:p>
    <w:p w:rsidR="00553568" w:rsidRDefault="00553568" w:rsidP="00553568">
      <w:pPr>
        <w:pStyle w:val="a3"/>
        <w:ind w:left="420" w:firstLineChars="0" w:firstLine="360"/>
      </w:pPr>
      <w:r>
        <w:rPr>
          <w:rFonts w:hint="eastAsia"/>
        </w:rPr>
        <w:t>（</w:t>
      </w:r>
      <w:r>
        <w:rPr>
          <w:rFonts w:hint="eastAsia"/>
        </w:rPr>
        <w:t>2</w:t>
      </w:r>
      <w:r>
        <w:rPr>
          <w:rFonts w:hint="eastAsia"/>
        </w:rPr>
        <w:t>）</w:t>
      </w:r>
      <w:r w:rsidRPr="00DA60EE">
        <w:rPr>
          <w:rFonts w:hint="eastAsia"/>
          <w:b/>
        </w:rPr>
        <w:t>因子</w:t>
      </w:r>
      <w:r w:rsidRPr="00DA60EE">
        <w:rPr>
          <w:rFonts w:hint="eastAsia"/>
          <w:b/>
        </w:rPr>
        <w:t>IR</w:t>
      </w:r>
      <w:r w:rsidRPr="00DA60EE">
        <w:rPr>
          <w:rFonts w:hint="eastAsia"/>
          <w:b/>
        </w:rPr>
        <w:t>（信息比）</w:t>
      </w:r>
      <w:r>
        <w:rPr>
          <w:rFonts w:hint="eastAsia"/>
        </w:rPr>
        <w:t>：即因子在样本期间的平均</w:t>
      </w:r>
      <w:proofErr w:type="gramStart"/>
      <w:r>
        <w:rPr>
          <w:rFonts w:hint="eastAsia"/>
        </w:rPr>
        <w:t>年化收益与年化平均</w:t>
      </w:r>
      <w:proofErr w:type="gramEnd"/>
      <w:r>
        <w:rPr>
          <w:rFonts w:hint="eastAsia"/>
        </w:rPr>
        <w:t>标准差的比值，</w:t>
      </w:r>
      <w:r>
        <w:rPr>
          <w:rFonts w:hint="eastAsia"/>
        </w:rPr>
        <w:t>IR</w:t>
      </w:r>
      <w:r>
        <w:rPr>
          <w:rFonts w:hint="eastAsia"/>
        </w:rPr>
        <w:t>的绝对值越高，表明该因子在优选个股</w:t>
      </w:r>
      <w:r>
        <w:rPr>
          <w:rFonts w:hint="eastAsia"/>
        </w:rPr>
        <w:t>Alpha</w:t>
      </w:r>
      <w:r>
        <w:rPr>
          <w:rFonts w:hint="eastAsia"/>
        </w:rPr>
        <w:t>收益上效果越好，另外，经统计发现，</w:t>
      </w:r>
      <w:r>
        <w:rPr>
          <w:rFonts w:hint="eastAsia"/>
        </w:rPr>
        <w:t>IR</w:t>
      </w:r>
      <w:r>
        <w:rPr>
          <w:rFonts w:hint="eastAsia"/>
        </w:rPr>
        <w:t>的绝对值高于</w:t>
      </w:r>
      <w:r>
        <w:rPr>
          <w:rFonts w:hint="eastAsia"/>
        </w:rPr>
        <w:t>0.7</w:t>
      </w:r>
      <w:r>
        <w:rPr>
          <w:rFonts w:hint="eastAsia"/>
        </w:rPr>
        <w:t>时，</w:t>
      </w:r>
      <w:r>
        <w:rPr>
          <w:rFonts w:hint="eastAsia"/>
        </w:rPr>
        <w:t>Alpha</w:t>
      </w:r>
      <w:r>
        <w:rPr>
          <w:rFonts w:hint="eastAsia"/>
        </w:rPr>
        <w:t>因子的选</w:t>
      </w:r>
      <w:proofErr w:type="gramStart"/>
      <w:r>
        <w:rPr>
          <w:rFonts w:hint="eastAsia"/>
        </w:rPr>
        <w:t>股效果</w:t>
      </w:r>
      <w:proofErr w:type="gramEnd"/>
      <w:r>
        <w:rPr>
          <w:rFonts w:hint="eastAsia"/>
        </w:rPr>
        <w:t>通常比较显著，另外，若</w:t>
      </w:r>
      <w:r>
        <w:rPr>
          <w:rFonts w:hint="eastAsia"/>
        </w:rPr>
        <w:t>IR</w:t>
      </w:r>
      <w:r>
        <w:rPr>
          <w:rFonts w:hint="eastAsia"/>
        </w:rPr>
        <w:t>为正，则代表超配因子</w:t>
      </w:r>
      <w:proofErr w:type="gramStart"/>
      <w:r>
        <w:rPr>
          <w:rFonts w:hint="eastAsia"/>
        </w:rPr>
        <w:t>暴露值</w:t>
      </w:r>
      <w:proofErr w:type="gramEnd"/>
      <w:r>
        <w:rPr>
          <w:rFonts w:hint="eastAsia"/>
        </w:rPr>
        <w:t>高的个股，反之</w:t>
      </w:r>
      <w:r w:rsidR="00BA56D5">
        <w:rPr>
          <w:rFonts w:hint="eastAsia"/>
        </w:rPr>
        <w:t>若</w:t>
      </w:r>
      <w:r w:rsidR="00BA56D5">
        <w:rPr>
          <w:rFonts w:hint="eastAsia"/>
        </w:rPr>
        <w:t>IR</w:t>
      </w:r>
      <w:r w:rsidR="00BA56D5">
        <w:rPr>
          <w:rFonts w:hint="eastAsia"/>
        </w:rPr>
        <w:t>为负，</w:t>
      </w:r>
      <w:r>
        <w:rPr>
          <w:rFonts w:hint="eastAsia"/>
        </w:rPr>
        <w:t>则低配</w:t>
      </w:r>
      <w:r w:rsidR="00BA56D5">
        <w:rPr>
          <w:rFonts w:hint="eastAsia"/>
        </w:rPr>
        <w:t>因子</w:t>
      </w:r>
      <w:proofErr w:type="gramStart"/>
      <w:r w:rsidR="00BA56D5">
        <w:rPr>
          <w:rFonts w:hint="eastAsia"/>
        </w:rPr>
        <w:t>暴露值</w:t>
      </w:r>
      <w:proofErr w:type="gramEnd"/>
      <w:r w:rsidR="00BA56D5">
        <w:rPr>
          <w:rFonts w:hint="eastAsia"/>
        </w:rPr>
        <w:t>低的股票</w:t>
      </w:r>
      <w:r w:rsidR="00C658CA">
        <w:rPr>
          <w:rFonts w:hint="eastAsia"/>
        </w:rPr>
        <w:t>。</w:t>
      </w:r>
    </w:p>
    <w:p w:rsidR="00DA60EE" w:rsidRDefault="00DA60EE" w:rsidP="00553568">
      <w:pPr>
        <w:pStyle w:val="a3"/>
        <w:ind w:left="420" w:firstLineChars="0" w:firstLine="360"/>
      </w:pPr>
      <w:r>
        <w:rPr>
          <w:rFonts w:hint="eastAsia"/>
        </w:rPr>
        <w:t>（</w:t>
      </w:r>
      <w:r>
        <w:rPr>
          <w:rFonts w:hint="eastAsia"/>
        </w:rPr>
        <w:t>3</w:t>
      </w:r>
      <w:r>
        <w:rPr>
          <w:rFonts w:hint="eastAsia"/>
        </w:rPr>
        <w:t>）</w:t>
      </w:r>
      <w:r w:rsidRPr="00DA60EE">
        <w:rPr>
          <w:rFonts w:hint="eastAsia"/>
          <w:b/>
        </w:rPr>
        <w:t>因子胜率：</w:t>
      </w:r>
      <w:r>
        <w:rPr>
          <w:rFonts w:hint="eastAsia"/>
        </w:rPr>
        <w:t>所谓因子胜率，就是统计在回测时间样本空间里，因子收益为正的次数占全样本长度的比值，比值越大，证明由因子挑选的超配组合收益</w:t>
      </w:r>
      <w:proofErr w:type="gramStart"/>
      <w:r>
        <w:rPr>
          <w:rFonts w:hint="eastAsia"/>
        </w:rPr>
        <w:t>战胜低</w:t>
      </w:r>
      <w:proofErr w:type="gramEnd"/>
      <w:r>
        <w:rPr>
          <w:rFonts w:hint="eastAsia"/>
        </w:rPr>
        <w:t>配组合收益的成功率越高，该因子的有效性越显著！</w:t>
      </w:r>
    </w:p>
    <w:p w:rsidR="000A36D1" w:rsidRDefault="000A36D1" w:rsidP="00553568">
      <w:pPr>
        <w:pStyle w:val="a3"/>
        <w:ind w:left="420" w:firstLineChars="0" w:firstLine="360"/>
      </w:pPr>
      <w:r>
        <w:rPr>
          <w:rFonts w:hint="eastAsia"/>
        </w:rPr>
        <w:t>（</w:t>
      </w:r>
      <w:r>
        <w:rPr>
          <w:rFonts w:hint="eastAsia"/>
        </w:rPr>
        <w:t>4</w:t>
      </w:r>
      <w:r>
        <w:rPr>
          <w:rFonts w:hint="eastAsia"/>
        </w:rPr>
        <w:t>）</w:t>
      </w:r>
      <w:r w:rsidRPr="000A36D1">
        <w:rPr>
          <w:rFonts w:hint="eastAsia"/>
          <w:b/>
        </w:rPr>
        <w:t>累计收益率：</w:t>
      </w:r>
      <w:r>
        <w:rPr>
          <w:rFonts w:hint="eastAsia"/>
        </w:rPr>
        <w:t>用于衡量因子</w:t>
      </w:r>
      <w:r>
        <w:rPr>
          <w:rFonts w:hint="eastAsia"/>
        </w:rPr>
        <w:t>Alpha</w:t>
      </w:r>
      <w:r>
        <w:rPr>
          <w:rFonts w:hint="eastAsia"/>
        </w:rPr>
        <w:t>在</w:t>
      </w:r>
      <w:r w:rsidR="00A3106A">
        <w:rPr>
          <w:rFonts w:hint="eastAsia"/>
        </w:rPr>
        <w:t>回测时间</w:t>
      </w:r>
      <w:r>
        <w:rPr>
          <w:rFonts w:hint="eastAsia"/>
        </w:rPr>
        <w:t>样本区间是否具有稳定且可持续收益。</w:t>
      </w:r>
    </w:p>
    <w:p w:rsidR="000A36D1" w:rsidRPr="00A3106A" w:rsidRDefault="000A36D1" w:rsidP="00553568">
      <w:pPr>
        <w:pStyle w:val="a3"/>
        <w:ind w:left="420" w:firstLineChars="0" w:firstLine="360"/>
      </w:pPr>
      <w:r>
        <w:rPr>
          <w:rFonts w:hint="eastAsia"/>
        </w:rPr>
        <w:t>（</w:t>
      </w:r>
      <w:r>
        <w:rPr>
          <w:rFonts w:hint="eastAsia"/>
        </w:rPr>
        <w:t>5</w:t>
      </w:r>
      <w:r>
        <w:rPr>
          <w:rFonts w:hint="eastAsia"/>
        </w:rPr>
        <w:t>）</w:t>
      </w:r>
      <w:r w:rsidRPr="000A36D1">
        <w:rPr>
          <w:rFonts w:hint="eastAsia"/>
          <w:b/>
        </w:rPr>
        <w:t>最大回撤率：</w:t>
      </w:r>
      <w:r w:rsidR="00A3106A">
        <w:rPr>
          <w:rFonts w:hint="eastAsia"/>
        </w:rPr>
        <w:t>统计在回测时间样本区间里，组合与最高点的亏损率，反应因子</w:t>
      </w:r>
      <w:r w:rsidR="00A3106A">
        <w:rPr>
          <w:rFonts w:hint="eastAsia"/>
        </w:rPr>
        <w:t>Alpha</w:t>
      </w:r>
      <w:r w:rsidR="00A3106A">
        <w:rPr>
          <w:rFonts w:hint="eastAsia"/>
        </w:rPr>
        <w:t>的抗风险能力，若回撤</w:t>
      </w:r>
      <w:r w:rsidR="00030A27">
        <w:rPr>
          <w:rFonts w:hint="eastAsia"/>
        </w:rPr>
        <w:t>比率较大，则因子风险</w:t>
      </w:r>
      <w:proofErr w:type="gramStart"/>
      <w:r w:rsidR="00030A27">
        <w:rPr>
          <w:rFonts w:hint="eastAsia"/>
        </w:rPr>
        <w:t>暴露值</w:t>
      </w:r>
      <w:proofErr w:type="gramEnd"/>
      <w:r w:rsidR="00030A27">
        <w:rPr>
          <w:rFonts w:hint="eastAsia"/>
        </w:rPr>
        <w:t>较大，反之，若回撤比率</w:t>
      </w:r>
      <w:r w:rsidR="00030A27">
        <w:rPr>
          <w:rFonts w:hint="eastAsia"/>
        </w:rPr>
        <w:lastRenderedPageBreak/>
        <w:t>较小，则因子风险</w:t>
      </w:r>
      <w:proofErr w:type="gramStart"/>
      <w:r w:rsidR="00030A27">
        <w:rPr>
          <w:rFonts w:hint="eastAsia"/>
        </w:rPr>
        <w:t>暴露值较小</w:t>
      </w:r>
      <w:proofErr w:type="gramEnd"/>
      <w:r w:rsidR="00030A27">
        <w:rPr>
          <w:rFonts w:hint="eastAsia"/>
        </w:rPr>
        <w:t>。通常最大回撤比率越小，表明因子</w:t>
      </w:r>
      <w:r w:rsidR="00030A27">
        <w:rPr>
          <w:rFonts w:hint="eastAsia"/>
        </w:rPr>
        <w:t>Alpha</w:t>
      </w:r>
      <w:r w:rsidR="00030A27">
        <w:rPr>
          <w:rFonts w:hint="eastAsia"/>
        </w:rPr>
        <w:t>越稳定</w:t>
      </w:r>
      <w:r w:rsidR="001F032B">
        <w:rPr>
          <w:rFonts w:hint="eastAsia"/>
        </w:rPr>
        <w:t>且风险可控</w:t>
      </w:r>
      <w:r w:rsidR="00030A27">
        <w:rPr>
          <w:rFonts w:hint="eastAsia"/>
        </w:rPr>
        <w:t>。</w:t>
      </w:r>
    </w:p>
    <w:p w:rsidR="00F85738" w:rsidRPr="004A73F9" w:rsidRDefault="00334996" w:rsidP="00F85738">
      <w:pPr>
        <w:pStyle w:val="a3"/>
        <w:numPr>
          <w:ilvl w:val="0"/>
          <w:numId w:val="2"/>
        </w:numPr>
        <w:spacing w:line="480" w:lineRule="auto"/>
        <w:ind w:firstLineChars="0"/>
        <w:rPr>
          <w:b/>
        </w:rPr>
      </w:pPr>
      <w:r w:rsidRPr="004A73F9">
        <w:rPr>
          <w:rFonts w:hint="eastAsia"/>
          <w:b/>
        </w:rPr>
        <w:t>挑选有效因子</w:t>
      </w:r>
    </w:p>
    <w:p w:rsidR="00334996" w:rsidRDefault="00334996" w:rsidP="00F85738">
      <w:pPr>
        <w:pStyle w:val="a3"/>
        <w:ind w:left="420" w:firstLineChars="0"/>
      </w:pPr>
      <w:r>
        <w:rPr>
          <w:rFonts w:hint="eastAsia"/>
        </w:rPr>
        <w:t>本文主要侧重于对有效选股</w:t>
      </w:r>
      <w:r w:rsidR="006B779D">
        <w:rPr>
          <w:rFonts w:hint="eastAsia"/>
        </w:rPr>
        <w:t>因子的挖掘，而关于如何根据挖掘出的有效</w:t>
      </w:r>
      <w:r w:rsidR="006B779D">
        <w:rPr>
          <w:rFonts w:hint="eastAsia"/>
        </w:rPr>
        <w:t>Alpha</w:t>
      </w:r>
      <w:r w:rsidR="006B779D">
        <w:rPr>
          <w:rFonts w:hint="eastAsia"/>
        </w:rPr>
        <w:t>因子构建相应的</w:t>
      </w:r>
      <w:r w:rsidR="006B779D">
        <w:rPr>
          <w:rFonts w:hint="eastAsia"/>
        </w:rPr>
        <w:t>Alpha</w:t>
      </w:r>
      <w:r w:rsidR="006B779D">
        <w:rPr>
          <w:rFonts w:hint="eastAsia"/>
        </w:rPr>
        <w:t>策略，将在其他报告里进行介绍。</w:t>
      </w:r>
    </w:p>
    <w:p w:rsidR="00090790" w:rsidRDefault="00090790" w:rsidP="00F85738">
      <w:pPr>
        <w:pStyle w:val="a3"/>
        <w:ind w:left="420" w:firstLineChars="0"/>
      </w:pPr>
      <w:r>
        <w:rPr>
          <w:rFonts w:hint="eastAsia"/>
        </w:rPr>
        <w:t>综合考虑各个</w:t>
      </w:r>
      <w:r>
        <w:rPr>
          <w:rFonts w:hint="eastAsia"/>
        </w:rPr>
        <w:t>Alpha</w:t>
      </w:r>
      <w:r>
        <w:rPr>
          <w:rFonts w:hint="eastAsia"/>
        </w:rPr>
        <w:t>因子在各项度量指标上的表现，本研究进一步从各类</w:t>
      </w:r>
      <w:r>
        <w:rPr>
          <w:rFonts w:hint="eastAsia"/>
        </w:rPr>
        <w:t>Alpha</w:t>
      </w:r>
      <w:r>
        <w:rPr>
          <w:rFonts w:hint="eastAsia"/>
        </w:rPr>
        <w:t>因子中挑选出具有较强代表性以及选</w:t>
      </w:r>
      <w:proofErr w:type="gramStart"/>
      <w:r>
        <w:rPr>
          <w:rFonts w:hint="eastAsia"/>
        </w:rPr>
        <w:t>股效果</w:t>
      </w:r>
      <w:proofErr w:type="gramEnd"/>
      <w:r>
        <w:rPr>
          <w:rFonts w:hint="eastAsia"/>
        </w:rPr>
        <w:t>最佳的</w:t>
      </w:r>
      <w:r>
        <w:rPr>
          <w:rFonts w:hint="eastAsia"/>
        </w:rPr>
        <w:t>Alpha</w:t>
      </w:r>
      <w:r>
        <w:rPr>
          <w:rFonts w:hint="eastAsia"/>
        </w:rPr>
        <w:t>因子。</w:t>
      </w:r>
    </w:p>
    <w:p w:rsidR="005E7DB4" w:rsidRPr="008B02F4" w:rsidRDefault="008B02F4" w:rsidP="008B02F4">
      <w:pPr>
        <w:pStyle w:val="a3"/>
        <w:numPr>
          <w:ilvl w:val="0"/>
          <w:numId w:val="2"/>
        </w:numPr>
        <w:spacing w:line="480" w:lineRule="auto"/>
        <w:ind w:left="357" w:firstLineChars="0" w:hanging="357"/>
        <w:rPr>
          <w:b/>
        </w:rPr>
      </w:pPr>
      <w:r w:rsidRPr="008B02F4">
        <w:rPr>
          <w:rFonts w:hint="eastAsia"/>
          <w:b/>
        </w:rPr>
        <w:t>备选因子</w:t>
      </w:r>
    </w:p>
    <w:p w:rsidR="008B02F4" w:rsidRDefault="00F12394" w:rsidP="003B62F3">
      <w:pPr>
        <w:ind w:firstLine="420"/>
      </w:pPr>
      <w:r>
        <w:rPr>
          <w:rFonts w:hint="eastAsia"/>
        </w:rPr>
        <w:t>由于因子的来源五花八门，为了更好</w:t>
      </w:r>
      <w:r w:rsidR="003B62F3">
        <w:rPr>
          <w:rFonts w:hint="eastAsia"/>
        </w:rPr>
        <w:t>捕捉到有效因子且适应不同投资时期</w:t>
      </w:r>
      <w:r>
        <w:rPr>
          <w:rFonts w:hint="eastAsia"/>
        </w:rPr>
        <w:t>。</w:t>
      </w:r>
      <w:r w:rsidR="003B62F3">
        <w:rPr>
          <w:rFonts w:hint="eastAsia"/>
        </w:rPr>
        <w:t>因此，对于各个因子进行归类，在尽可能考虑多维度的情况下，选取合适因子。同时，也要求所选因子具有经济逻辑以及投资逻辑。</w:t>
      </w:r>
      <w:r w:rsidR="00A2609F">
        <w:rPr>
          <w:rFonts w:hint="eastAsia"/>
        </w:rPr>
        <w:t>因此，本文根据经济逻辑以及投资逻辑将因子分为估值类因子，规模类因子，成长类因子，质量类因子以及技术类因子等五大类。并在日后根据相关逻辑进一步扩充因子维度。</w:t>
      </w:r>
    </w:p>
    <w:p w:rsidR="00AD3CC1" w:rsidRPr="009E7022" w:rsidRDefault="00AD3CC1" w:rsidP="003B62F3">
      <w:pPr>
        <w:ind w:firstLine="420"/>
      </w:pPr>
    </w:p>
    <w:p w:rsidR="00023CC3" w:rsidRPr="00F3462A" w:rsidRDefault="000D06C6" w:rsidP="001F2F57">
      <w:pPr>
        <w:pStyle w:val="1"/>
        <w:numPr>
          <w:ilvl w:val="0"/>
          <w:numId w:val="0"/>
        </w:numPr>
      </w:pPr>
      <w:bookmarkStart w:id="4" w:name="_Toc432583982"/>
      <w:r>
        <w:rPr>
          <w:rFonts w:hint="eastAsia"/>
        </w:rPr>
        <w:t>因子分析</w:t>
      </w:r>
      <w:bookmarkEnd w:id="4"/>
    </w:p>
    <w:p w:rsidR="00023CC3" w:rsidRDefault="00154D90" w:rsidP="00154D90">
      <w:pPr>
        <w:ind w:firstLine="420"/>
        <w:rPr>
          <w:szCs w:val="21"/>
        </w:rPr>
      </w:pPr>
      <w:proofErr w:type="gramStart"/>
      <w:r w:rsidRPr="00154D90">
        <w:rPr>
          <w:rFonts w:hint="eastAsia"/>
          <w:b/>
          <w:szCs w:val="21"/>
        </w:rPr>
        <w:t>回测样本</w:t>
      </w:r>
      <w:proofErr w:type="gramEnd"/>
      <w:r w:rsidRPr="00154D90">
        <w:rPr>
          <w:rFonts w:hint="eastAsia"/>
          <w:b/>
          <w:szCs w:val="21"/>
        </w:rPr>
        <w:t>标的：</w:t>
      </w:r>
      <w:r>
        <w:rPr>
          <w:rFonts w:hint="eastAsia"/>
          <w:szCs w:val="21"/>
        </w:rPr>
        <w:t>全部</w:t>
      </w:r>
      <w:r>
        <w:rPr>
          <w:rFonts w:hint="eastAsia"/>
          <w:szCs w:val="21"/>
        </w:rPr>
        <w:t>A</w:t>
      </w:r>
      <w:r>
        <w:rPr>
          <w:rFonts w:hint="eastAsia"/>
          <w:szCs w:val="21"/>
        </w:rPr>
        <w:t>股，由于股票数据可能存在缺省问题，因此剔除</w:t>
      </w:r>
      <w:r>
        <w:rPr>
          <w:rFonts w:hint="eastAsia"/>
          <w:szCs w:val="21"/>
        </w:rPr>
        <w:t>ST</w:t>
      </w:r>
      <w:r>
        <w:rPr>
          <w:rFonts w:hint="eastAsia"/>
          <w:szCs w:val="21"/>
        </w:rPr>
        <w:t>，因子数据缺省股票，</w:t>
      </w:r>
      <w:proofErr w:type="gramStart"/>
      <w:r>
        <w:rPr>
          <w:rFonts w:hint="eastAsia"/>
          <w:szCs w:val="21"/>
        </w:rPr>
        <w:t>以及回测区间</w:t>
      </w:r>
      <w:proofErr w:type="gramEnd"/>
      <w:r>
        <w:rPr>
          <w:rFonts w:hint="eastAsia"/>
          <w:szCs w:val="21"/>
        </w:rPr>
        <w:t>样本内上市不满一年的股票。</w:t>
      </w:r>
    </w:p>
    <w:p w:rsidR="00154D90" w:rsidRDefault="00154D90" w:rsidP="00154D90">
      <w:pPr>
        <w:ind w:firstLine="420"/>
        <w:rPr>
          <w:szCs w:val="21"/>
        </w:rPr>
      </w:pPr>
      <w:proofErr w:type="gramStart"/>
      <w:r w:rsidRPr="00154D90">
        <w:rPr>
          <w:rFonts w:hint="eastAsia"/>
          <w:b/>
          <w:szCs w:val="21"/>
        </w:rPr>
        <w:t>回测</w:t>
      </w:r>
      <w:r w:rsidR="00206EE4">
        <w:rPr>
          <w:rFonts w:hint="eastAsia"/>
          <w:b/>
          <w:szCs w:val="21"/>
        </w:rPr>
        <w:t>区间</w:t>
      </w:r>
      <w:proofErr w:type="gramEnd"/>
      <w:r w:rsidRPr="00154D90">
        <w:rPr>
          <w:rFonts w:hint="eastAsia"/>
          <w:b/>
          <w:szCs w:val="21"/>
        </w:rPr>
        <w:t>时间样本：</w:t>
      </w:r>
      <w:r w:rsidR="00B606D6">
        <w:rPr>
          <w:rFonts w:hint="eastAsia"/>
          <w:szCs w:val="21"/>
        </w:rPr>
        <w:t>2014.01.01-2014.</w:t>
      </w:r>
      <w:r w:rsidR="00AF18E8">
        <w:rPr>
          <w:rFonts w:hint="eastAsia"/>
          <w:szCs w:val="21"/>
        </w:rPr>
        <w:t>03.31</w:t>
      </w:r>
    </w:p>
    <w:p w:rsidR="00154D90" w:rsidRDefault="00CF088D" w:rsidP="00CF088D">
      <w:pPr>
        <w:ind w:firstLine="420"/>
        <w:rPr>
          <w:szCs w:val="21"/>
        </w:rPr>
      </w:pPr>
      <w:proofErr w:type="gramStart"/>
      <w:r w:rsidRPr="00CF088D">
        <w:rPr>
          <w:rFonts w:hint="eastAsia"/>
          <w:b/>
          <w:szCs w:val="21"/>
        </w:rPr>
        <w:t>回测区间</w:t>
      </w:r>
      <w:proofErr w:type="gramEnd"/>
      <w:r w:rsidRPr="00CF088D">
        <w:rPr>
          <w:rFonts w:hint="eastAsia"/>
          <w:b/>
          <w:szCs w:val="21"/>
        </w:rPr>
        <w:t>交易数据处理：</w:t>
      </w:r>
      <w:proofErr w:type="gramStart"/>
      <w:r>
        <w:rPr>
          <w:rFonts w:hint="eastAsia"/>
          <w:szCs w:val="21"/>
        </w:rPr>
        <w:t>将回测区间</w:t>
      </w:r>
      <w:proofErr w:type="gramEnd"/>
      <w:r>
        <w:rPr>
          <w:rFonts w:hint="eastAsia"/>
          <w:szCs w:val="21"/>
        </w:rPr>
        <w:t>样本</w:t>
      </w:r>
      <w:proofErr w:type="gramStart"/>
      <w:r>
        <w:rPr>
          <w:rFonts w:hint="eastAsia"/>
          <w:szCs w:val="21"/>
        </w:rPr>
        <w:t>进行前复权</w:t>
      </w:r>
      <w:proofErr w:type="gramEnd"/>
      <w:r>
        <w:rPr>
          <w:rFonts w:hint="eastAsia"/>
          <w:szCs w:val="21"/>
        </w:rPr>
        <w:t>处理，以</w:t>
      </w:r>
      <w:proofErr w:type="gramStart"/>
      <w:r>
        <w:rPr>
          <w:rFonts w:hint="eastAsia"/>
          <w:szCs w:val="21"/>
        </w:rPr>
        <w:t>解决回测区间</w:t>
      </w:r>
      <w:proofErr w:type="gramEnd"/>
      <w:r>
        <w:rPr>
          <w:rFonts w:hint="eastAsia"/>
          <w:szCs w:val="21"/>
        </w:rPr>
        <w:t>样本内可能存在</w:t>
      </w:r>
      <w:proofErr w:type="gramStart"/>
      <w:r>
        <w:rPr>
          <w:rFonts w:hint="eastAsia"/>
          <w:szCs w:val="21"/>
        </w:rPr>
        <w:t>的增转送股</w:t>
      </w:r>
      <w:proofErr w:type="gramEnd"/>
      <w:r>
        <w:rPr>
          <w:rFonts w:hint="eastAsia"/>
          <w:szCs w:val="21"/>
        </w:rPr>
        <w:t>，股息分派导致股价差异巨大的问题。</w:t>
      </w:r>
    </w:p>
    <w:p w:rsidR="00EF6F89" w:rsidRDefault="00EF6F89" w:rsidP="00CF088D">
      <w:pPr>
        <w:ind w:firstLine="420"/>
        <w:rPr>
          <w:szCs w:val="21"/>
        </w:rPr>
      </w:pPr>
      <w:r w:rsidRPr="00EF6F89">
        <w:rPr>
          <w:rFonts w:hint="eastAsia"/>
          <w:b/>
          <w:szCs w:val="21"/>
        </w:rPr>
        <w:t>因子组合权重：</w:t>
      </w:r>
      <w:r>
        <w:rPr>
          <w:rFonts w:hint="eastAsia"/>
          <w:szCs w:val="21"/>
        </w:rPr>
        <w:t>本文主旨在于建立起可用因子数据库，而非构建多因子</w:t>
      </w:r>
      <w:r>
        <w:rPr>
          <w:rFonts w:hint="eastAsia"/>
          <w:szCs w:val="21"/>
        </w:rPr>
        <w:t>Alpha</w:t>
      </w:r>
      <w:r>
        <w:rPr>
          <w:rFonts w:hint="eastAsia"/>
          <w:szCs w:val="21"/>
        </w:rPr>
        <w:t>策略，因此对于暂时使用等权重方式配比组合权重。</w:t>
      </w:r>
    </w:p>
    <w:p w:rsidR="00023CC3" w:rsidRDefault="00023CC3" w:rsidP="001D31FA">
      <w:pPr>
        <w:rPr>
          <w:szCs w:val="21"/>
        </w:rPr>
      </w:pPr>
    </w:p>
    <w:p w:rsidR="00B606D6" w:rsidRDefault="00B606D6" w:rsidP="001D31FA">
      <w:pPr>
        <w:rPr>
          <w:szCs w:val="21"/>
        </w:rPr>
      </w:pPr>
      <w:r>
        <w:rPr>
          <w:rFonts w:hint="eastAsia"/>
          <w:szCs w:val="21"/>
        </w:rPr>
        <w:t>由于因子库数据处理量较大，本文以质量因子</w:t>
      </w:r>
      <w:r>
        <w:rPr>
          <w:rFonts w:hint="eastAsia"/>
          <w:szCs w:val="21"/>
        </w:rPr>
        <w:t>ROE</w:t>
      </w:r>
      <w:r>
        <w:rPr>
          <w:rFonts w:hint="eastAsia"/>
          <w:szCs w:val="21"/>
        </w:rPr>
        <w:t>为例进行数据处理。</w:t>
      </w:r>
    </w:p>
    <w:p w:rsidR="00F83E20" w:rsidRPr="00F83E20" w:rsidRDefault="00F83E20" w:rsidP="001D31FA">
      <w:pPr>
        <w:rPr>
          <w:b/>
          <w:szCs w:val="21"/>
        </w:rPr>
      </w:pPr>
      <w:r w:rsidRPr="00F83E20">
        <w:rPr>
          <w:rFonts w:hint="eastAsia"/>
          <w:b/>
          <w:szCs w:val="21"/>
        </w:rPr>
        <w:t>ROE</w:t>
      </w:r>
      <w:r w:rsidRPr="00F83E20">
        <w:rPr>
          <w:rFonts w:hint="eastAsia"/>
          <w:b/>
          <w:szCs w:val="21"/>
        </w:rPr>
        <w:t>因子分析结果：</w:t>
      </w:r>
    </w:p>
    <w:p w:rsidR="00F83E20" w:rsidRDefault="00F345A0" w:rsidP="001D31FA">
      <w:pPr>
        <w:rPr>
          <w:szCs w:val="21"/>
        </w:rPr>
      </w:pPr>
      <w:r>
        <w:rPr>
          <w:rFonts w:hint="eastAsia"/>
          <w:szCs w:val="21"/>
        </w:rPr>
        <w:tab/>
      </w:r>
      <w:r>
        <w:rPr>
          <w:rFonts w:hint="eastAsia"/>
          <w:szCs w:val="21"/>
        </w:rPr>
        <w:t>将</w:t>
      </w:r>
      <w:r>
        <w:rPr>
          <w:rFonts w:hint="eastAsia"/>
          <w:szCs w:val="21"/>
        </w:rPr>
        <w:t>ROE</w:t>
      </w:r>
      <w:r>
        <w:rPr>
          <w:rFonts w:hint="eastAsia"/>
          <w:szCs w:val="21"/>
        </w:rPr>
        <w:t>从大到小排序</w:t>
      </w:r>
      <w:r w:rsidR="00547D68">
        <w:rPr>
          <w:rFonts w:hint="eastAsia"/>
          <w:szCs w:val="21"/>
        </w:rPr>
        <w:t>（去除</w:t>
      </w:r>
      <w:r w:rsidR="00547D68">
        <w:rPr>
          <w:rFonts w:hint="eastAsia"/>
          <w:szCs w:val="21"/>
        </w:rPr>
        <w:t>ROE</w:t>
      </w:r>
      <w:r w:rsidR="00547D68">
        <w:rPr>
          <w:rFonts w:hint="eastAsia"/>
          <w:szCs w:val="21"/>
        </w:rPr>
        <w:t>为负的证券）</w:t>
      </w:r>
      <w:r>
        <w:rPr>
          <w:rFonts w:hint="eastAsia"/>
          <w:szCs w:val="21"/>
        </w:rPr>
        <w:t>，使用五</w:t>
      </w:r>
      <w:proofErr w:type="gramStart"/>
      <w:r>
        <w:rPr>
          <w:rFonts w:hint="eastAsia"/>
          <w:szCs w:val="21"/>
        </w:rPr>
        <w:t>等分位</w:t>
      </w:r>
      <w:proofErr w:type="gramEnd"/>
      <w:r>
        <w:rPr>
          <w:rFonts w:hint="eastAsia"/>
          <w:szCs w:val="21"/>
        </w:rPr>
        <w:t>法分为五档收益率。其中，一档为超配组合，五档为低配组合。</w:t>
      </w:r>
      <w:r w:rsidR="00F92C21">
        <w:rPr>
          <w:rFonts w:hint="eastAsia"/>
          <w:szCs w:val="21"/>
        </w:rPr>
        <w:t>统计</w:t>
      </w:r>
      <w:r w:rsidR="00F92C21">
        <w:rPr>
          <w:rFonts w:hint="eastAsia"/>
          <w:szCs w:val="21"/>
        </w:rPr>
        <w:t>2014.01.01-2014.03.31</w:t>
      </w:r>
      <w:r w:rsidR="00F92C21">
        <w:rPr>
          <w:rFonts w:hint="eastAsia"/>
          <w:szCs w:val="21"/>
        </w:rPr>
        <w:t>区间内，</w:t>
      </w:r>
      <w:r w:rsidR="007B2A3B">
        <w:rPr>
          <w:rFonts w:hint="eastAsia"/>
          <w:szCs w:val="21"/>
        </w:rPr>
        <w:t>一档超配组合</w:t>
      </w:r>
      <w:proofErr w:type="gramStart"/>
      <w:r w:rsidR="00C35F4C">
        <w:rPr>
          <w:rFonts w:hint="eastAsia"/>
          <w:szCs w:val="21"/>
        </w:rPr>
        <w:t>表现跑输基准</w:t>
      </w:r>
      <w:proofErr w:type="gramEnd"/>
      <w:r w:rsidR="00C35F4C">
        <w:rPr>
          <w:rFonts w:hint="eastAsia"/>
          <w:szCs w:val="21"/>
        </w:rPr>
        <w:t>，</w:t>
      </w:r>
      <w:proofErr w:type="gramStart"/>
      <w:r w:rsidR="00C35F4C">
        <w:rPr>
          <w:rFonts w:hint="eastAsia"/>
          <w:szCs w:val="21"/>
        </w:rPr>
        <w:t>五档低配</w:t>
      </w:r>
      <w:proofErr w:type="gramEnd"/>
      <w:r w:rsidR="00C35F4C">
        <w:rPr>
          <w:rFonts w:hint="eastAsia"/>
          <w:szCs w:val="21"/>
        </w:rPr>
        <w:t>组合表现相对优异。一档与五档胜率分别为</w:t>
      </w:r>
      <w:r w:rsidR="00C35F4C">
        <w:rPr>
          <w:rFonts w:hint="eastAsia"/>
          <w:szCs w:val="21"/>
        </w:rPr>
        <w:t>45.61%</w:t>
      </w:r>
      <w:r w:rsidR="00C35F4C">
        <w:rPr>
          <w:rFonts w:hint="eastAsia"/>
          <w:szCs w:val="21"/>
        </w:rPr>
        <w:t>，</w:t>
      </w:r>
      <w:r w:rsidR="00C35F4C">
        <w:rPr>
          <w:rFonts w:hint="eastAsia"/>
          <w:szCs w:val="21"/>
        </w:rPr>
        <w:t>54.37%</w:t>
      </w:r>
      <w:r w:rsidR="00C35F4C">
        <w:rPr>
          <w:rFonts w:hint="eastAsia"/>
          <w:szCs w:val="21"/>
        </w:rPr>
        <w:t>。各档</w:t>
      </w:r>
      <w:r w:rsidR="00C35F4C">
        <w:rPr>
          <w:rFonts w:hint="eastAsia"/>
          <w:szCs w:val="21"/>
        </w:rPr>
        <w:t>Beta</w:t>
      </w:r>
      <w:r w:rsidR="00C35F4C">
        <w:rPr>
          <w:rFonts w:hint="eastAsia"/>
          <w:szCs w:val="21"/>
        </w:rPr>
        <w:t>值均高于</w:t>
      </w:r>
      <w:r w:rsidR="00C35F4C">
        <w:rPr>
          <w:rFonts w:hint="eastAsia"/>
          <w:szCs w:val="21"/>
        </w:rPr>
        <w:t>1</w:t>
      </w:r>
      <w:r w:rsidR="00C35F4C">
        <w:rPr>
          <w:rFonts w:hint="eastAsia"/>
          <w:szCs w:val="21"/>
        </w:rPr>
        <w:t>，显示</w:t>
      </w:r>
      <w:r w:rsidR="00C35F4C">
        <w:rPr>
          <w:rFonts w:hint="eastAsia"/>
          <w:szCs w:val="21"/>
        </w:rPr>
        <w:t>ROE</w:t>
      </w:r>
      <w:r w:rsidR="00C35F4C">
        <w:rPr>
          <w:rFonts w:hint="eastAsia"/>
          <w:szCs w:val="21"/>
        </w:rPr>
        <w:t>因子在样本区间内与基准指数相关性较大。尽管各档最大回撤比率均低于</w:t>
      </w:r>
      <w:r w:rsidR="00C35F4C">
        <w:rPr>
          <w:rFonts w:hint="eastAsia"/>
          <w:szCs w:val="21"/>
        </w:rPr>
        <w:t>20%</w:t>
      </w:r>
      <w:r w:rsidR="00C35F4C">
        <w:rPr>
          <w:rFonts w:hint="eastAsia"/>
          <w:szCs w:val="21"/>
        </w:rPr>
        <w:t>，但是，各档组合</w:t>
      </w:r>
      <w:r w:rsidR="00C35F4C">
        <w:rPr>
          <w:rFonts w:hint="eastAsia"/>
          <w:szCs w:val="21"/>
        </w:rPr>
        <w:t>IC</w:t>
      </w:r>
      <w:r w:rsidR="00C35F4C">
        <w:rPr>
          <w:rFonts w:hint="eastAsia"/>
          <w:szCs w:val="21"/>
        </w:rPr>
        <w:t>，</w:t>
      </w:r>
      <w:r w:rsidR="00C35F4C">
        <w:rPr>
          <w:rFonts w:hint="eastAsia"/>
          <w:szCs w:val="21"/>
        </w:rPr>
        <w:t>IR</w:t>
      </w:r>
      <w:proofErr w:type="gramStart"/>
      <w:r w:rsidR="00C35F4C">
        <w:rPr>
          <w:rFonts w:hint="eastAsia"/>
          <w:szCs w:val="21"/>
        </w:rPr>
        <w:t>暴露值</w:t>
      </w:r>
      <w:proofErr w:type="gramEnd"/>
      <w:r w:rsidR="00C35F4C">
        <w:rPr>
          <w:rFonts w:hint="eastAsia"/>
          <w:szCs w:val="21"/>
        </w:rPr>
        <w:t>均不显著。其中，一档</w:t>
      </w:r>
      <w:r w:rsidR="00C35F4C">
        <w:rPr>
          <w:rFonts w:hint="eastAsia"/>
          <w:szCs w:val="21"/>
        </w:rPr>
        <w:t>IR</w:t>
      </w:r>
      <w:r w:rsidR="00C35F4C">
        <w:rPr>
          <w:rFonts w:hint="eastAsia"/>
          <w:szCs w:val="21"/>
        </w:rPr>
        <w:t>、</w:t>
      </w:r>
      <w:r w:rsidR="00C35F4C">
        <w:rPr>
          <w:rFonts w:hint="eastAsia"/>
          <w:szCs w:val="21"/>
        </w:rPr>
        <w:t>IC</w:t>
      </w:r>
      <w:r w:rsidR="00C35F4C">
        <w:rPr>
          <w:rFonts w:hint="eastAsia"/>
          <w:szCs w:val="21"/>
        </w:rPr>
        <w:t>为</w:t>
      </w:r>
      <w:r w:rsidR="00C35F4C">
        <w:rPr>
          <w:rFonts w:hint="eastAsia"/>
          <w:szCs w:val="21"/>
        </w:rPr>
        <w:t>-0.0147</w:t>
      </w:r>
      <w:r w:rsidR="00C35F4C">
        <w:rPr>
          <w:rFonts w:hint="eastAsia"/>
          <w:szCs w:val="21"/>
        </w:rPr>
        <w:t>，</w:t>
      </w:r>
      <w:r w:rsidR="00C35F4C">
        <w:rPr>
          <w:rFonts w:hint="eastAsia"/>
          <w:szCs w:val="21"/>
        </w:rPr>
        <w:t>-0.0007</w:t>
      </w:r>
      <w:r w:rsidR="00C35F4C">
        <w:rPr>
          <w:rFonts w:hint="eastAsia"/>
          <w:szCs w:val="21"/>
        </w:rPr>
        <w:t>，五档</w:t>
      </w:r>
      <w:r w:rsidR="00C35F4C">
        <w:rPr>
          <w:rFonts w:hint="eastAsia"/>
          <w:szCs w:val="21"/>
        </w:rPr>
        <w:t>IR</w:t>
      </w:r>
      <w:r w:rsidR="00C35F4C">
        <w:rPr>
          <w:rFonts w:hint="eastAsia"/>
          <w:szCs w:val="21"/>
        </w:rPr>
        <w:t>、</w:t>
      </w:r>
      <w:r w:rsidR="00C35F4C">
        <w:rPr>
          <w:rFonts w:hint="eastAsia"/>
          <w:szCs w:val="21"/>
        </w:rPr>
        <w:t>IC</w:t>
      </w:r>
      <w:r w:rsidR="00C35F4C">
        <w:rPr>
          <w:rFonts w:hint="eastAsia"/>
          <w:szCs w:val="21"/>
        </w:rPr>
        <w:t>为</w:t>
      </w:r>
      <w:r w:rsidR="00C35F4C">
        <w:rPr>
          <w:rFonts w:hint="eastAsia"/>
          <w:szCs w:val="21"/>
        </w:rPr>
        <w:t>0.1373</w:t>
      </w:r>
      <w:r w:rsidR="00C35F4C">
        <w:rPr>
          <w:rFonts w:hint="eastAsia"/>
          <w:szCs w:val="21"/>
        </w:rPr>
        <w:t>，</w:t>
      </w:r>
      <w:r w:rsidR="00C35F4C">
        <w:rPr>
          <w:rFonts w:hint="eastAsia"/>
          <w:szCs w:val="21"/>
        </w:rPr>
        <w:t>0.0068</w:t>
      </w:r>
      <w:r w:rsidR="00C35F4C">
        <w:rPr>
          <w:rFonts w:hint="eastAsia"/>
          <w:szCs w:val="21"/>
        </w:rPr>
        <w:t>，远低于限定暴露阀值。因此，</w:t>
      </w:r>
      <w:proofErr w:type="gramStart"/>
      <w:r w:rsidR="00C35F4C">
        <w:rPr>
          <w:rFonts w:hint="eastAsia"/>
          <w:szCs w:val="21"/>
        </w:rPr>
        <w:t>在回测区间</w:t>
      </w:r>
      <w:proofErr w:type="gramEnd"/>
      <w:r w:rsidR="00C35F4C">
        <w:rPr>
          <w:rFonts w:hint="eastAsia"/>
          <w:szCs w:val="21"/>
        </w:rPr>
        <w:t>样本中，</w:t>
      </w:r>
      <w:r w:rsidR="00C35F4C">
        <w:rPr>
          <w:rFonts w:hint="eastAsia"/>
          <w:szCs w:val="21"/>
        </w:rPr>
        <w:t>ROE</w:t>
      </w:r>
      <w:r w:rsidR="00C35F4C">
        <w:rPr>
          <w:rFonts w:hint="eastAsia"/>
          <w:szCs w:val="21"/>
        </w:rPr>
        <w:t>因子表现并不优异，不呈现显著</w:t>
      </w:r>
      <w:r w:rsidR="00C35F4C">
        <w:rPr>
          <w:rFonts w:hint="eastAsia"/>
          <w:szCs w:val="21"/>
        </w:rPr>
        <w:t>Alpha</w:t>
      </w:r>
      <w:r w:rsidR="00C35F4C">
        <w:rPr>
          <w:rFonts w:hint="eastAsia"/>
          <w:szCs w:val="21"/>
        </w:rPr>
        <w:t>收益。</w:t>
      </w:r>
    </w:p>
    <w:p w:rsidR="00C35F4C" w:rsidRDefault="00C35F4C" w:rsidP="001D31FA">
      <w:pPr>
        <w:rPr>
          <w:szCs w:val="21"/>
        </w:rPr>
      </w:pPr>
      <w:r>
        <w:rPr>
          <w:rFonts w:hint="eastAsia"/>
          <w:szCs w:val="21"/>
        </w:rPr>
        <w:tab/>
        <w:t>ROE</w:t>
      </w:r>
      <w:r>
        <w:rPr>
          <w:rFonts w:hint="eastAsia"/>
          <w:szCs w:val="21"/>
        </w:rPr>
        <w:t>因子在此区间内</w:t>
      </w:r>
      <w:proofErr w:type="gramStart"/>
      <w:r>
        <w:rPr>
          <w:rFonts w:hint="eastAsia"/>
          <w:szCs w:val="21"/>
        </w:rPr>
        <w:t>暴露值</w:t>
      </w:r>
      <w:proofErr w:type="gramEnd"/>
      <w:r>
        <w:rPr>
          <w:rFonts w:hint="eastAsia"/>
          <w:szCs w:val="21"/>
        </w:rPr>
        <w:t>过小，可能原因有二。</w:t>
      </w:r>
    </w:p>
    <w:p w:rsidR="00C35F4C" w:rsidRDefault="00DB52E6" w:rsidP="00DB52E6">
      <w:pPr>
        <w:pStyle w:val="a3"/>
        <w:numPr>
          <w:ilvl w:val="0"/>
          <w:numId w:val="9"/>
        </w:numPr>
        <w:ind w:firstLineChars="0"/>
        <w:rPr>
          <w:szCs w:val="21"/>
        </w:rPr>
      </w:pPr>
      <w:proofErr w:type="gramStart"/>
      <w:r w:rsidRPr="00DB52E6">
        <w:rPr>
          <w:rFonts w:hint="eastAsia"/>
          <w:szCs w:val="21"/>
        </w:rPr>
        <w:t>回测区间</w:t>
      </w:r>
      <w:proofErr w:type="gramEnd"/>
      <w:r w:rsidRPr="00DB52E6">
        <w:rPr>
          <w:rFonts w:hint="eastAsia"/>
          <w:szCs w:val="21"/>
        </w:rPr>
        <w:t>时间样本跨度较长，若改为以周为单位进行回测，</w:t>
      </w:r>
      <w:r>
        <w:rPr>
          <w:rFonts w:hint="eastAsia"/>
          <w:szCs w:val="21"/>
        </w:rPr>
        <w:t>某些时段</w:t>
      </w:r>
      <w:proofErr w:type="gramStart"/>
      <w:r w:rsidRPr="00DB52E6">
        <w:rPr>
          <w:rFonts w:hint="eastAsia"/>
          <w:szCs w:val="21"/>
        </w:rPr>
        <w:t>暴露值</w:t>
      </w:r>
      <w:proofErr w:type="gramEnd"/>
      <w:r w:rsidRPr="00DB52E6">
        <w:rPr>
          <w:rFonts w:hint="eastAsia"/>
          <w:szCs w:val="21"/>
        </w:rPr>
        <w:t>应</w:t>
      </w:r>
      <w:r>
        <w:rPr>
          <w:rFonts w:hint="eastAsia"/>
          <w:szCs w:val="21"/>
        </w:rPr>
        <w:t>达到限定阀值，成为显著要素。</w:t>
      </w:r>
    </w:p>
    <w:p w:rsidR="00DB52E6" w:rsidRPr="00DB52E6" w:rsidRDefault="00826C85" w:rsidP="00DB52E6">
      <w:pPr>
        <w:pStyle w:val="a3"/>
        <w:numPr>
          <w:ilvl w:val="0"/>
          <w:numId w:val="9"/>
        </w:numPr>
        <w:ind w:firstLineChars="0"/>
        <w:rPr>
          <w:szCs w:val="21"/>
        </w:rPr>
      </w:pPr>
      <w:r>
        <w:rPr>
          <w:rFonts w:hint="eastAsia"/>
          <w:szCs w:val="21"/>
        </w:rPr>
        <w:t>在</w:t>
      </w:r>
      <w:r>
        <w:rPr>
          <w:rFonts w:hint="eastAsia"/>
          <w:szCs w:val="21"/>
        </w:rPr>
        <w:t>A</w:t>
      </w:r>
      <w:r>
        <w:rPr>
          <w:rFonts w:hint="eastAsia"/>
          <w:szCs w:val="21"/>
        </w:rPr>
        <w:t>股市场上，</w:t>
      </w:r>
      <w:r>
        <w:rPr>
          <w:rFonts w:hint="eastAsia"/>
          <w:szCs w:val="21"/>
        </w:rPr>
        <w:t>ROE</w:t>
      </w:r>
      <w:r>
        <w:rPr>
          <w:rFonts w:hint="eastAsia"/>
          <w:szCs w:val="21"/>
        </w:rPr>
        <w:t>并非投资者重要参考要素，投资者对上市公司的</w:t>
      </w:r>
      <w:r>
        <w:rPr>
          <w:rFonts w:hint="eastAsia"/>
          <w:szCs w:val="21"/>
        </w:rPr>
        <w:t>ROE</w:t>
      </w:r>
      <w:r>
        <w:rPr>
          <w:rFonts w:hint="eastAsia"/>
          <w:szCs w:val="21"/>
        </w:rPr>
        <w:t>好坏，并不敏感。</w:t>
      </w:r>
    </w:p>
    <w:p w:rsidR="00F82911" w:rsidRDefault="0097133B" w:rsidP="001D31FA">
      <w:pPr>
        <w:rPr>
          <w:szCs w:val="21"/>
        </w:rPr>
      </w:pPr>
      <w:r>
        <w:rPr>
          <w:rFonts w:hint="eastAsia"/>
          <w:szCs w:val="21"/>
        </w:rPr>
        <w:t>表</w:t>
      </w:r>
      <w:proofErr w:type="gramStart"/>
      <w:r>
        <w:rPr>
          <w:rFonts w:hint="eastAsia"/>
          <w:szCs w:val="21"/>
        </w:rPr>
        <w:t>一</w:t>
      </w:r>
      <w:proofErr w:type="gramEnd"/>
      <w:r>
        <w:rPr>
          <w:rFonts w:hint="eastAsia"/>
          <w:szCs w:val="21"/>
        </w:rPr>
        <w:t>：</w:t>
      </w:r>
      <w:r w:rsidR="00F82911">
        <w:rPr>
          <w:rFonts w:hint="eastAsia"/>
          <w:szCs w:val="21"/>
        </w:rPr>
        <w:t>2014.01.31-2014.03.31</w:t>
      </w:r>
    </w:p>
    <w:tbl>
      <w:tblPr>
        <w:tblStyle w:val="a6"/>
        <w:tblW w:w="0" w:type="auto"/>
        <w:tblLook w:val="04A0" w:firstRow="1" w:lastRow="0" w:firstColumn="1" w:lastColumn="0" w:noHBand="0" w:noVBand="1"/>
      </w:tblPr>
      <w:tblGrid>
        <w:gridCol w:w="1039"/>
        <w:gridCol w:w="1067"/>
        <w:gridCol w:w="1067"/>
        <w:gridCol w:w="1125"/>
        <w:gridCol w:w="1107"/>
        <w:gridCol w:w="1039"/>
        <w:gridCol w:w="1039"/>
        <w:gridCol w:w="1039"/>
      </w:tblGrid>
      <w:tr w:rsidR="000354C8" w:rsidTr="000354C8">
        <w:tc>
          <w:tcPr>
            <w:tcW w:w="1039" w:type="dxa"/>
          </w:tcPr>
          <w:p w:rsidR="000354C8" w:rsidRDefault="000354C8" w:rsidP="001D31FA">
            <w:pPr>
              <w:rPr>
                <w:szCs w:val="21"/>
              </w:rPr>
            </w:pPr>
            <w:r>
              <w:rPr>
                <w:rFonts w:hint="eastAsia"/>
                <w:szCs w:val="21"/>
              </w:rPr>
              <w:t>ROE</w:t>
            </w:r>
          </w:p>
        </w:tc>
        <w:tc>
          <w:tcPr>
            <w:tcW w:w="1067" w:type="dxa"/>
          </w:tcPr>
          <w:p w:rsidR="000354C8" w:rsidRDefault="000354C8" w:rsidP="001D31FA">
            <w:pPr>
              <w:rPr>
                <w:szCs w:val="21"/>
              </w:rPr>
            </w:pPr>
            <w:r>
              <w:rPr>
                <w:rFonts w:hint="eastAsia"/>
                <w:szCs w:val="21"/>
              </w:rPr>
              <w:t>IR</w:t>
            </w:r>
          </w:p>
        </w:tc>
        <w:tc>
          <w:tcPr>
            <w:tcW w:w="1067" w:type="dxa"/>
          </w:tcPr>
          <w:p w:rsidR="000354C8" w:rsidRDefault="000354C8" w:rsidP="001D31FA">
            <w:pPr>
              <w:rPr>
                <w:szCs w:val="21"/>
              </w:rPr>
            </w:pPr>
            <w:r>
              <w:rPr>
                <w:rFonts w:hint="eastAsia"/>
                <w:szCs w:val="21"/>
              </w:rPr>
              <w:t>IC</w:t>
            </w:r>
          </w:p>
        </w:tc>
        <w:tc>
          <w:tcPr>
            <w:tcW w:w="1125" w:type="dxa"/>
          </w:tcPr>
          <w:p w:rsidR="000354C8" w:rsidRDefault="000354C8" w:rsidP="001D31FA">
            <w:pPr>
              <w:rPr>
                <w:szCs w:val="21"/>
              </w:rPr>
            </w:pPr>
            <w:r>
              <w:rPr>
                <w:szCs w:val="21"/>
              </w:rPr>
              <w:t>S</w:t>
            </w:r>
            <w:r>
              <w:rPr>
                <w:rFonts w:hint="eastAsia"/>
                <w:szCs w:val="21"/>
              </w:rPr>
              <w:t>harp</w:t>
            </w:r>
          </w:p>
        </w:tc>
        <w:tc>
          <w:tcPr>
            <w:tcW w:w="1107" w:type="dxa"/>
          </w:tcPr>
          <w:p w:rsidR="000354C8" w:rsidRDefault="000354C8" w:rsidP="001D31FA">
            <w:pPr>
              <w:rPr>
                <w:szCs w:val="21"/>
              </w:rPr>
            </w:pPr>
            <w:r>
              <w:rPr>
                <w:szCs w:val="21"/>
              </w:rPr>
              <w:t>B</w:t>
            </w:r>
            <w:r>
              <w:rPr>
                <w:rFonts w:hint="eastAsia"/>
                <w:szCs w:val="21"/>
              </w:rPr>
              <w:t>eta</w:t>
            </w:r>
          </w:p>
        </w:tc>
        <w:tc>
          <w:tcPr>
            <w:tcW w:w="1039" w:type="dxa"/>
          </w:tcPr>
          <w:p w:rsidR="000354C8" w:rsidRDefault="000354C8" w:rsidP="001D31FA">
            <w:pPr>
              <w:rPr>
                <w:szCs w:val="21"/>
              </w:rPr>
            </w:pPr>
            <w:r>
              <w:rPr>
                <w:rFonts w:hint="eastAsia"/>
                <w:szCs w:val="21"/>
              </w:rPr>
              <w:t>最大回</w:t>
            </w:r>
            <w:r>
              <w:rPr>
                <w:rFonts w:hint="eastAsia"/>
                <w:szCs w:val="21"/>
              </w:rPr>
              <w:lastRenderedPageBreak/>
              <w:t>撤率</w:t>
            </w:r>
          </w:p>
        </w:tc>
        <w:tc>
          <w:tcPr>
            <w:tcW w:w="1039" w:type="dxa"/>
          </w:tcPr>
          <w:p w:rsidR="000354C8" w:rsidRDefault="000354C8" w:rsidP="001D31FA">
            <w:pPr>
              <w:rPr>
                <w:szCs w:val="21"/>
              </w:rPr>
            </w:pPr>
            <w:r>
              <w:rPr>
                <w:rFonts w:hint="eastAsia"/>
                <w:szCs w:val="21"/>
              </w:rPr>
              <w:lastRenderedPageBreak/>
              <w:t>累计收</w:t>
            </w:r>
            <w:r>
              <w:rPr>
                <w:rFonts w:hint="eastAsia"/>
                <w:szCs w:val="21"/>
              </w:rPr>
              <w:lastRenderedPageBreak/>
              <w:t>益率</w:t>
            </w:r>
          </w:p>
        </w:tc>
        <w:tc>
          <w:tcPr>
            <w:tcW w:w="1039" w:type="dxa"/>
          </w:tcPr>
          <w:p w:rsidR="000354C8" w:rsidRDefault="000354C8" w:rsidP="001D31FA">
            <w:pPr>
              <w:rPr>
                <w:szCs w:val="21"/>
              </w:rPr>
            </w:pPr>
            <w:r>
              <w:rPr>
                <w:rFonts w:hint="eastAsia"/>
                <w:szCs w:val="21"/>
              </w:rPr>
              <w:lastRenderedPageBreak/>
              <w:t>胜率</w:t>
            </w:r>
          </w:p>
        </w:tc>
      </w:tr>
      <w:tr w:rsidR="00A02BFA" w:rsidTr="000354C8">
        <w:tc>
          <w:tcPr>
            <w:tcW w:w="1039" w:type="dxa"/>
          </w:tcPr>
          <w:p w:rsidR="00A02BFA" w:rsidRDefault="00A02BFA" w:rsidP="001D31FA">
            <w:pPr>
              <w:rPr>
                <w:szCs w:val="21"/>
              </w:rPr>
            </w:pPr>
            <w:r>
              <w:rPr>
                <w:rFonts w:hint="eastAsia"/>
                <w:szCs w:val="21"/>
              </w:rPr>
              <w:lastRenderedPageBreak/>
              <w:t>一档</w:t>
            </w:r>
          </w:p>
        </w:tc>
        <w:tc>
          <w:tcPr>
            <w:tcW w:w="1067" w:type="dxa"/>
          </w:tcPr>
          <w:p w:rsidR="00A02BFA" w:rsidRPr="005A71A7" w:rsidRDefault="00A02BFA" w:rsidP="00F92C21">
            <w:pPr>
              <w:jc w:val="center"/>
            </w:pPr>
            <w:r w:rsidRPr="005A71A7">
              <w:t>-0.0147</w:t>
            </w:r>
          </w:p>
        </w:tc>
        <w:tc>
          <w:tcPr>
            <w:tcW w:w="1067" w:type="dxa"/>
          </w:tcPr>
          <w:p w:rsidR="00A02BFA" w:rsidRPr="00A671FA" w:rsidRDefault="00A02BFA" w:rsidP="00F92C21">
            <w:pPr>
              <w:jc w:val="center"/>
            </w:pPr>
            <w:r w:rsidRPr="00A671FA">
              <w:t>-0.0007</w:t>
            </w:r>
          </w:p>
        </w:tc>
        <w:tc>
          <w:tcPr>
            <w:tcW w:w="1125" w:type="dxa"/>
          </w:tcPr>
          <w:p w:rsidR="00A02BFA" w:rsidRPr="009D4D7E" w:rsidRDefault="00A02BFA" w:rsidP="00F92C21">
            <w:pPr>
              <w:jc w:val="center"/>
            </w:pPr>
            <w:r w:rsidRPr="009D4D7E">
              <w:t>-0.0649</w:t>
            </w:r>
          </w:p>
        </w:tc>
        <w:tc>
          <w:tcPr>
            <w:tcW w:w="1107" w:type="dxa"/>
          </w:tcPr>
          <w:p w:rsidR="00A02BFA" w:rsidRPr="00555923" w:rsidRDefault="00A02BFA" w:rsidP="00F92C21">
            <w:pPr>
              <w:jc w:val="center"/>
            </w:pPr>
            <w:r w:rsidRPr="00555923">
              <w:t>1.0933</w:t>
            </w:r>
          </w:p>
        </w:tc>
        <w:tc>
          <w:tcPr>
            <w:tcW w:w="1039" w:type="dxa"/>
          </w:tcPr>
          <w:p w:rsidR="00A02BFA" w:rsidRDefault="00F6652E" w:rsidP="00F92C21">
            <w:pPr>
              <w:jc w:val="center"/>
              <w:rPr>
                <w:szCs w:val="21"/>
              </w:rPr>
            </w:pPr>
            <w:r>
              <w:rPr>
                <w:rFonts w:hint="eastAsia"/>
                <w:szCs w:val="21"/>
              </w:rPr>
              <w:t>0.1233</w:t>
            </w:r>
          </w:p>
        </w:tc>
        <w:tc>
          <w:tcPr>
            <w:tcW w:w="1039" w:type="dxa"/>
          </w:tcPr>
          <w:p w:rsidR="00A02BFA" w:rsidRDefault="000873E7" w:rsidP="00F92C21">
            <w:pPr>
              <w:jc w:val="center"/>
              <w:rPr>
                <w:szCs w:val="21"/>
              </w:rPr>
            </w:pPr>
            <w:r>
              <w:rPr>
                <w:rFonts w:hint="eastAsia"/>
                <w:szCs w:val="21"/>
              </w:rPr>
              <w:t>-0.0444</w:t>
            </w:r>
          </w:p>
        </w:tc>
        <w:tc>
          <w:tcPr>
            <w:tcW w:w="1039" w:type="dxa"/>
          </w:tcPr>
          <w:p w:rsidR="00A02BFA" w:rsidRDefault="00F82911" w:rsidP="00F92C21">
            <w:pPr>
              <w:jc w:val="center"/>
              <w:rPr>
                <w:szCs w:val="21"/>
              </w:rPr>
            </w:pPr>
            <w:r>
              <w:rPr>
                <w:rFonts w:hint="eastAsia"/>
                <w:szCs w:val="21"/>
              </w:rPr>
              <w:t>0.4561</w:t>
            </w:r>
          </w:p>
        </w:tc>
      </w:tr>
      <w:tr w:rsidR="00A02BFA" w:rsidTr="000354C8">
        <w:tc>
          <w:tcPr>
            <w:tcW w:w="1039" w:type="dxa"/>
          </w:tcPr>
          <w:p w:rsidR="00A02BFA" w:rsidRDefault="00A02BFA" w:rsidP="001D31FA">
            <w:pPr>
              <w:rPr>
                <w:szCs w:val="21"/>
              </w:rPr>
            </w:pPr>
            <w:r>
              <w:rPr>
                <w:rFonts w:hint="eastAsia"/>
                <w:szCs w:val="21"/>
              </w:rPr>
              <w:t>二挡</w:t>
            </w:r>
          </w:p>
        </w:tc>
        <w:tc>
          <w:tcPr>
            <w:tcW w:w="1067" w:type="dxa"/>
          </w:tcPr>
          <w:p w:rsidR="00A02BFA" w:rsidRPr="005A71A7" w:rsidRDefault="00A02BFA" w:rsidP="00F92C21">
            <w:pPr>
              <w:jc w:val="center"/>
            </w:pPr>
            <w:r w:rsidRPr="005A71A7">
              <w:t>0.0193</w:t>
            </w:r>
          </w:p>
        </w:tc>
        <w:tc>
          <w:tcPr>
            <w:tcW w:w="1067" w:type="dxa"/>
          </w:tcPr>
          <w:p w:rsidR="00A02BFA" w:rsidRPr="00A671FA" w:rsidRDefault="00A02BFA" w:rsidP="00F92C21">
            <w:pPr>
              <w:jc w:val="center"/>
            </w:pPr>
            <w:r w:rsidRPr="00A671FA">
              <w:t>0.0010</w:t>
            </w:r>
          </w:p>
        </w:tc>
        <w:tc>
          <w:tcPr>
            <w:tcW w:w="1125" w:type="dxa"/>
          </w:tcPr>
          <w:p w:rsidR="00A02BFA" w:rsidRPr="009D4D7E" w:rsidRDefault="00A02BFA" w:rsidP="00F92C21">
            <w:pPr>
              <w:jc w:val="center"/>
            </w:pPr>
            <w:r w:rsidRPr="009D4D7E">
              <w:t>-0.0352</w:t>
            </w:r>
          </w:p>
        </w:tc>
        <w:tc>
          <w:tcPr>
            <w:tcW w:w="1107" w:type="dxa"/>
          </w:tcPr>
          <w:p w:rsidR="00A02BFA" w:rsidRPr="00555923" w:rsidRDefault="00A02BFA" w:rsidP="00F92C21">
            <w:pPr>
              <w:jc w:val="center"/>
            </w:pPr>
            <w:r w:rsidRPr="00555923">
              <w:t>1.2208</w:t>
            </w:r>
          </w:p>
        </w:tc>
        <w:tc>
          <w:tcPr>
            <w:tcW w:w="1039" w:type="dxa"/>
          </w:tcPr>
          <w:p w:rsidR="00A02BFA" w:rsidRDefault="00F6652E" w:rsidP="00F92C21">
            <w:pPr>
              <w:jc w:val="center"/>
              <w:rPr>
                <w:szCs w:val="21"/>
              </w:rPr>
            </w:pPr>
            <w:r>
              <w:rPr>
                <w:rFonts w:hint="eastAsia"/>
                <w:szCs w:val="21"/>
              </w:rPr>
              <w:t>0.1408</w:t>
            </w:r>
          </w:p>
        </w:tc>
        <w:tc>
          <w:tcPr>
            <w:tcW w:w="1039" w:type="dxa"/>
          </w:tcPr>
          <w:p w:rsidR="00A02BFA" w:rsidRDefault="000873E7" w:rsidP="00F92C21">
            <w:pPr>
              <w:jc w:val="center"/>
              <w:rPr>
                <w:szCs w:val="21"/>
              </w:rPr>
            </w:pPr>
            <w:r>
              <w:rPr>
                <w:rFonts w:hint="eastAsia"/>
                <w:szCs w:val="21"/>
              </w:rPr>
              <w:t>-0.0257</w:t>
            </w:r>
          </w:p>
        </w:tc>
        <w:tc>
          <w:tcPr>
            <w:tcW w:w="1039" w:type="dxa"/>
          </w:tcPr>
          <w:p w:rsidR="00A02BFA" w:rsidRDefault="00F82911" w:rsidP="00F92C21">
            <w:pPr>
              <w:jc w:val="center"/>
              <w:rPr>
                <w:szCs w:val="21"/>
              </w:rPr>
            </w:pPr>
            <w:r>
              <w:rPr>
                <w:rFonts w:hint="eastAsia"/>
                <w:szCs w:val="21"/>
              </w:rPr>
              <w:t>0.4737</w:t>
            </w:r>
          </w:p>
        </w:tc>
      </w:tr>
      <w:tr w:rsidR="00A02BFA" w:rsidTr="000354C8">
        <w:tc>
          <w:tcPr>
            <w:tcW w:w="1039" w:type="dxa"/>
          </w:tcPr>
          <w:p w:rsidR="00A02BFA" w:rsidRDefault="00A02BFA" w:rsidP="001D31FA">
            <w:pPr>
              <w:rPr>
                <w:szCs w:val="21"/>
              </w:rPr>
            </w:pPr>
            <w:r>
              <w:rPr>
                <w:rFonts w:hint="eastAsia"/>
                <w:szCs w:val="21"/>
              </w:rPr>
              <w:t>三挡</w:t>
            </w:r>
          </w:p>
        </w:tc>
        <w:tc>
          <w:tcPr>
            <w:tcW w:w="1067" w:type="dxa"/>
          </w:tcPr>
          <w:p w:rsidR="00A02BFA" w:rsidRPr="005A71A7" w:rsidRDefault="00A02BFA" w:rsidP="00F92C21">
            <w:pPr>
              <w:jc w:val="center"/>
            </w:pPr>
            <w:r w:rsidRPr="005A71A7">
              <w:t>0.0764</w:t>
            </w:r>
          </w:p>
        </w:tc>
        <w:tc>
          <w:tcPr>
            <w:tcW w:w="1067" w:type="dxa"/>
          </w:tcPr>
          <w:p w:rsidR="00A02BFA" w:rsidRPr="00A671FA" w:rsidRDefault="00A02BFA" w:rsidP="00F92C21">
            <w:pPr>
              <w:jc w:val="center"/>
            </w:pPr>
            <w:r w:rsidRPr="00A671FA">
              <w:t>0.0038</w:t>
            </w:r>
          </w:p>
        </w:tc>
        <w:tc>
          <w:tcPr>
            <w:tcW w:w="1125" w:type="dxa"/>
          </w:tcPr>
          <w:p w:rsidR="00A02BFA" w:rsidRPr="009D4D7E" w:rsidRDefault="00A02BFA" w:rsidP="00F92C21">
            <w:pPr>
              <w:jc w:val="center"/>
            </w:pPr>
            <w:r w:rsidRPr="009D4D7E">
              <w:t>0.0046</w:t>
            </w:r>
          </w:p>
        </w:tc>
        <w:tc>
          <w:tcPr>
            <w:tcW w:w="1107" w:type="dxa"/>
          </w:tcPr>
          <w:p w:rsidR="00A02BFA" w:rsidRPr="00555923" w:rsidRDefault="00A02BFA" w:rsidP="00F92C21">
            <w:pPr>
              <w:jc w:val="center"/>
            </w:pPr>
            <w:r w:rsidRPr="00555923">
              <w:t>1.2112</w:t>
            </w:r>
          </w:p>
        </w:tc>
        <w:tc>
          <w:tcPr>
            <w:tcW w:w="1039" w:type="dxa"/>
          </w:tcPr>
          <w:p w:rsidR="00A02BFA" w:rsidRDefault="00F6652E" w:rsidP="00F92C21">
            <w:pPr>
              <w:jc w:val="center"/>
              <w:rPr>
                <w:szCs w:val="21"/>
              </w:rPr>
            </w:pPr>
            <w:r>
              <w:rPr>
                <w:rFonts w:hint="eastAsia"/>
                <w:szCs w:val="21"/>
              </w:rPr>
              <w:t>0.1195</w:t>
            </w:r>
          </w:p>
        </w:tc>
        <w:tc>
          <w:tcPr>
            <w:tcW w:w="1039" w:type="dxa"/>
          </w:tcPr>
          <w:p w:rsidR="00A02BFA" w:rsidRDefault="000873E7" w:rsidP="00F92C21">
            <w:pPr>
              <w:jc w:val="center"/>
              <w:rPr>
                <w:szCs w:val="21"/>
              </w:rPr>
            </w:pPr>
            <w:r>
              <w:rPr>
                <w:rFonts w:hint="eastAsia"/>
                <w:szCs w:val="21"/>
              </w:rPr>
              <w:t>0.0111</w:t>
            </w:r>
          </w:p>
        </w:tc>
        <w:tc>
          <w:tcPr>
            <w:tcW w:w="1039" w:type="dxa"/>
          </w:tcPr>
          <w:p w:rsidR="00A02BFA" w:rsidRDefault="00A14FD6" w:rsidP="00F92C21">
            <w:pPr>
              <w:jc w:val="center"/>
              <w:rPr>
                <w:szCs w:val="21"/>
              </w:rPr>
            </w:pPr>
            <w:r>
              <w:rPr>
                <w:rFonts w:hint="eastAsia"/>
                <w:szCs w:val="21"/>
              </w:rPr>
              <w:t>0.5437</w:t>
            </w:r>
          </w:p>
        </w:tc>
      </w:tr>
      <w:tr w:rsidR="00A02BFA" w:rsidTr="000354C8">
        <w:tc>
          <w:tcPr>
            <w:tcW w:w="1039" w:type="dxa"/>
          </w:tcPr>
          <w:p w:rsidR="00A02BFA" w:rsidRDefault="00A02BFA" w:rsidP="001D31FA">
            <w:pPr>
              <w:rPr>
                <w:szCs w:val="21"/>
              </w:rPr>
            </w:pPr>
            <w:proofErr w:type="gramStart"/>
            <w:r>
              <w:rPr>
                <w:rFonts w:hint="eastAsia"/>
                <w:szCs w:val="21"/>
              </w:rPr>
              <w:t>四挡</w:t>
            </w:r>
            <w:proofErr w:type="gramEnd"/>
          </w:p>
        </w:tc>
        <w:tc>
          <w:tcPr>
            <w:tcW w:w="1067" w:type="dxa"/>
          </w:tcPr>
          <w:p w:rsidR="00A02BFA" w:rsidRPr="005A71A7" w:rsidRDefault="00A02BFA" w:rsidP="00F92C21">
            <w:pPr>
              <w:jc w:val="center"/>
            </w:pPr>
            <w:r w:rsidRPr="005A71A7">
              <w:t>0.0977</w:t>
            </w:r>
          </w:p>
        </w:tc>
        <w:tc>
          <w:tcPr>
            <w:tcW w:w="1067" w:type="dxa"/>
          </w:tcPr>
          <w:p w:rsidR="00A02BFA" w:rsidRPr="00A671FA" w:rsidRDefault="00A02BFA" w:rsidP="00F92C21">
            <w:pPr>
              <w:jc w:val="center"/>
            </w:pPr>
            <w:r w:rsidRPr="00A671FA">
              <w:t>0.0048</w:t>
            </w:r>
          </w:p>
        </w:tc>
        <w:tc>
          <w:tcPr>
            <w:tcW w:w="1125" w:type="dxa"/>
          </w:tcPr>
          <w:p w:rsidR="00A02BFA" w:rsidRPr="009D4D7E" w:rsidRDefault="00A02BFA" w:rsidP="00F92C21">
            <w:pPr>
              <w:jc w:val="center"/>
            </w:pPr>
            <w:r w:rsidRPr="009D4D7E">
              <w:t>0.0244</w:t>
            </w:r>
          </w:p>
        </w:tc>
        <w:tc>
          <w:tcPr>
            <w:tcW w:w="1107" w:type="dxa"/>
          </w:tcPr>
          <w:p w:rsidR="00A02BFA" w:rsidRPr="00555923" w:rsidRDefault="00A02BFA" w:rsidP="00F92C21">
            <w:pPr>
              <w:jc w:val="center"/>
            </w:pPr>
            <w:r w:rsidRPr="00555923">
              <w:t>1.1404</w:t>
            </w:r>
          </w:p>
        </w:tc>
        <w:tc>
          <w:tcPr>
            <w:tcW w:w="1039" w:type="dxa"/>
          </w:tcPr>
          <w:p w:rsidR="00A02BFA" w:rsidRDefault="00F6652E" w:rsidP="00F92C21">
            <w:pPr>
              <w:jc w:val="center"/>
              <w:rPr>
                <w:szCs w:val="21"/>
              </w:rPr>
            </w:pPr>
            <w:r>
              <w:rPr>
                <w:rFonts w:hint="eastAsia"/>
                <w:szCs w:val="21"/>
              </w:rPr>
              <w:t>0.1226</w:t>
            </w:r>
          </w:p>
        </w:tc>
        <w:tc>
          <w:tcPr>
            <w:tcW w:w="1039" w:type="dxa"/>
          </w:tcPr>
          <w:p w:rsidR="00A02BFA" w:rsidRDefault="000873E7" w:rsidP="00F92C21">
            <w:pPr>
              <w:jc w:val="center"/>
              <w:rPr>
                <w:szCs w:val="21"/>
              </w:rPr>
            </w:pPr>
            <w:r>
              <w:rPr>
                <w:rFonts w:hint="eastAsia"/>
                <w:szCs w:val="21"/>
              </w:rPr>
              <w:t>0.0304</w:t>
            </w:r>
          </w:p>
        </w:tc>
        <w:tc>
          <w:tcPr>
            <w:tcW w:w="1039" w:type="dxa"/>
          </w:tcPr>
          <w:p w:rsidR="00A02BFA" w:rsidRDefault="00A14FD6" w:rsidP="00F92C21">
            <w:pPr>
              <w:jc w:val="center"/>
              <w:rPr>
                <w:szCs w:val="21"/>
              </w:rPr>
            </w:pPr>
            <w:r>
              <w:rPr>
                <w:rFonts w:hint="eastAsia"/>
                <w:szCs w:val="21"/>
              </w:rPr>
              <w:t>0.5437</w:t>
            </w:r>
          </w:p>
        </w:tc>
      </w:tr>
      <w:tr w:rsidR="00A02BFA" w:rsidTr="000354C8">
        <w:tc>
          <w:tcPr>
            <w:tcW w:w="1039" w:type="dxa"/>
          </w:tcPr>
          <w:p w:rsidR="00A02BFA" w:rsidRDefault="00A02BFA" w:rsidP="001D31FA">
            <w:pPr>
              <w:rPr>
                <w:szCs w:val="21"/>
              </w:rPr>
            </w:pPr>
            <w:r>
              <w:rPr>
                <w:rFonts w:hint="eastAsia"/>
                <w:szCs w:val="21"/>
              </w:rPr>
              <w:t>五档</w:t>
            </w:r>
          </w:p>
        </w:tc>
        <w:tc>
          <w:tcPr>
            <w:tcW w:w="1067" w:type="dxa"/>
          </w:tcPr>
          <w:p w:rsidR="00A02BFA" w:rsidRDefault="00A02BFA" w:rsidP="00F92C21">
            <w:pPr>
              <w:jc w:val="center"/>
            </w:pPr>
            <w:r w:rsidRPr="005A71A7">
              <w:t>0.1373</w:t>
            </w:r>
          </w:p>
        </w:tc>
        <w:tc>
          <w:tcPr>
            <w:tcW w:w="1067" w:type="dxa"/>
          </w:tcPr>
          <w:p w:rsidR="00A02BFA" w:rsidRDefault="00A02BFA" w:rsidP="00F92C21">
            <w:pPr>
              <w:jc w:val="center"/>
            </w:pPr>
            <w:r w:rsidRPr="00A671FA">
              <w:t>0.0068</w:t>
            </w:r>
          </w:p>
        </w:tc>
        <w:tc>
          <w:tcPr>
            <w:tcW w:w="1125" w:type="dxa"/>
          </w:tcPr>
          <w:p w:rsidR="00A02BFA" w:rsidRDefault="00A02BFA" w:rsidP="00F92C21">
            <w:pPr>
              <w:jc w:val="center"/>
            </w:pPr>
            <w:r w:rsidRPr="009D4D7E">
              <w:t>0.0457</w:t>
            </w:r>
          </w:p>
        </w:tc>
        <w:tc>
          <w:tcPr>
            <w:tcW w:w="1107" w:type="dxa"/>
          </w:tcPr>
          <w:p w:rsidR="00A02BFA" w:rsidRDefault="00A02BFA" w:rsidP="00F92C21">
            <w:pPr>
              <w:jc w:val="center"/>
            </w:pPr>
            <w:r w:rsidRPr="00555923">
              <w:t>1.1966</w:t>
            </w:r>
          </w:p>
        </w:tc>
        <w:tc>
          <w:tcPr>
            <w:tcW w:w="1039" w:type="dxa"/>
          </w:tcPr>
          <w:p w:rsidR="00A02BFA" w:rsidRDefault="00F6652E" w:rsidP="00F92C21">
            <w:pPr>
              <w:jc w:val="center"/>
              <w:rPr>
                <w:szCs w:val="21"/>
              </w:rPr>
            </w:pPr>
            <w:r>
              <w:rPr>
                <w:rFonts w:hint="eastAsia"/>
                <w:szCs w:val="21"/>
              </w:rPr>
              <w:t>0.0981</w:t>
            </w:r>
          </w:p>
        </w:tc>
        <w:tc>
          <w:tcPr>
            <w:tcW w:w="1039" w:type="dxa"/>
          </w:tcPr>
          <w:p w:rsidR="00A02BFA" w:rsidRDefault="000873E7" w:rsidP="00F92C21">
            <w:pPr>
              <w:jc w:val="center"/>
              <w:rPr>
                <w:szCs w:val="21"/>
              </w:rPr>
            </w:pPr>
            <w:r>
              <w:rPr>
                <w:rFonts w:hint="eastAsia"/>
                <w:szCs w:val="21"/>
              </w:rPr>
              <w:t>0.0505</w:t>
            </w:r>
          </w:p>
        </w:tc>
        <w:tc>
          <w:tcPr>
            <w:tcW w:w="1039" w:type="dxa"/>
          </w:tcPr>
          <w:p w:rsidR="00A02BFA" w:rsidRDefault="00A14FD6" w:rsidP="00F92C21">
            <w:pPr>
              <w:jc w:val="center"/>
              <w:rPr>
                <w:szCs w:val="21"/>
              </w:rPr>
            </w:pPr>
            <w:r>
              <w:rPr>
                <w:rFonts w:hint="eastAsia"/>
                <w:szCs w:val="21"/>
              </w:rPr>
              <w:t>0.5437</w:t>
            </w:r>
          </w:p>
        </w:tc>
      </w:tr>
    </w:tbl>
    <w:p w:rsidR="000354C8" w:rsidRDefault="0097133B" w:rsidP="001D31FA">
      <w:pPr>
        <w:rPr>
          <w:szCs w:val="21"/>
        </w:rPr>
      </w:pPr>
      <w:r>
        <w:rPr>
          <w:rFonts w:hint="eastAsia"/>
          <w:szCs w:val="21"/>
        </w:rPr>
        <w:t>图</w:t>
      </w:r>
      <w:r>
        <w:rPr>
          <w:rFonts w:hint="eastAsia"/>
          <w:szCs w:val="21"/>
        </w:rPr>
        <w:t>1</w:t>
      </w:r>
      <w:r>
        <w:rPr>
          <w:rFonts w:hint="eastAsia"/>
          <w:szCs w:val="21"/>
        </w:rPr>
        <w:t>：</w:t>
      </w:r>
      <w:r w:rsidR="00BF216B">
        <w:rPr>
          <w:rFonts w:hint="eastAsia"/>
          <w:szCs w:val="21"/>
        </w:rPr>
        <w:t>区间每日波动</w:t>
      </w:r>
    </w:p>
    <w:p w:rsidR="000354C8" w:rsidRDefault="0097133B" w:rsidP="001D31FA">
      <w:pPr>
        <w:rPr>
          <w:szCs w:val="21"/>
        </w:rPr>
      </w:pPr>
      <w:r>
        <w:rPr>
          <w:noProof/>
          <w:szCs w:val="21"/>
        </w:rPr>
        <w:drawing>
          <wp:inline distT="0" distB="0" distL="0" distR="0">
            <wp:extent cx="5274310" cy="1353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inline>
        </w:drawing>
      </w:r>
    </w:p>
    <w:p w:rsidR="0097133B" w:rsidRDefault="0097133B" w:rsidP="001D31FA">
      <w:pPr>
        <w:rPr>
          <w:szCs w:val="21"/>
        </w:rPr>
      </w:pPr>
    </w:p>
    <w:p w:rsidR="0097133B" w:rsidRDefault="0097133B" w:rsidP="001D31FA">
      <w:pPr>
        <w:rPr>
          <w:szCs w:val="21"/>
        </w:rPr>
      </w:pPr>
    </w:p>
    <w:p w:rsidR="0097133B" w:rsidRDefault="0097133B" w:rsidP="001D31FA">
      <w:pPr>
        <w:rPr>
          <w:szCs w:val="21"/>
        </w:rPr>
      </w:pPr>
      <w:r>
        <w:rPr>
          <w:rFonts w:hint="eastAsia"/>
          <w:szCs w:val="21"/>
        </w:rPr>
        <w:t>图</w:t>
      </w:r>
      <w:r>
        <w:rPr>
          <w:rFonts w:hint="eastAsia"/>
          <w:szCs w:val="21"/>
        </w:rPr>
        <w:t>2</w:t>
      </w:r>
      <w:r>
        <w:rPr>
          <w:rFonts w:hint="eastAsia"/>
          <w:szCs w:val="21"/>
        </w:rPr>
        <w:t>：</w:t>
      </w:r>
      <w:r w:rsidR="00072C1A">
        <w:rPr>
          <w:rFonts w:hint="eastAsia"/>
          <w:szCs w:val="21"/>
        </w:rPr>
        <w:t>区间</w:t>
      </w:r>
      <w:r w:rsidR="00B82BD7">
        <w:rPr>
          <w:rFonts w:hint="eastAsia"/>
          <w:szCs w:val="21"/>
        </w:rPr>
        <w:t>累计收益率</w:t>
      </w:r>
    </w:p>
    <w:p w:rsidR="0097133B" w:rsidRPr="001D31FA" w:rsidRDefault="0097133B" w:rsidP="001D31FA">
      <w:pPr>
        <w:rPr>
          <w:szCs w:val="21"/>
        </w:rPr>
      </w:pPr>
      <w:r>
        <w:rPr>
          <w:noProof/>
          <w:szCs w:val="21"/>
        </w:rPr>
        <w:drawing>
          <wp:inline distT="0" distB="0" distL="0" distR="0">
            <wp:extent cx="5274310" cy="1373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2.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373505"/>
                    </a:xfrm>
                    <a:prstGeom prst="rect">
                      <a:avLst/>
                    </a:prstGeom>
                  </pic:spPr>
                </pic:pic>
              </a:graphicData>
            </a:graphic>
          </wp:inline>
        </w:drawing>
      </w:r>
    </w:p>
    <w:sectPr w:rsidR="0097133B" w:rsidRPr="001D31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22568"/>
    <w:multiLevelType w:val="hybridMultilevel"/>
    <w:tmpl w:val="671897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81D39F0"/>
    <w:multiLevelType w:val="multilevel"/>
    <w:tmpl w:val="EAF2E47E"/>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1D76406"/>
    <w:multiLevelType w:val="hybridMultilevel"/>
    <w:tmpl w:val="F2F8C2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93E0E"/>
    <w:multiLevelType w:val="hybridMultilevel"/>
    <w:tmpl w:val="D500FF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A33008"/>
    <w:multiLevelType w:val="multilevel"/>
    <w:tmpl w:val="87D8D238"/>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04813FC"/>
    <w:multiLevelType w:val="hybridMultilevel"/>
    <w:tmpl w:val="DEFCFE72"/>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nsid w:val="5D8807CB"/>
    <w:multiLevelType w:val="hybridMultilevel"/>
    <w:tmpl w:val="2A182C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F674FA8"/>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8">
    <w:nsid w:val="625072DC"/>
    <w:multiLevelType w:val="hybridMultilevel"/>
    <w:tmpl w:val="C2108312"/>
    <w:lvl w:ilvl="0" w:tplc="8F9A7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FC0180"/>
    <w:multiLevelType w:val="hybridMultilevel"/>
    <w:tmpl w:val="54CEE3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4F3FE4"/>
    <w:multiLevelType w:val="hybridMultilevel"/>
    <w:tmpl w:val="92321CAC"/>
    <w:lvl w:ilvl="0" w:tplc="04090001">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11">
    <w:nsid w:val="73857EEE"/>
    <w:multiLevelType w:val="multilevel"/>
    <w:tmpl w:val="FA90ECBE"/>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75E4795C"/>
    <w:multiLevelType w:val="hybridMultilevel"/>
    <w:tmpl w:val="367A687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8"/>
  </w:num>
  <w:num w:numId="3">
    <w:abstractNumId w:val="9"/>
  </w:num>
  <w:num w:numId="4">
    <w:abstractNumId w:val="5"/>
  </w:num>
  <w:num w:numId="5">
    <w:abstractNumId w:val="10"/>
  </w:num>
  <w:num w:numId="6">
    <w:abstractNumId w:val="12"/>
  </w:num>
  <w:num w:numId="7">
    <w:abstractNumId w:val="0"/>
  </w:num>
  <w:num w:numId="8">
    <w:abstractNumId w:val="2"/>
  </w:num>
  <w:num w:numId="9">
    <w:abstractNumId w:val="6"/>
  </w:num>
  <w:num w:numId="10">
    <w:abstractNumId w:val="4"/>
  </w:num>
  <w:num w:numId="11">
    <w:abstractNumId w:val="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4C3"/>
    <w:rsid w:val="00004EB0"/>
    <w:rsid w:val="00023CC3"/>
    <w:rsid w:val="00030A27"/>
    <w:rsid w:val="000354C8"/>
    <w:rsid w:val="00072C1A"/>
    <w:rsid w:val="000873E7"/>
    <w:rsid w:val="00090790"/>
    <w:rsid w:val="000A36D1"/>
    <w:rsid w:val="000B1971"/>
    <w:rsid w:val="000B412F"/>
    <w:rsid w:val="000D06C6"/>
    <w:rsid w:val="000E3356"/>
    <w:rsid w:val="0014210C"/>
    <w:rsid w:val="0015348D"/>
    <w:rsid w:val="00154D90"/>
    <w:rsid w:val="001D31FA"/>
    <w:rsid w:val="001D37E7"/>
    <w:rsid w:val="001F032B"/>
    <w:rsid w:val="001F2F57"/>
    <w:rsid w:val="00206EE4"/>
    <w:rsid w:val="00275A92"/>
    <w:rsid w:val="00293C62"/>
    <w:rsid w:val="002A0DE9"/>
    <w:rsid w:val="002C1BE4"/>
    <w:rsid w:val="00303F60"/>
    <w:rsid w:val="0032255D"/>
    <w:rsid w:val="00334996"/>
    <w:rsid w:val="00335649"/>
    <w:rsid w:val="00374954"/>
    <w:rsid w:val="003759AA"/>
    <w:rsid w:val="00385E2A"/>
    <w:rsid w:val="003B1A51"/>
    <w:rsid w:val="003B62F3"/>
    <w:rsid w:val="003E2542"/>
    <w:rsid w:val="00424BEF"/>
    <w:rsid w:val="004A73F9"/>
    <w:rsid w:val="005328C8"/>
    <w:rsid w:val="005335CA"/>
    <w:rsid w:val="00547D68"/>
    <w:rsid w:val="00553568"/>
    <w:rsid w:val="00593B81"/>
    <w:rsid w:val="005B2A18"/>
    <w:rsid w:val="005E7BB7"/>
    <w:rsid w:val="005E7DB4"/>
    <w:rsid w:val="006018E0"/>
    <w:rsid w:val="006B0263"/>
    <w:rsid w:val="006B779D"/>
    <w:rsid w:val="00722787"/>
    <w:rsid w:val="007B2A3B"/>
    <w:rsid w:val="00826C85"/>
    <w:rsid w:val="00842D7B"/>
    <w:rsid w:val="00876555"/>
    <w:rsid w:val="008B02F4"/>
    <w:rsid w:val="008E3F0E"/>
    <w:rsid w:val="009323BC"/>
    <w:rsid w:val="00950D47"/>
    <w:rsid w:val="009654C3"/>
    <w:rsid w:val="0097133B"/>
    <w:rsid w:val="009C7014"/>
    <w:rsid w:val="009E7022"/>
    <w:rsid w:val="00A02BFA"/>
    <w:rsid w:val="00A14FD6"/>
    <w:rsid w:val="00A22DFF"/>
    <w:rsid w:val="00A2609F"/>
    <w:rsid w:val="00A3106A"/>
    <w:rsid w:val="00A4047E"/>
    <w:rsid w:val="00A479A3"/>
    <w:rsid w:val="00A81864"/>
    <w:rsid w:val="00AD3CC1"/>
    <w:rsid w:val="00AF18E8"/>
    <w:rsid w:val="00B034AA"/>
    <w:rsid w:val="00B35862"/>
    <w:rsid w:val="00B3592A"/>
    <w:rsid w:val="00B5235D"/>
    <w:rsid w:val="00B606D6"/>
    <w:rsid w:val="00B82BD7"/>
    <w:rsid w:val="00BA56D5"/>
    <w:rsid w:val="00BD76A5"/>
    <w:rsid w:val="00BF216B"/>
    <w:rsid w:val="00BF7BAF"/>
    <w:rsid w:val="00C212FF"/>
    <w:rsid w:val="00C32A98"/>
    <w:rsid w:val="00C32DD1"/>
    <w:rsid w:val="00C35F4C"/>
    <w:rsid w:val="00C658CA"/>
    <w:rsid w:val="00CF088D"/>
    <w:rsid w:val="00D12F0F"/>
    <w:rsid w:val="00D92F39"/>
    <w:rsid w:val="00D95967"/>
    <w:rsid w:val="00DA0888"/>
    <w:rsid w:val="00DA60EE"/>
    <w:rsid w:val="00DB52E6"/>
    <w:rsid w:val="00DE320C"/>
    <w:rsid w:val="00E30939"/>
    <w:rsid w:val="00E458DC"/>
    <w:rsid w:val="00EF3521"/>
    <w:rsid w:val="00EF6F89"/>
    <w:rsid w:val="00F12394"/>
    <w:rsid w:val="00F13C56"/>
    <w:rsid w:val="00F345A0"/>
    <w:rsid w:val="00F3462A"/>
    <w:rsid w:val="00F6652E"/>
    <w:rsid w:val="00F76785"/>
    <w:rsid w:val="00F82911"/>
    <w:rsid w:val="00F83E20"/>
    <w:rsid w:val="00F85738"/>
    <w:rsid w:val="00F858FB"/>
    <w:rsid w:val="00F92C21"/>
    <w:rsid w:val="00FA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2F57"/>
    <w:pPr>
      <w:keepNext/>
      <w:keepLines/>
      <w:numPr>
        <w:numId w:val="13"/>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F2F57"/>
    <w:pPr>
      <w:keepNext/>
      <w:keepLines/>
      <w:numPr>
        <w:ilvl w:val="1"/>
        <w:numId w:val="1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F2F57"/>
    <w:pPr>
      <w:keepNext/>
      <w:keepLines/>
      <w:numPr>
        <w:ilvl w:val="2"/>
        <w:numId w:val="1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F2F57"/>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F2F57"/>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F2F57"/>
    <w:pPr>
      <w:keepNext/>
      <w:keepLines/>
      <w:numPr>
        <w:ilvl w:val="5"/>
        <w:numId w:val="1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F2F57"/>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F2F57"/>
    <w:pPr>
      <w:keepNext/>
      <w:keepLines/>
      <w:numPr>
        <w:ilvl w:val="7"/>
        <w:numId w:val="1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F2F57"/>
    <w:pPr>
      <w:keepNext/>
      <w:keepLines/>
      <w:numPr>
        <w:ilvl w:val="8"/>
        <w:numId w:val="1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022"/>
    <w:pPr>
      <w:ind w:firstLineChars="200" w:firstLine="420"/>
    </w:pPr>
  </w:style>
  <w:style w:type="character" w:styleId="a4">
    <w:name w:val="Placeholder Text"/>
    <w:basedOn w:val="a0"/>
    <w:uiPriority w:val="99"/>
    <w:semiHidden/>
    <w:rsid w:val="003E2542"/>
    <w:rPr>
      <w:color w:val="808080"/>
    </w:rPr>
  </w:style>
  <w:style w:type="paragraph" w:styleId="a5">
    <w:name w:val="Balloon Text"/>
    <w:basedOn w:val="a"/>
    <w:link w:val="Char"/>
    <w:uiPriority w:val="99"/>
    <w:semiHidden/>
    <w:unhideWhenUsed/>
    <w:rsid w:val="003E2542"/>
    <w:rPr>
      <w:sz w:val="18"/>
      <w:szCs w:val="18"/>
    </w:rPr>
  </w:style>
  <w:style w:type="character" w:customStyle="1" w:styleId="Char">
    <w:name w:val="批注框文本 Char"/>
    <w:basedOn w:val="a0"/>
    <w:link w:val="a5"/>
    <w:uiPriority w:val="99"/>
    <w:semiHidden/>
    <w:rsid w:val="003E2542"/>
    <w:rPr>
      <w:sz w:val="18"/>
      <w:szCs w:val="18"/>
    </w:rPr>
  </w:style>
  <w:style w:type="table" w:styleId="a6">
    <w:name w:val="Table Grid"/>
    <w:basedOn w:val="a1"/>
    <w:uiPriority w:val="59"/>
    <w:rsid w:val="00035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F2F57"/>
    <w:rPr>
      <w:b/>
      <w:bCs/>
      <w:kern w:val="44"/>
      <w:sz w:val="44"/>
      <w:szCs w:val="44"/>
    </w:rPr>
  </w:style>
  <w:style w:type="character" w:customStyle="1" w:styleId="2Char">
    <w:name w:val="标题 2 Char"/>
    <w:basedOn w:val="a0"/>
    <w:link w:val="2"/>
    <w:uiPriority w:val="9"/>
    <w:semiHidden/>
    <w:rsid w:val="001F2F5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F2F57"/>
    <w:rPr>
      <w:b/>
      <w:bCs/>
      <w:sz w:val="32"/>
      <w:szCs w:val="32"/>
    </w:rPr>
  </w:style>
  <w:style w:type="character" w:customStyle="1" w:styleId="4Char">
    <w:name w:val="标题 4 Char"/>
    <w:basedOn w:val="a0"/>
    <w:link w:val="4"/>
    <w:uiPriority w:val="9"/>
    <w:semiHidden/>
    <w:rsid w:val="001F2F5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F2F57"/>
    <w:rPr>
      <w:b/>
      <w:bCs/>
      <w:sz w:val="28"/>
      <w:szCs w:val="28"/>
    </w:rPr>
  </w:style>
  <w:style w:type="character" w:customStyle="1" w:styleId="6Char">
    <w:name w:val="标题 6 Char"/>
    <w:basedOn w:val="a0"/>
    <w:link w:val="6"/>
    <w:uiPriority w:val="9"/>
    <w:semiHidden/>
    <w:rsid w:val="001F2F5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F2F57"/>
    <w:rPr>
      <w:b/>
      <w:bCs/>
      <w:sz w:val="24"/>
      <w:szCs w:val="24"/>
    </w:rPr>
  </w:style>
  <w:style w:type="character" w:customStyle="1" w:styleId="8Char">
    <w:name w:val="标题 8 Char"/>
    <w:basedOn w:val="a0"/>
    <w:link w:val="8"/>
    <w:uiPriority w:val="9"/>
    <w:semiHidden/>
    <w:rsid w:val="001F2F5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F2F57"/>
    <w:rPr>
      <w:rFonts w:asciiTheme="majorHAnsi" w:eastAsiaTheme="majorEastAsia" w:hAnsiTheme="majorHAnsi" w:cstheme="majorBidi"/>
      <w:szCs w:val="21"/>
    </w:rPr>
  </w:style>
  <w:style w:type="paragraph" w:styleId="TOC">
    <w:name w:val="TOC Heading"/>
    <w:basedOn w:val="1"/>
    <w:next w:val="a"/>
    <w:uiPriority w:val="39"/>
    <w:semiHidden/>
    <w:unhideWhenUsed/>
    <w:qFormat/>
    <w:rsid w:val="0032255D"/>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2255D"/>
  </w:style>
  <w:style w:type="character" w:styleId="a7">
    <w:name w:val="Hyperlink"/>
    <w:basedOn w:val="a0"/>
    <w:uiPriority w:val="99"/>
    <w:unhideWhenUsed/>
    <w:rsid w:val="003225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2F57"/>
    <w:pPr>
      <w:keepNext/>
      <w:keepLines/>
      <w:numPr>
        <w:numId w:val="13"/>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F2F57"/>
    <w:pPr>
      <w:keepNext/>
      <w:keepLines/>
      <w:numPr>
        <w:ilvl w:val="1"/>
        <w:numId w:val="1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F2F57"/>
    <w:pPr>
      <w:keepNext/>
      <w:keepLines/>
      <w:numPr>
        <w:ilvl w:val="2"/>
        <w:numId w:val="1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F2F57"/>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F2F57"/>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F2F57"/>
    <w:pPr>
      <w:keepNext/>
      <w:keepLines/>
      <w:numPr>
        <w:ilvl w:val="5"/>
        <w:numId w:val="1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F2F57"/>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F2F57"/>
    <w:pPr>
      <w:keepNext/>
      <w:keepLines/>
      <w:numPr>
        <w:ilvl w:val="7"/>
        <w:numId w:val="1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F2F57"/>
    <w:pPr>
      <w:keepNext/>
      <w:keepLines/>
      <w:numPr>
        <w:ilvl w:val="8"/>
        <w:numId w:val="1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022"/>
    <w:pPr>
      <w:ind w:firstLineChars="200" w:firstLine="420"/>
    </w:pPr>
  </w:style>
  <w:style w:type="character" w:styleId="a4">
    <w:name w:val="Placeholder Text"/>
    <w:basedOn w:val="a0"/>
    <w:uiPriority w:val="99"/>
    <w:semiHidden/>
    <w:rsid w:val="003E2542"/>
    <w:rPr>
      <w:color w:val="808080"/>
    </w:rPr>
  </w:style>
  <w:style w:type="paragraph" w:styleId="a5">
    <w:name w:val="Balloon Text"/>
    <w:basedOn w:val="a"/>
    <w:link w:val="Char"/>
    <w:uiPriority w:val="99"/>
    <w:semiHidden/>
    <w:unhideWhenUsed/>
    <w:rsid w:val="003E2542"/>
    <w:rPr>
      <w:sz w:val="18"/>
      <w:szCs w:val="18"/>
    </w:rPr>
  </w:style>
  <w:style w:type="character" w:customStyle="1" w:styleId="Char">
    <w:name w:val="批注框文本 Char"/>
    <w:basedOn w:val="a0"/>
    <w:link w:val="a5"/>
    <w:uiPriority w:val="99"/>
    <w:semiHidden/>
    <w:rsid w:val="003E2542"/>
    <w:rPr>
      <w:sz w:val="18"/>
      <w:szCs w:val="18"/>
    </w:rPr>
  </w:style>
  <w:style w:type="table" w:styleId="a6">
    <w:name w:val="Table Grid"/>
    <w:basedOn w:val="a1"/>
    <w:uiPriority w:val="59"/>
    <w:rsid w:val="00035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F2F57"/>
    <w:rPr>
      <w:b/>
      <w:bCs/>
      <w:kern w:val="44"/>
      <w:sz w:val="44"/>
      <w:szCs w:val="44"/>
    </w:rPr>
  </w:style>
  <w:style w:type="character" w:customStyle="1" w:styleId="2Char">
    <w:name w:val="标题 2 Char"/>
    <w:basedOn w:val="a0"/>
    <w:link w:val="2"/>
    <w:uiPriority w:val="9"/>
    <w:semiHidden/>
    <w:rsid w:val="001F2F5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F2F57"/>
    <w:rPr>
      <w:b/>
      <w:bCs/>
      <w:sz w:val="32"/>
      <w:szCs w:val="32"/>
    </w:rPr>
  </w:style>
  <w:style w:type="character" w:customStyle="1" w:styleId="4Char">
    <w:name w:val="标题 4 Char"/>
    <w:basedOn w:val="a0"/>
    <w:link w:val="4"/>
    <w:uiPriority w:val="9"/>
    <w:semiHidden/>
    <w:rsid w:val="001F2F5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F2F57"/>
    <w:rPr>
      <w:b/>
      <w:bCs/>
      <w:sz w:val="28"/>
      <w:szCs w:val="28"/>
    </w:rPr>
  </w:style>
  <w:style w:type="character" w:customStyle="1" w:styleId="6Char">
    <w:name w:val="标题 6 Char"/>
    <w:basedOn w:val="a0"/>
    <w:link w:val="6"/>
    <w:uiPriority w:val="9"/>
    <w:semiHidden/>
    <w:rsid w:val="001F2F5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F2F57"/>
    <w:rPr>
      <w:b/>
      <w:bCs/>
      <w:sz w:val="24"/>
      <w:szCs w:val="24"/>
    </w:rPr>
  </w:style>
  <w:style w:type="character" w:customStyle="1" w:styleId="8Char">
    <w:name w:val="标题 8 Char"/>
    <w:basedOn w:val="a0"/>
    <w:link w:val="8"/>
    <w:uiPriority w:val="9"/>
    <w:semiHidden/>
    <w:rsid w:val="001F2F5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F2F57"/>
    <w:rPr>
      <w:rFonts w:asciiTheme="majorHAnsi" w:eastAsiaTheme="majorEastAsia" w:hAnsiTheme="majorHAnsi" w:cstheme="majorBidi"/>
      <w:szCs w:val="21"/>
    </w:rPr>
  </w:style>
  <w:style w:type="paragraph" w:styleId="TOC">
    <w:name w:val="TOC Heading"/>
    <w:basedOn w:val="1"/>
    <w:next w:val="a"/>
    <w:uiPriority w:val="39"/>
    <w:semiHidden/>
    <w:unhideWhenUsed/>
    <w:qFormat/>
    <w:rsid w:val="0032255D"/>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2255D"/>
  </w:style>
  <w:style w:type="character" w:styleId="a7">
    <w:name w:val="Hyperlink"/>
    <w:basedOn w:val="a0"/>
    <w:uiPriority w:val="99"/>
    <w:unhideWhenUsed/>
    <w:rsid w:val="003225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0A0F7-A75D-4117-86F2-066A26F3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5</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陈鸿圣</dc:creator>
  <cp:lastModifiedBy>陈鸿圣</cp:lastModifiedBy>
  <cp:revision>95</cp:revision>
  <dcterms:created xsi:type="dcterms:W3CDTF">2015-10-13T00:54:00Z</dcterms:created>
  <dcterms:modified xsi:type="dcterms:W3CDTF">2015-10-15T06:32:00Z</dcterms:modified>
</cp:coreProperties>
</file>