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line="360" w:lineRule="auto" w:after="0" w:before="0"/>
        <w:jc w:val="center"/>
      </w:pPr>
      <w:r>
        <w:rPr>
          <w:rFonts w:ascii="Times New Roman" w:hAnsi="Times New Roman" w:eastAsia="Times New Roman" w:cs="Times New Roman"/>
          <w:b/>
          <w:i w:val="0"/>
          <w:sz w:val="32"/>
        </w:rPr>
        <w:t>The Development of China’s Future Industries: A Case Study of 6G Communication Industry</w:t>
      </w: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eastAsia="Times New Roman" w:cs="Times New Roman"/>
          <w:b w:val="0"/>
          <w:i w:val="0"/>
          <w:sz w:val="28"/>
        </w:rPr>
        <w:t>Submitted by Liu Wenbo</w:t>
      </w:r>
    </w:p>
    <w:p>
      <w:pPr>
        <w:spacing w:after="0" w:before="0"/>
        <w:jc w:val="center"/>
      </w:pPr>
      <w:r>
        <w:rPr>
          <w:rFonts w:ascii="Times New Roman" w:hAnsi="Times New Roman" w:eastAsia="Times New Roman" w:cs="Times New Roman"/>
          <w:b w:val="0"/>
          <w:i w:val="0"/>
          <w:sz w:val="28"/>
        </w:rPr>
        <w:t>Student number XXXXXXX</w:t>
      </w:r>
    </w:p>
    <w:p>
      <w:pPr>
        <w:spacing w:after="0" w:before="0"/>
      </w:pPr>
    </w:p>
    <w:p>
      <w:pPr>
        <w:spacing w:after="0" w:before="0"/>
      </w:pPr>
    </w:p>
    <w:p>
      <w:pPr>
        <w:spacing w:after="0" w:before="0"/>
      </w:pPr>
    </w:p>
    <w:p>
      <w:pPr>
        <w:spacing w:after="0" w:before="0"/>
        <w:jc w:val="center"/>
      </w:pPr>
      <w:r>
        <w:rPr>
          <w:rFonts w:ascii="Times New Roman" w:hAnsi="Times New Roman" w:eastAsia="Times New Roman" w:cs="Times New Roman"/>
          <w:b w:val="0"/>
          <w:i w:val="0"/>
          <w:sz w:val="28"/>
        </w:rPr>
        <w:t>Department of English, School of Foreign Languages</w:t>
      </w:r>
    </w:p>
    <w:p>
      <w:pPr>
        <w:spacing w:after="0" w:before="0"/>
        <w:jc w:val="center"/>
      </w:pPr>
      <w:r>
        <w:rPr>
          <w:rFonts w:ascii="Times New Roman" w:hAnsi="Times New Roman" w:eastAsia="Times New Roman" w:cs="Times New Roman"/>
          <w:b w:val="0"/>
          <w:i w:val="0"/>
          <w:sz w:val="28"/>
        </w:rPr>
        <w:t>Xidian University</w:t>
      </w: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Times New Roman" w:hAnsi="Times New Roman" w:eastAsia="Times New Roman" w:cs="Times New Roman"/>
          <w:b w:val="0"/>
          <w:i w:val="0"/>
          <w:sz w:val="28"/>
        </w:rPr>
        <w:t>June, 2026</w:t>
      </w:r>
    </w:p>
    <w:p>
      <w:r>
        <w:br w:type="page"/>
      </w:r>
    </w:p>
    <w:p>
      <w:pPr>
        <w:spacing w:after="240" w:before="0"/>
        <w:jc w:val="center"/>
      </w:pPr>
      <w:r>
        <w:rPr>
          <w:rFonts w:ascii="Times New Roman" w:hAnsi="Times New Roman" w:eastAsia="Times New Roman" w:cs="Times New Roman"/>
          <w:b/>
          <w:i w:val="0"/>
          <w:sz w:val="28"/>
        </w:rPr>
        <w:t>Contents</w:t>
      </w:r>
    </w:p>
    <w:p>
      <w:pPr>
        <w:tabs>
          <w:tab w:pos="8064" w:val="right" w:leader="dot"/>
        </w:tabs>
        <w:spacing w:line="360" w:lineRule="auto"/>
      </w:pPr>
      <w:r>
        <w:rPr>
          <w:rFonts w:ascii="Times New Roman" w:hAnsi="Times New Roman" w:eastAsia="Times New Roman" w:cs="Times New Roman"/>
          <w:b/>
          <w:i w:val="0"/>
          <w:sz w:val="24"/>
        </w:rPr>
        <w:t>Ⅰ. Introduction</w:t>
        <w:tab/>
        <w:t>1</w:t>
      </w:r>
    </w:p>
    <w:p>
      <w:pPr>
        <w:tabs>
          <w:tab w:pos="8064" w:val="right" w:leader="dot"/>
        </w:tabs>
        <w:spacing w:line="360" w:lineRule="auto"/>
      </w:pPr>
      <w:r>
        <w:rPr>
          <w:rFonts w:ascii="Times New Roman" w:hAnsi="Times New Roman" w:eastAsia="Times New Roman" w:cs="Times New Roman"/>
          <w:b/>
          <w:i w:val="0"/>
          <w:sz w:val="24"/>
        </w:rPr>
        <w:t>Ⅱ. Economic and Business Value of China’s 6G Industry</w:t>
        <w:tab/>
        <w:t>2</w:t>
      </w:r>
    </w:p>
    <w:p>
      <w:pPr>
        <w:tabs>
          <w:tab w:pos="8064" w:val="right" w:leader="dot"/>
        </w:tabs>
        <w:spacing w:line="360" w:lineRule="auto"/>
        <w:ind w:left="432"/>
      </w:pPr>
      <w:r>
        <w:rPr>
          <w:rFonts w:ascii="Times New Roman" w:hAnsi="Times New Roman" w:eastAsia="Times New Roman" w:cs="Times New Roman"/>
          <w:b w:val="0"/>
          <w:i w:val="0"/>
          <w:sz w:val="24"/>
        </w:rPr>
        <w:t>2.1 Market Potential</w:t>
        <w:tab/>
        <w:t>2</w:t>
      </w:r>
    </w:p>
    <w:p>
      <w:pPr>
        <w:tabs>
          <w:tab w:pos="8064" w:val="right" w:leader="dot"/>
        </w:tabs>
        <w:spacing w:line="360" w:lineRule="auto"/>
        <w:ind w:left="432"/>
      </w:pPr>
      <w:r>
        <w:rPr>
          <w:rFonts w:ascii="Times New Roman" w:hAnsi="Times New Roman" w:eastAsia="Times New Roman" w:cs="Times New Roman"/>
          <w:b w:val="0"/>
          <w:i w:val="0"/>
          <w:sz w:val="24"/>
        </w:rPr>
        <w:t>2.2 Industrial Chain Development</w:t>
        <w:tab/>
        <w:t>2</w:t>
      </w:r>
    </w:p>
    <w:p>
      <w:pPr>
        <w:tabs>
          <w:tab w:pos="8064" w:val="right" w:leader="dot"/>
        </w:tabs>
        <w:spacing w:line="360" w:lineRule="auto"/>
        <w:ind w:left="432"/>
      </w:pPr>
      <w:r>
        <w:rPr>
          <w:rFonts w:ascii="Times New Roman" w:hAnsi="Times New Roman" w:eastAsia="Times New Roman" w:cs="Times New Roman"/>
          <w:b w:val="0"/>
          <w:i w:val="0"/>
          <w:sz w:val="24"/>
        </w:rPr>
        <w:t>2.3 Investment Opportunities and Economic Impact</w:t>
        <w:tab/>
        <w:t>3</w:t>
      </w:r>
    </w:p>
    <w:p>
      <w:pPr>
        <w:tabs>
          <w:tab w:pos="8064" w:val="right" w:leader="dot"/>
        </w:tabs>
        <w:spacing w:line="360" w:lineRule="auto"/>
      </w:pPr>
      <w:r>
        <w:rPr>
          <w:rFonts w:ascii="Times New Roman" w:hAnsi="Times New Roman" w:eastAsia="Times New Roman" w:cs="Times New Roman"/>
          <w:b/>
          <w:i w:val="0"/>
          <w:sz w:val="24"/>
        </w:rPr>
        <w:t>Ⅲ. Major Challenges and Suggestions for Future Development</w:t>
        <w:tab/>
        <w:t>3</w:t>
      </w:r>
    </w:p>
    <w:p>
      <w:pPr>
        <w:tabs>
          <w:tab w:pos="8064" w:val="right" w:leader="dot"/>
        </w:tabs>
        <w:spacing w:line="360" w:lineRule="auto"/>
        <w:ind w:left="432"/>
      </w:pPr>
      <w:r>
        <w:rPr>
          <w:rFonts w:ascii="Times New Roman" w:hAnsi="Times New Roman" w:eastAsia="Times New Roman" w:cs="Times New Roman"/>
          <w:b w:val="0"/>
          <w:i w:val="0"/>
          <w:sz w:val="24"/>
        </w:rPr>
        <w:t>3.1 Major Challenges</w:t>
        <w:tab/>
        <w:t>3</w:t>
      </w:r>
    </w:p>
    <w:p>
      <w:pPr>
        <w:tabs>
          <w:tab w:pos="8064" w:val="right" w:leader="dot"/>
        </w:tabs>
        <w:spacing w:line="360" w:lineRule="auto"/>
        <w:ind w:left="432"/>
      </w:pPr>
      <w:r>
        <w:rPr>
          <w:rFonts w:ascii="Times New Roman" w:hAnsi="Times New Roman" w:eastAsia="Times New Roman" w:cs="Times New Roman"/>
          <w:b w:val="0"/>
          <w:i w:val="0"/>
          <w:sz w:val="24"/>
        </w:rPr>
        <w:t>3.2 Suggestions for Future Development</w:t>
        <w:tab/>
        <w:t>4</w:t>
      </w:r>
    </w:p>
    <w:p>
      <w:pPr>
        <w:tabs>
          <w:tab w:pos="8064" w:val="right" w:leader="dot"/>
        </w:tabs>
        <w:spacing w:line="360" w:lineRule="auto"/>
      </w:pPr>
      <w:r>
        <w:rPr>
          <w:rFonts w:ascii="Times New Roman" w:hAnsi="Times New Roman" w:eastAsia="Times New Roman" w:cs="Times New Roman"/>
          <w:b/>
          <w:i w:val="0"/>
          <w:sz w:val="24"/>
        </w:rPr>
        <w:t>Ⅳ. Conclusion</w:t>
        <w:tab/>
        <w:t>5</w:t>
      </w:r>
    </w:p>
    <w:p>
      <w:pPr>
        <w:tabs>
          <w:tab w:pos="8064" w:val="right" w:leader="dot"/>
        </w:tabs>
        <w:spacing w:line="360" w:lineRule="auto"/>
      </w:pPr>
      <w:r>
        <w:rPr>
          <w:rFonts w:ascii="Times New Roman" w:hAnsi="Times New Roman" w:eastAsia="Times New Roman" w:cs="Times New Roman"/>
          <w:b/>
          <w:i w:val="0"/>
          <w:sz w:val="24"/>
        </w:rPr>
        <w:t>References</w:t>
        <w:tab/>
        <w:t>5</w:t>
      </w:r>
    </w:p>
    <w:p>
      <w:pPr>
        <w:tabs>
          <w:tab w:pos="8064" w:val="right" w:leader="dot"/>
        </w:tabs>
        <w:spacing w:line="360" w:lineRule="auto"/>
      </w:pPr>
      <w:r>
        <w:rPr>
          <w:rFonts w:ascii="Times New Roman" w:hAnsi="Times New Roman" w:eastAsia="Times New Roman" w:cs="Times New Roman"/>
          <w:b/>
          <w:i w:val="0"/>
          <w:sz w:val="24"/>
        </w:rPr>
        <w:t>Appendix</w:t>
        <w:tab/>
        <w:t>6</w:t>
      </w:r>
    </w:p>
    <w:p>
      <w:r>
        <w:br w:type="page"/>
      </w:r>
    </w:p>
    <w:p>
      <w:pPr>
        <w:spacing w:line="360" w:lineRule="auto" w:after="120" w:before="240"/>
        <w:jc w:val="center"/>
      </w:pPr>
      <w:r>
        <w:rPr>
          <w:rFonts w:ascii="Times New Roman" w:hAnsi="Times New Roman" w:eastAsia="Times New Roman" w:cs="Times New Roman"/>
          <w:b/>
          <w:i w:val="0"/>
          <w:sz w:val="28"/>
        </w:rPr>
        <w:t>Ⅰ. Introduction</w:t>
      </w:r>
    </w:p>
    <w:p>
      <w:pPr>
        <w:spacing w:line="360" w:lineRule="auto" w:after="0" w:before="0"/>
        <w:ind w:firstLine="720"/>
        <w:jc w:val="both"/>
      </w:pPr>
      <w:r>
        <w:rPr>
          <w:rFonts w:ascii="Times New Roman" w:hAnsi="Times New Roman" w:eastAsia="Times New Roman" w:cs="Times New Roman"/>
          <w:b w:val="0"/>
          <w:i w:val="0"/>
          <w:sz w:val="24"/>
        </w:rPr>
        <w:t>Future industries refer to emerging sectors that are driven by frontier technologies, possess strong growth potential, and are expected to reshape economic and social development over the coming decades. In recent years, China has elevated the cultivation of future industries to the level of national strategy, identifying fields such as next-generation communication, artificial intelligence, quantum information, and biomanufacturing as key engines of long-term competitiveness. Among these, sixth-generation (6G) mobile communication has attracted particular attention, because it serves as a foundational and enabling technology that underpins almost every other digital industry.</w:t>
      </w:r>
    </w:p>
    <w:p>
      <w:pPr>
        <w:spacing w:line="360" w:lineRule="auto" w:after="0" w:before="0"/>
        <w:ind w:firstLine="720"/>
        <w:jc w:val="both"/>
      </w:pPr>
      <w:r>
        <w:rPr>
          <w:rFonts w:ascii="Times New Roman" w:hAnsi="Times New Roman" w:eastAsia="Times New Roman" w:cs="Times New Roman"/>
          <w:b w:val="0"/>
          <w:i w:val="0"/>
          <w:sz w:val="24"/>
        </w:rPr>
        <w:t>6G refers to the wireless communication system that is expected to succeed 5G and to be commercially deployed around 2030. Compared with its predecessor, 6G is envisioned to deliver terabit-level peak data rates, microsecond latency, ubiquitous three-dimensional coverage that integrates terrestrial and satellite networks, native artificial intelligence, and integrated sensing and communication (Dang, Amin, Shihada, &amp; Alouini, 2020; Saad, Bennis, &amp; Chen, 2020). In 2023, the International Telecommunication Union (ITU) approved the IMT-2030 framework, which formally defined the vision and usage scenarios of 6G and marked the transition of the technology from academic exploration to coordinated global standardization (ITU, 2023).</w:t>
      </w:r>
    </w:p>
    <w:p>
      <w:pPr>
        <w:spacing w:line="360" w:lineRule="auto" w:after="0" w:before="0"/>
        <w:ind w:firstLine="720"/>
        <w:jc w:val="both"/>
      </w:pPr>
      <w:r>
        <w:rPr>
          <w:rFonts w:ascii="Times New Roman" w:hAnsi="Times New Roman" w:eastAsia="Times New Roman" w:cs="Times New Roman"/>
          <w:b w:val="0"/>
          <w:i w:val="0"/>
          <w:sz w:val="24"/>
        </w:rPr>
        <w:t>Globally, the United States, the European Union, Japan, South Korea, and China are all investing heavily in 6G research, turning it into a focal point of technological and industrial competition. China has established the IMT-2030 (6G) Promotion Group to coordinate research among government, industry, and academia, and has accumulated a leading share of related patents (IMT-2030 (6G) Promotion Group, 2021; You et al., 2021).</w:t>
      </w:r>
    </w:p>
    <w:p>
      <w:pPr>
        <w:spacing w:line="360" w:lineRule="auto" w:after="0" w:before="0"/>
        <w:ind w:firstLine="720"/>
        <w:jc w:val="both"/>
      </w:pPr>
      <w:r>
        <w:rPr>
          <w:rFonts w:ascii="Times New Roman" w:hAnsi="Times New Roman" w:eastAsia="Times New Roman" w:cs="Times New Roman"/>
          <w:b w:val="0"/>
          <w:i w:val="0"/>
          <w:sz w:val="24"/>
        </w:rPr>
        <w:t>The significance of 6G for China is threefold. Economically, it is positioned to become a core pillar of the digital economy and a source of new growth at a time when traditional drivers are slowing. Technologically, it integrates communication with artificial intelligence, sensing, and computing, and therefore pulls forward progress in a cluster of frontier fields simultaneously. Strategically, leadership in 6G standards and equipment translates into discourse power in the global information infrastructure, which explains why the technology has become a contested arena among major economies. Against this background, this paper takes the 6G communication industry as a case study of China’s future industries. It first introduces the industry background, then analyzes its economic and business value, examines the major challenges it faces, and finally offers suggestions for future development.</w:t>
      </w:r>
    </w:p>
    <w:p>
      <w:pPr>
        <w:spacing w:line="360" w:lineRule="auto" w:after="120" w:before="240"/>
        <w:jc w:val="center"/>
      </w:pPr>
      <w:r>
        <w:rPr>
          <w:rFonts w:ascii="Times New Roman" w:hAnsi="Times New Roman" w:eastAsia="Times New Roman" w:cs="Times New Roman"/>
          <w:b/>
          <w:i w:val="0"/>
          <w:sz w:val="28"/>
        </w:rPr>
        <w:t>Ⅱ. Economic and Business Value of China’s 6G Industry</w:t>
      </w:r>
    </w:p>
    <w:p>
      <w:pPr>
        <w:spacing w:line="360" w:lineRule="auto" w:after="0" w:before="0"/>
        <w:ind w:firstLine="720"/>
        <w:jc w:val="both"/>
      </w:pPr>
      <w:r>
        <w:rPr>
          <w:rFonts w:ascii="Times New Roman" w:hAnsi="Times New Roman" w:eastAsia="Times New Roman" w:cs="Times New Roman"/>
          <w:b w:val="0"/>
          <w:i w:val="0"/>
          <w:sz w:val="24"/>
        </w:rPr>
        <w:t>As a strategic future industry, 6G is expected to generate substantial economic and business value across the entire digital ecosystem. Its value lies not only in the communication sector itself, but also in the wide range of industries that it empowers.</w:t>
      </w:r>
    </w:p>
    <w:p>
      <w:pPr>
        <w:spacing w:line="360" w:lineRule="auto" w:after="80" w:before="120"/>
        <w:jc w:val="left"/>
      </w:pPr>
      <w:r>
        <w:rPr>
          <w:rFonts w:ascii="Times New Roman" w:hAnsi="Times New Roman" w:eastAsia="Times New Roman" w:cs="Times New Roman"/>
          <w:b/>
          <w:i w:val="0"/>
          <w:sz w:val="24"/>
        </w:rPr>
        <w:t>2.1 Market Potential</w:t>
      </w:r>
    </w:p>
    <w:p>
      <w:pPr>
        <w:spacing w:line="360" w:lineRule="auto" w:after="0" w:before="0"/>
        <w:ind w:firstLine="720"/>
        <w:jc w:val="both"/>
      </w:pPr>
      <w:r>
        <w:rPr>
          <w:rFonts w:ascii="Times New Roman" w:hAnsi="Times New Roman" w:eastAsia="Times New Roman" w:cs="Times New Roman"/>
          <w:b w:val="0"/>
          <w:i w:val="0"/>
          <w:sz w:val="24"/>
        </w:rPr>
        <w:t>The market potential of 6G is closely tied to the continuing expansion of the digital economy. Industry forecasts suggest that 6G will support an unprecedented density of connected devices and enable new application scenarios such as immersive extended reality, holographic communication, digital twins, and the Internet of Everything (You et al., 2021). These applications are expected to create large new consumer and enterprise markets that did not exist in the 5G era. As a general-purpose technology, 6G can act as a multiplier for the digital economy, indirectly stimulating demand in sectors such as smart manufacturing, autonomous driving, telemedicine, and smart cities. For China, which has the world’s largest mobile user base and a mature digital-consumption culture, the domestic market alone provides a vast foundation for commercial scaling.</w:t>
      </w:r>
    </w:p>
    <w:p>
      <w:pPr>
        <w:spacing w:line="360" w:lineRule="auto" w:after="0" w:before="0"/>
        <w:ind w:firstLine="720"/>
        <w:jc w:val="both"/>
      </w:pPr>
      <w:r>
        <w:rPr>
          <w:rFonts w:ascii="Times New Roman" w:hAnsi="Times New Roman" w:eastAsia="Times New Roman" w:cs="Times New Roman"/>
          <w:b w:val="0"/>
          <w:i w:val="0"/>
          <w:sz w:val="24"/>
        </w:rPr>
        <w:t>The value of 6G is expected to be distributed across two complementary segments. On the consumer side, demand will be driven by next-generation personal devices, wearable equipment, and immersive entertainment that require ultra-high bandwidth and low latency. On the industrial side, the larger share of value is likely to come from enterprise and vertical applications, where reliable, intelligent, and sensing-capable networks become part of the production process itself. Because connectivity revenue alone is difficult to grow, operators and equipment vendors increasingly view 6G as a platform for selling integrated solutions that bundle networks, computing, and data services, thereby expanding the total addressable market well beyond traditional telecommunications.</w:t>
      </w:r>
    </w:p>
    <w:p>
      <w:pPr>
        <w:spacing w:line="360" w:lineRule="auto" w:after="80" w:before="120"/>
        <w:jc w:val="left"/>
      </w:pPr>
      <w:r>
        <w:rPr>
          <w:rFonts w:ascii="Times New Roman" w:hAnsi="Times New Roman" w:eastAsia="Times New Roman" w:cs="Times New Roman"/>
          <w:b/>
          <w:i w:val="0"/>
          <w:sz w:val="24"/>
        </w:rPr>
        <w:t>2.2 Industrial Chain Development</w:t>
      </w:r>
    </w:p>
    <w:p>
      <w:pPr>
        <w:spacing w:line="360" w:lineRule="auto" w:after="0" w:before="0"/>
        <w:ind w:firstLine="720"/>
        <w:jc w:val="both"/>
      </w:pPr>
      <w:r>
        <w:rPr>
          <w:rFonts w:ascii="Times New Roman" w:hAnsi="Times New Roman" w:eastAsia="Times New Roman" w:cs="Times New Roman"/>
          <w:b w:val="0"/>
          <w:i w:val="0"/>
          <w:sz w:val="24"/>
        </w:rPr>
        <w:t>The 6G industrial chain spans upstream, midstream, and downstream segments. The upstream involves core components and materials, including high-frequency and terahertz chips, advanced semiconductor materials, radio-frequency devices, and precision instruments. The midstream covers network equipment such as base stations, antennas, and transmission systems, as well as the associated network software. The downstream includes telecom operators and the vast array of vertical applications that consume connectivity services (Tariq et al., 2020). China has developed notable strengths in the midstream equipment segment, where companies such as Huawei and ZTE are globally competitive, and in network-deployment capability, as demonstrated by its rapid and large-scale 5G rollout. However, the upstream remains comparatively weak, particularly in high-end chips and design software, which represents a critical bottleneck for the healthy development of the whole chain.</w:t>
      </w:r>
    </w:p>
    <w:p>
      <w:pPr>
        <w:spacing w:line="360" w:lineRule="auto" w:after="0" w:before="0"/>
        <w:ind w:firstLine="720"/>
        <w:jc w:val="both"/>
      </w:pPr>
      <w:r>
        <w:rPr>
          <w:rFonts w:ascii="Times New Roman" w:hAnsi="Times New Roman" w:eastAsia="Times New Roman" w:cs="Times New Roman"/>
          <w:b w:val="0"/>
          <w:i w:val="0"/>
          <w:sz w:val="24"/>
        </w:rPr>
        <w:t>A further characteristic of the 6G chain is its growing dependence on software and intelligence. As networks become AI-native and increasingly virtualized, value migrates from hardware toward software platforms, algorithms, and data. This shift creates opportunities for firms that traditionally sit outside telecommunications, including cloud providers and chip designers, and it blurs the boundary between the communication industry and the wider information-technology sector. For China, strengthening the software and chip layers of the chain is therefore as important as maintaining its existing advantage in equipment manufacturing, because a single weak link in the upstream can constrain the competitiveness of the entire industry.</w:t>
      </w:r>
    </w:p>
    <w:p>
      <w:pPr>
        <w:spacing w:line="360" w:lineRule="auto" w:after="80" w:before="120"/>
        <w:jc w:val="left"/>
      </w:pPr>
      <w:r>
        <w:rPr>
          <w:rFonts w:ascii="Times New Roman" w:hAnsi="Times New Roman" w:eastAsia="Times New Roman" w:cs="Times New Roman"/>
          <w:b/>
          <w:i w:val="0"/>
          <w:sz w:val="24"/>
        </w:rPr>
        <w:t>2.3 Investment Opportunities and Economic Impact</w:t>
      </w:r>
    </w:p>
    <w:p>
      <w:pPr>
        <w:spacing w:line="360" w:lineRule="auto" w:after="0" w:before="0"/>
        <w:ind w:firstLine="720"/>
        <w:jc w:val="both"/>
      </w:pPr>
      <w:r>
        <w:rPr>
          <w:rFonts w:ascii="Times New Roman" w:hAnsi="Times New Roman" w:eastAsia="Times New Roman" w:cs="Times New Roman"/>
          <w:b w:val="0"/>
          <w:i w:val="0"/>
          <w:sz w:val="24"/>
        </w:rPr>
        <w:t>6G creates significant investment opportunities at multiple levels. At the technological level, research and development in terahertz communication, reconfigurable intelligent surfaces, AI-native networks, and integrated sensing offers opportunities for both public and private capital. Standard-essential patents constitute another high-value asset, because holders of key patents can secure long-term licensing revenue and exert influence over the formation of global standards (You et al., 2021). The broader economic impact is equally important: investment in 6G generates strong spillover effects on adjacent industries such as semiconductors, artificial intelligence, and cloud computing, and it creates high-quality employment in research, manufacturing, and services. In this sense, 6G functions as a strategic lever that can strengthen the resilience and competitiveness of China’s entire digital economy.</w:t>
      </w:r>
    </w:p>
    <w:p>
      <w:pPr>
        <w:spacing w:line="360" w:lineRule="auto" w:after="0" w:before="0"/>
        <w:ind w:firstLine="720"/>
        <w:jc w:val="both"/>
      </w:pPr>
      <w:r>
        <w:rPr>
          <w:rFonts w:ascii="Times New Roman" w:hAnsi="Times New Roman" w:eastAsia="Times New Roman" w:cs="Times New Roman"/>
          <w:b w:val="0"/>
          <w:i w:val="0"/>
          <w:sz w:val="24"/>
        </w:rPr>
        <w:t>From an investment perspective, the long pre-commercial phase of 6G implies that funding patterns differ from those of mature consumer technologies. In the near term, the government and large state-related enterprises are likely to bear much of the basic-research risk through national programs and dedicated funds, while venture capital concentrates on specific enabling components and application start-ups. Over the medium term, as standards stabilize and pilot deployments appear, private investment is expected to increase. For policymakers, the key economic argument is that early and patient investment in 6G supports a strategy of self-reliance in critical technologies and reduces the risk of being locked out of future global value chains.</w:t>
      </w:r>
    </w:p>
    <w:p>
      <w:pPr>
        <w:spacing w:line="360" w:lineRule="auto" w:after="120" w:before="240"/>
        <w:jc w:val="center"/>
      </w:pPr>
      <w:r>
        <w:rPr>
          <w:rFonts w:ascii="Times New Roman" w:hAnsi="Times New Roman" w:eastAsia="Times New Roman" w:cs="Times New Roman"/>
          <w:b/>
          <w:i w:val="0"/>
          <w:sz w:val="28"/>
        </w:rPr>
        <w:t>Ⅲ. Major Challenges and Suggestions for Future Development</w:t>
      </w:r>
    </w:p>
    <w:p>
      <w:pPr>
        <w:spacing w:line="360" w:lineRule="auto" w:after="80" w:before="120"/>
        <w:jc w:val="left"/>
      </w:pPr>
      <w:r>
        <w:rPr>
          <w:rFonts w:ascii="Times New Roman" w:hAnsi="Times New Roman" w:eastAsia="Times New Roman" w:cs="Times New Roman"/>
          <w:b/>
          <w:i w:val="0"/>
          <w:sz w:val="24"/>
        </w:rPr>
        <w:t>3.1 Major Challenges</w:t>
      </w:r>
    </w:p>
    <w:p>
      <w:pPr>
        <w:spacing w:line="360" w:lineRule="auto" w:after="0" w:before="0"/>
        <w:ind w:firstLine="720"/>
        <w:jc w:val="both"/>
      </w:pPr>
      <w:r>
        <w:rPr>
          <w:rFonts w:ascii="Times New Roman" w:hAnsi="Times New Roman" w:eastAsia="Times New Roman" w:cs="Times New Roman"/>
          <w:b w:val="0"/>
          <w:i w:val="0"/>
          <w:sz w:val="24"/>
        </w:rPr>
        <w:t>Despite its promising prospects, the development of the 6G industry faces several major challenges. The first is technological barriers. Many of the key technologies, such as terahertz transmission, novel materials, and energy-efficient hardware, are still immature, and achieving the ambitious performance targets of 6G while controlling energy consumption remains difficult (Dang et al., 2020; Saad et al., 2020). The second challenge concerns policy, regulation, and geopolitics. Spectrum allocation for 6G requires international coordination, while export controls and technology restrictions imposed in the context of geopolitical tension constrain access to advanced chips and design tools. The third challenge is the difficulty of commercialization. The return on investment of 5G has not fully met expectations, and a widely accepted “killer application” for 6G has not yet emerged, which raises uncertainty about the timing and profitability of large-scale deployment (Tariq et al., 2020). Finally, the industry faces a shortage of high-level interdisciplinary talent capable of working across communication, artificial intelligence, and chip design.</w:t>
      </w:r>
    </w:p>
    <w:p>
      <w:pPr>
        <w:spacing w:line="360" w:lineRule="auto" w:after="0" w:before="0"/>
        <w:ind w:firstLine="720"/>
        <w:jc w:val="both"/>
      </w:pPr>
      <w:r>
        <w:rPr>
          <w:rFonts w:ascii="Times New Roman" w:hAnsi="Times New Roman" w:eastAsia="Times New Roman" w:cs="Times New Roman"/>
          <w:b w:val="0"/>
          <w:i w:val="0"/>
          <w:sz w:val="24"/>
        </w:rPr>
        <w:t>Two further challenges deserve attention. One is the risk of fragmentation in standards and ecosystems. If geopolitical rivalry leads major economies to pursue divergent technical routes, the resulting incompatibility would raise costs, reduce economies of scale, and undermine the global interoperability that has historically driven the success of mobile communication. The other is sustainability and security. The very high frequencies and dense infrastructure envisioned for 6G could substantially increase energy demand, which conflicts with carbon-reduction goals, while the integration of sensing, artificial intelligence, and ubiquitous connectivity raises serious concerns about data privacy and network security that must be addressed before the public will accept large-scale deployment.</w:t>
      </w:r>
    </w:p>
    <w:p>
      <w:pPr>
        <w:spacing w:line="360" w:lineRule="auto" w:after="80" w:before="120"/>
        <w:jc w:val="left"/>
      </w:pPr>
      <w:r>
        <w:rPr>
          <w:rFonts w:ascii="Times New Roman" w:hAnsi="Times New Roman" w:eastAsia="Times New Roman" w:cs="Times New Roman"/>
          <w:b/>
          <w:i w:val="0"/>
          <w:sz w:val="24"/>
        </w:rPr>
        <w:t>3.2 Suggestions for Future Development</w:t>
      </w:r>
    </w:p>
    <w:p>
      <w:pPr>
        <w:spacing w:line="360" w:lineRule="auto" w:after="0" w:before="0"/>
        <w:ind w:firstLine="720"/>
        <w:jc w:val="both"/>
      </w:pPr>
      <w:r>
        <w:rPr>
          <w:rFonts w:ascii="Times New Roman" w:hAnsi="Times New Roman" w:eastAsia="Times New Roman" w:cs="Times New Roman"/>
          <w:b w:val="0"/>
          <w:i w:val="0"/>
          <w:sz w:val="24"/>
        </w:rPr>
        <w:t>To address these challenges, several measures are recommended. In terms of innovation, China should increase sustained investment in basic research and strengthen indigenous capability in core areas such as high-end chips and electronic design automation, so as to reduce dependence on external suppliers. In terms of business strategy, enterprises should adopt an application-driven approach, working closely with vertical industries to identify viable use cases at an early stage and to build an open and collaborative ecosystem rather than competing in isolation. In terms of policy support, the government should provide stable funding, coordinate spectrum planning, and improve talent cultivation through university programs and industry-academia partnerships. Finally, despite geopolitical tensions, international cooperation in standardization remains essential; active and constructive participation in the ITU and other standards bodies will help ensure interoperability and protect China’s long-term interests in the global market (ITU, 2023).</w:t>
      </w:r>
    </w:p>
    <w:p>
      <w:pPr>
        <w:spacing w:line="360" w:lineRule="auto" w:after="0" w:before="0"/>
        <w:ind w:firstLine="720"/>
        <w:jc w:val="both"/>
      </w:pPr>
      <w:r>
        <w:rPr>
          <w:rFonts w:ascii="Times New Roman" w:hAnsi="Times New Roman" w:eastAsia="Times New Roman" w:cs="Times New Roman"/>
          <w:b w:val="0"/>
          <w:i w:val="0"/>
          <w:sz w:val="24"/>
        </w:rPr>
        <w:t>Beyond these measures, two further priorities should guide future development. First, sustainability and security should be treated as design principles rather than afterthoughts: energy efficiency targets and privacy-protection mechanisms ought to be embedded in the technical architecture of 6G from the outset, so that environmental and social acceptability are built in rather than retrofitted. Second, the financing model should be diversified by combining patient public capital for long-horizon basic research with market-oriented venture investment for applications, thereby sharing risk across the innovation cycle. Taken together, a coordinated approach that links technology, industry, policy, and international engagement offers China the best chance of converting its current research advantages into durable industrial leadership.</w:t>
      </w:r>
    </w:p>
    <w:p>
      <w:pPr>
        <w:spacing w:line="360" w:lineRule="auto" w:after="120" w:before="240"/>
        <w:jc w:val="center"/>
      </w:pPr>
      <w:r>
        <w:rPr>
          <w:rFonts w:ascii="Times New Roman" w:hAnsi="Times New Roman" w:eastAsia="Times New Roman" w:cs="Times New Roman"/>
          <w:b/>
          <w:i w:val="0"/>
          <w:sz w:val="28"/>
        </w:rPr>
        <w:t>Ⅳ. Conclusion</w:t>
      </w:r>
    </w:p>
    <w:p>
      <w:pPr>
        <w:spacing w:line="360" w:lineRule="auto" w:after="0" w:before="0"/>
        <w:ind w:firstLine="720"/>
        <w:jc w:val="both"/>
      </w:pPr>
      <w:r>
        <w:rPr>
          <w:rFonts w:ascii="Times New Roman" w:hAnsi="Times New Roman" w:eastAsia="Times New Roman" w:cs="Times New Roman"/>
          <w:b w:val="0"/>
          <w:i w:val="0"/>
          <w:sz w:val="24"/>
        </w:rPr>
        <w:t>As a representative case of China’s future industries, the 6G communication industry embodies both the enormous opportunities and the serious challenges that characterize frontier technological sectors. The analysis above shows that 6G holds considerable economic and business value, ranging from new application markets and a long industrial chain to substantial investment opportunities and spillover effects on the wider digital economy. At the same time, technological immaturity, geopolitical and regulatory constraints, commercialization uncertainty, and talent shortages may slow its progress. To realize the potential of 6G, China should pursue a balanced strategy that combines strengthened indigenous innovation, application-driven business models, supportive and coordinated policy, and continued international cooperation. If these conditions are met, 6G can become not only a pillar of China’s digital economy but also a key driver of the country’s broader future-industry ambitions.</w:t>
      </w:r>
    </w:p>
    <w:p>
      <w:r>
        <w:br w:type="page"/>
      </w:r>
    </w:p>
    <w:p>
      <w:pPr>
        <w:spacing w:after="160" w:before="0"/>
        <w:jc w:val="center"/>
      </w:pPr>
      <w:r>
        <w:rPr>
          <w:rFonts w:ascii="Times New Roman" w:hAnsi="Times New Roman" w:eastAsia="Times New Roman" w:cs="Times New Roman"/>
          <w:b/>
          <w:i w:val="0"/>
          <w:sz w:val="28"/>
        </w:rPr>
        <w:t>References</w:t>
      </w:r>
    </w:p>
    <w:p>
      <w:pPr>
        <w:spacing w:line="360" w:lineRule="auto" w:after="120"/>
        <w:ind w:left="720" w:hanging="720"/>
      </w:pPr>
      <w:r>
        <w:rPr>
          <w:rFonts w:ascii="Times New Roman" w:hAnsi="Times New Roman" w:eastAsia="Times New Roman" w:cs="Times New Roman"/>
          <w:b w:val="0"/>
          <w:i w:val="0"/>
          <w:sz w:val="24"/>
        </w:rPr>
        <w:t>Dang, S., Amin, O., Shihada, B., &amp; Alouini, M.-S. (2020). What should 6G be? Nature Electronics, 3(1), 20–29.</w:t>
      </w:r>
    </w:p>
    <w:p>
      <w:pPr>
        <w:spacing w:line="360" w:lineRule="auto" w:after="120"/>
        <w:ind w:left="720" w:hanging="720"/>
      </w:pPr>
      <w:r>
        <w:rPr>
          <w:rFonts w:ascii="Times New Roman" w:hAnsi="Times New Roman" w:eastAsia="Times New Roman" w:cs="Times New Roman"/>
          <w:b w:val="0"/>
          <w:i w:val="0"/>
          <w:sz w:val="24"/>
        </w:rPr>
        <w:t>IMT-2030 (6G) Promotion Group. (2021). White paper on 6G vision and candidate technologies. China Academy of Information and Communications Technology (CAICT).</w:t>
      </w:r>
    </w:p>
    <w:p>
      <w:pPr>
        <w:spacing w:line="360" w:lineRule="auto" w:after="120"/>
        <w:ind w:left="720" w:hanging="720"/>
      </w:pPr>
      <w:r>
        <w:rPr>
          <w:rFonts w:ascii="Times New Roman" w:hAnsi="Times New Roman" w:eastAsia="Times New Roman" w:cs="Times New Roman"/>
          <w:b w:val="0"/>
          <w:i w:val="0"/>
          <w:sz w:val="24"/>
        </w:rPr>
        <w:t>International Telecommunication Union. (2023). Framework and overall objectives of the future development of IMT for 2030 and beyond (Recommendation ITU-R M.2160-0). ITU.</w:t>
      </w:r>
    </w:p>
    <w:p>
      <w:pPr>
        <w:spacing w:line="360" w:lineRule="auto" w:after="120"/>
        <w:ind w:left="720" w:hanging="720"/>
      </w:pPr>
      <w:r>
        <w:rPr>
          <w:rFonts w:ascii="Times New Roman" w:hAnsi="Times New Roman" w:eastAsia="Times New Roman" w:cs="Times New Roman"/>
          <w:b w:val="0"/>
          <w:i w:val="0"/>
          <w:sz w:val="24"/>
        </w:rPr>
        <w:t>Saad, W., Bennis, M., &amp; Chen, M. (2020). A vision of 6G wireless systems: Applications, trends, technologies, and open research problems. IEEE Network, 34(3), 134–142.</w:t>
      </w:r>
    </w:p>
    <w:p>
      <w:pPr>
        <w:spacing w:line="360" w:lineRule="auto" w:after="120"/>
        <w:ind w:left="720" w:hanging="720"/>
      </w:pPr>
      <w:r>
        <w:rPr>
          <w:rFonts w:ascii="Times New Roman" w:hAnsi="Times New Roman" w:eastAsia="Times New Roman" w:cs="Times New Roman"/>
          <w:b w:val="0"/>
          <w:i w:val="0"/>
          <w:sz w:val="24"/>
        </w:rPr>
        <w:t>Tariq, F., Khandaker, M. R. A., Wong, K.-K., Imran, M. A., Bennis, M., &amp; Debbah, M. (2020). A speculative study on 6G. IEEE Wireless Communications, 27(4), 118–125.</w:t>
      </w:r>
    </w:p>
    <w:p>
      <w:pPr>
        <w:spacing w:line="360" w:lineRule="auto" w:after="120"/>
        <w:ind w:left="720" w:hanging="720"/>
      </w:pPr>
      <w:r>
        <w:rPr>
          <w:rFonts w:ascii="Times New Roman" w:hAnsi="Times New Roman" w:eastAsia="Times New Roman" w:cs="Times New Roman"/>
          <w:b w:val="0"/>
          <w:i w:val="0"/>
          <w:sz w:val="24"/>
        </w:rPr>
        <w:t>You, X., Wang, C.-X., Huang, J., Gao, X., Zhang, Z., Wang, M., et al. (2021). Towards 6G wireless communication networks: Vision, enabling technologies, and new paradigm shifts. Science China Information Sciences, 64(1), 110301.</w:t>
      </w:r>
    </w:p>
    <w:p>
      <w:r>
        <w:br w:type="page"/>
      </w:r>
    </w:p>
    <w:p>
      <w:pPr>
        <w:spacing w:after="160" w:before="0"/>
        <w:jc w:val="center"/>
      </w:pPr>
      <w:r>
        <w:rPr>
          <w:rFonts w:ascii="Times New Roman" w:hAnsi="Times New Roman" w:eastAsia="Times New Roman" w:cs="Times New Roman"/>
          <w:b/>
          <w:i w:val="0"/>
          <w:sz w:val="28"/>
        </w:rPr>
        <w:t>Appendix</w:t>
      </w:r>
    </w:p>
    <w:p>
      <w:pPr>
        <w:spacing w:after="120" w:before="0"/>
        <w:jc w:val="left"/>
      </w:pPr>
      <w:r>
        <w:rPr>
          <w:rFonts w:ascii="Times New Roman" w:hAnsi="Times New Roman" w:eastAsia="Times New Roman" w:cs="Times New Roman"/>
          <w:b/>
          <w:i w:val="0"/>
          <w:sz w:val="24"/>
        </w:rPr>
        <w:t>Appendix A. List of Abbreviations</w:t>
      </w:r>
    </w:p>
    <w:tbl>
      <w:tblPr>
        <w:tblStyle w:val="TableGrid"/>
        <w:tblW w:type="auto" w:w="0"/>
        <w:tblLook w:firstColumn="1" w:firstRow="1" w:lastColumn="0" w:lastRow="0" w:noHBand="0" w:noVBand="1" w:val="04A0"/>
      </w:tblPr>
      <w:tblGrid>
        <w:gridCol w:w="4150"/>
        <w:gridCol w:w="4150"/>
      </w:tblGrid>
      <w:tr>
        <w:tc>
          <w:tcPr>
            <w:tcW w:type="dxa" w:w="4150"/>
          </w:tcPr>
          <w:p>
            <w:r>
              <w:rPr>
                <w:rFonts w:ascii="Times New Roman" w:hAnsi="Times New Roman" w:eastAsia="Times New Roman" w:cs="Times New Roman"/>
                <w:b/>
                <w:i w:val="0"/>
                <w:sz w:val="24"/>
              </w:rPr>
              <w:t>Abbreviation</w:t>
            </w:r>
          </w:p>
        </w:tc>
        <w:tc>
          <w:tcPr>
            <w:tcW w:type="dxa" w:w="4150"/>
          </w:tcPr>
          <w:p>
            <w:r>
              <w:rPr>
                <w:rFonts w:ascii="Times New Roman" w:hAnsi="Times New Roman" w:eastAsia="Times New Roman" w:cs="Times New Roman"/>
                <w:b/>
                <w:i w:val="0"/>
                <w:sz w:val="24"/>
              </w:rPr>
              <w:t>Full Form</w:t>
            </w:r>
          </w:p>
        </w:tc>
      </w:tr>
      <w:tr>
        <w:tc>
          <w:tcPr>
            <w:tcW w:type="dxa" w:w="4150"/>
          </w:tcPr>
          <w:p>
            <w:r>
              <w:rPr>
                <w:rFonts w:ascii="Times New Roman" w:hAnsi="Times New Roman" w:eastAsia="Times New Roman" w:cs="Times New Roman"/>
                <w:b w:val="0"/>
                <w:i w:val="0"/>
                <w:sz w:val="24"/>
              </w:rPr>
              <w:t>6G</w:t>
            </w:r>
          </w:p>
        </w:tc>
        <w:tc>
          <w:tcPr>
            <w:tcW w:type="dxa" w:w="4150"/>
          </w:tcPr>
          <w:p>
            <w:r>
              <w:rPr>
                <w:rFonts w:ascii="Times New Roman" w:hAnsi="Times New Roman" w:eastAsia="Times New Roman" w:cs="Times New Roman"/>
                <w:b w:val="0"/>
                <w:i w:val="0"/>
                <w:sz w:val="24"/>
              </w:rPr>
              <w:t>Sixth-Generation Mobile Communication</w:t>
            </w:r>
          </w:p>
        </w:tc>
      </w:tr>
      <w:tr>
        <w:tc>
          <w:tcPr>
            <w:tcW w:type="dxa" w:w="4150"/>
          </w:tcPr>
          <w:p>
            <w:r>
              <w:rPr>
                <w:rFonts w:ascii="Times New Roman" w:hAnsi="Times New Roman" w:eastAsia="Times New Roman" w:cs="Times New Roman"/>
                <w:b w:val="0"/>
                <w:i w:val="0"/>
                <w:sz w:val="24"/>
              </w:rPr>
              <w:t>AI</w:t>
            </w:r>
          </w:p>
        </w:tc>
        <w:tc>
          <w:tcPr>
            <w:tcW w:type="dxa" w:w="4150"/>
          </w:tcPr>
          <w:p>
            <w:r>
              <w:rPr>
                <w:rFonts w:ascii="Times New Roman" w:hAnsi="Times New Roman" w:eastAsia="Times New Roman" w:cs="Times New Roman"/>
                <w:b w:val="0"/>
                <w:i w:val="0"/>
                <w:sz w:val="24"/>
              </w:rPr>
              <w:t>Artificial Intelligence</w:t>
            </w:r>
          </w:p>
        </w:tc>
      </w:tr>
      <w:tr>
        <w:tc>
          <w:tcPr>
            <w:tcW w:type="dxa" w:w="4150"/>
          </w:tcPr>
          <w:p>
            <w:r>
              <w:rPr>
                <w:rFonts w:ascii="Times New Roman" w:hAnsi="Times New Roman" w:eastAsia="Times New Roman" w:cs="Times New Roman"/>
                <w:b w:val="0"/>
                <w:i w:val="0"/>
                <w:sz w:val="24"/>
              </w:rPr>
              <w:t>CAICT</w:t>
            </w:r>
          </w:p>
        </w:tc>
        <w:tc>
          <w:tcPr>
            <w:tcW w:type="dxa" w:w="4150"/>
          </w:tcPr>
          <w:p>
            <w:r>
              <w:rPr>
                <w:rFonts w:ascii="Times New Roman" w:hAnsi="Times New Roman" w:eastAsia="Times New Roman" w:cs="Times New Roman"/>
                <w:b w:val="0"/>
                <w:i w:val="0"/>
                <w:sz w:val="24"/>
              </w:rPr>
              <w:t>China Academy of Information and Communications Technology</w:t>
            </w:r>
          </w:p>
        </w:tc>
      </w:tr>
      <w:tr>
        <w:tc>
          <w:tcPr>
            <w:tcW w:type="dxa" w:w="4150"/>
          </w:tcPr>
          <w:p>
            <w:r>
              <w:rPr>
                <w:rFonts w:ascii="Times New Roman" w:hAnsi="Times New Roman" w:eastAsia="Times New Roman" w:cs="Times New Roman"/>
                <w:b w:val="0"/>
                <w:i w:val="0"/>
                <w:sz w:val="24"/>
              </w:rPr>
              <w:t>EDA</w:t>
            </w:r>
          </w:p>
        </w:tc>
        <w:tc>
          <w:tcPr>
            <w:tcW w:type="dxa" w:w="4150"/>
          </w:tcPr>
          <w:p>
            <w:r>
              <w:rPr>
                <w:rFonts w:ascii="Times New Roman" w:hAnsi="Times New Roman" w:eastAsia="Times New Roman" w:cs="Times New Roman"/>
                <w:b w:val="0"/>
                <w:i w:val="0"/>
                <w:sz w:val="24"/>
              </w:rPr>
              <w:t>Electronic Design Automation</w:t>
            </w:r>
          </w:p>
        </w:tc>
      </w:tr>
      <w:tr>
        <w:tc>
          <w:tcPr>
            <w:tcW w:type="dxa" w:w="4150"/>
          </w:tcPr>
          <w:p>
            <w:r>
              <w:rPr>
                <w:rFonts w:ascii="Times New Roman" w:hAnsi="Times New Roman" w:eastAsia="Times New Roman" w:cs="Times New Roman"/>
                <w:b w:val="0"/>
                <w:i w:val="0"/>
                <w:sz w:val="24"/>
              </w:rPr>
              <w:t>IMT</w:t>
            </w:r>
          </w:p>
        </w:tc>
        <w:tc>
          <w:tcPr>
            <w:tcW w:type="dxa" w:w="4150"/>
          </w:tcPr>
          <w:p>
            <w:r>
              <w:rPr>
                <w:rFonts w:ascii="Times New Roman" w:hAnsi="Times New Roman" w:eastAsia="Times New Roman" w:cs="Times New Roman"/>
                <w:b w:val="0"/>
                <w:i w:val="0"/>
                <w:sz w:val="24"/>
              </w:rPr>
              <w:t>International Mobile Telecommunications</w:t>
            </w:r>
          </w:p>
        </w:tc>
      </w:tr>
      <w:tr>
        <w:tc>
          <w:tcPr>
            <w:tcW w:type="dxa" w:w="4150"/>
          </w:tcPr>
          <w:p>
            <w:r>
              <w:rPr>
                <w:rFonts w:ascii="Times New Roman" w:hAnsi="Times New Roman" w:eastAsia="Times New Roman" w:cs="Times New Roman"/>
                <w:b w:val="0"/>
                <w:i w:val="0"/>
                <w:sz w:val="24"/>
              </w:rPr>
              <w:t>ISAC</w:t>
            </w:r>
          </w:p>
        </w:tc>
        <w:tc>
          <w:tcPr>
            <w:tcW w:type="dxa" w:w="4150"/>
          </w:tcPr>
          <w:p>
            <w:r>
              <w:rPr>
                <w:rFonts w:ascii="Times New Roman" w:hAnsi="Times New Roman" w:eastAsia="Times New Roman" w:cs="Times New Roman"/>
                <w:b w:val="0"/>
                <w:i w:val="0"/>
                <w:sz w:val="24"/>
              </w:rPr>
              <w:t>Integrated Sensing and Communication</w:t>
            </w:r>
          </w:p>
        </w:tc>
      </w:tr>
      <w:tr>
        <w:tc>
          <w:tcPr>
            <w:tcW w:type="dxa" w:w="4150"/>
          </w:tcPr>
          <w:p>
            <w:r>
              <w:rPr>
                <w:rFonts w:ascii="Times New Roman" w:hAnsi="Times New Roman" w:eastAsia="Times New Roman" w:cs="Times New Roman"/>
                <w:b w:val="0"/>
                <w:i w:val="0"/>
                <w:sz w:val="24"/>
              </w:rPr>
              <w:t>ITU</w:t>
            </w:r>
          </w:p>
        </w:tc>
        <w:tc>
          <w:tcPr>
            <w:tcW w:type="dxa" w:w="4150"/>
          </w:tcPr>
          <w:p>
            <w:r>
              <w:rPr>
                <w:rFonts w:ascii="Times New Roman" w:hAnsi="Times New Roman" w:eastAsia="Times New Roman" w:cs="Times New Roman"/>
                <w:b w:val="0"/>
                <w:i w:val="0"/>
                <w:sz w:val="24"/>
              </w:rPr>
              <w:t>International Telecommunication Union</w:t>
            </w:r>
          </w:p>
        </w:tc>
      </w:tr>
      <w:tr>
        <w:tc>
          <w:tcPr>
            <w:tcW w:type="dxa" w:w="4150"/>
          </w:tcPr>
          <w:p>
            <w:r>
              <w:rPr>
                <w:rFonts w:ascii="Times New Roman" w:hAnsi="Times New Roman" w:eastAsia="Times New Roman" w:cs="Times New Roman"/>
                <w:b w:val="0"/>
                <w:i w:val="0"/>
                <w:sz w:val="24"/>
              </w:rPr>
              <w:t>IoE</w:t>
            </w:r>
          </w:p>
        </w:tc>
        <w:tc>
          <w:tcPr>
            <w:tcW w:type="dxa" w:w="4150"/>
          </w:tcPr>
          <w:p>
            <w:r>
              <w:rPr>
                <w:rFonts w:ascii="Times New Roman" w:hAnsi="Times New Roman" w:eastAsia="Times New Roman" w:cs="Times New Roman"/>
                <w:b w:val="0"/>
                <w:i w:val="0"/>
                <w:sz w:val="24"/>
              </w:rPr>
              <w:t>Internet of Everything</w:t>
            </w:r>
          </w:p>
        </w:tc>
      </w:tr>
      <w:tr>
        <w:tc>
          <w:tcPr>
            <w:tcW w:type="dxa" w:w="4150"/>
          </w:tcPr>
          <w:p>
            <w:r>
              <w:rPr>
                <w:rFonts w:ascii="Times New Roman" w:hAnsi="Times New Roman" w:eastAsia="Times New Roman" w:cs="Times New Roman"/>
                <w:b w:val="0"/>
                <w:i w:val="0"/>
                <w:sz w:val="24"/>
              </w:rPr>
              <w:t>R&amp;D</w:t>
            </w:r>
          </w:p>
        </w:tc>
        <w:tc>
          <w:tcPr>
            <w:tcW w:type="dxa" w:w="4150"/>
          </w:tcPr>
          <w:p>
            <w:r>
              <w:rPr>
                <w:rFonts w:ascii="Times New Roman" w:hAnsi="Times New Roman" w:eastAsia="Times New Roman" w:cs="Times New Roman"/>
                <w:b w:val="0"/>
                <w:i w:val="0"/>
                <w:sz w:val="24"/>
              </w:rPr>
              <w:t>Research and Development</w:t>
            </w:r>
          </w:p>
        </w:tc>
      </w:tr>
      <w:tr>
        <w:tc>
          <w:tcPr>
            <w:tcW w:type="dxa" w:w="4150"/>
          </w:tcPr>
          <w:p>
            <w:r>
              <w:rPr>
                <w:rFonts w:ascii="Times New Roman" w:hAnsi="Times New Roman" w:eastAsia="Times New Roman" w:cs="Times New Roman"/>
                <w:b w:val="0"/>
                <w:i w:val="0"/>
                <w:sz w:val="24"/>
              </w:rPr>
              <w:t>RIS</w:t>
            </w:r>
          </w:p>
        </w:tc>
        <w:tc>
          <w:tcPr>
            <w:tcW w:type="dxa" w:w="4150"/>
          </w:tcPr>
          <w:p>
            <w:r>
              <w:rPr>
                <w:rFonts w:ascii="Times New Roman" w:hAnsi="Times New Roman" w:eastAsia="Times New Roman" w:cs="Times New Roman"/>
                <w:b w:val="0"/>
                <w:i w:val="0"/>
                <w:sz w:val="24"/>
              </w:rPr>
              <w:t>Reconfigurable Intelligent Surface</w:t>
            </w:r>
          </w:p>
        </w:tc>
      </w:tr>
      <w:tr>
        <w:tc>
          <w:tcPr>
            <w:tcW w:type="dxa" w:w="4150"/>
          </w:tcPr>
          <w:p>
            <w:r>
              <w:rPr>
                <w:rFonts w:ascii="Times New Roman" w:hAnsi="Times New Roman" w:eastAsia="Times New Roman" w:cs="Times New Roman"/>
                <w:b w:val="0"/>
                <w:i w:val="0"/>
                <w:sz w:val="24"/>
              </w:rPr>
              <w:t>SEP</w:t>
            </w:r>
          </w:p>
        </w:tc>
        <w:tc>
          <w:tcPr>
            <w:tcW w:type="dxa" w:w="4150"/>
          </w:tcPr>
          <w:p>
            <w:r>
              <w:rPr>
                <w:rFonts w:ascii="Times New Roman" w:hAnsi="Times New Roman" w:eastAsia="Times New Roman" w:cs="Times New Roman"/>
                <w:b w:val="0"/>
                <w:i w:val="0"/>
                <w:sz w:val="24"/>
              </w:rPr>
              <w:t>Standard-Essential Patent</w:t>
            </w:r>
          </w:p>
        </w:tc>
      </w:tr>
      <w:tr>
        <w:tc>
          <w:tcPr>
            <w:tcW w:type="dxa" w:w="4150"/>
          </w:tcPr>
          <w:p>
            <w:r>
              <w:rPr>
                <w:rFonts w:ascii="Times New Roman" w:hAnsi="Times New Roman" w:eastAsia="Times New Roman" w:cs="Times New Roman"/>
                <w:b w:val="0"/>
                <w:i w:val="0"/>
                <w:sz w:val="24"/>
              </w:rPr>
              <w:t>THz</w:t>
            </w:r>
          </w:p>
        </w:tc>
        <w:tc>
          <w:tcPr>
            <w:tcW w:type="dxa" w:w="4150"/>
          </w:tcPr>
          <w:p>
            <w:r>
              <w:rPr>
                <w:rFonts w:ascii="Times New Roman" w:hAnsi="Times New Roman" w:eastAsia="Times New Roman" w:cs="Times New Roman"/>
                <w:b w:val="0"/>
                <w:i w:val="0"/>
                <w:sz w:val="24"/>
              </w:rPr>
              <w:t>Terahertz</w:t>
            </w:r>
          </w:p>
        </w:tc>
      </w:tr>
      <w:tr>
        <w:tc>
          <w:tcPr>
            <w:tcW w:type="dxa" w:w="4150"/>
          </w:tcPr>
          <w:p>
            <w:r>
              <w:rPr>
                <w:rFonts w:ascii="Times New Roman" w:hAnsi="Times New Roman" w:eastAsia="Times New Roman" w:cs="Times New Roman"/>
                <w:b w:val="0"/>
                <w:i w:val="0"/>
                <w:sz w:val="24"/>
              </w:rPr>
              <w:t>XR</w:t>
            </w:r>
          </w:p>
        </w:tc>
        <w:tc>
          <w:tcPr>
            <w:tcW w:type="dxa" w:w="4150"/>
          </w:tcPr>
          <w:p>
            <w:r>
              <w:rPr>
                <w:rFonts w:ascii="Times New Roman" w:hAnsi="Times New Roman" w:eastAsia="Times New Roman" w:cs="Times New Roman"/>
                <w:b w:val="0"/>
                <w:i w:val="0"/>
                <w:sz w:val="24"/>
              </w:rPr>
              <w:t>Extended Reality</w:t>
            </w:r>
          </w:p>
        </w:tc>
      </w:tr>
    </w:tbl>
    <w:sectPr w:rsidR="00FC693F" w:rsidRPr="0006063C" w:rsidSect="00034616">
      <w:footerReference w:type="default" r:id="rId9"/>
      <w:pgSz w:w="11900"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 MERGEFORMAT"/>
    <w:r>
      <w:rPr>
        <w:rFonts w:ascii="Times New Roman" w:hAnsi="Times New Roman" w:eastAsia="Times New Roman" w:cs="Times New Roman"/>
        <w:b w:val="0"/>
        <w:i w:val="0"/>
        <w:sz w:val="24"/>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