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44"/>
        </w:rPr>
        <w:t>机器学习能否改进A股短期反转策略？</w:t>
      </w:r>
    </w:p>
    <w:p>
      <w:pPr>
        <w:jc w:val="center"/>
      </w:pPr>
      <w:r>
        <w:rPr>
          <w:rFonts w:ascii="黑体" w:hAnsi="黑体" w:eastAsia="黑体"/>
          <w:sz w:val="28"/>
        </w:rPr>
        <w:t>-基于动量特征与正则化/集成学习的实证研究</w:t>
      </w:r>
    </w:p>
    <w:p/>
    <w:p>
      <w:pPr>
        <w:jc w:val="center"/>
      </w:pPr>
      <w:r>
        <w:rPr>
          <w:sz w:val="24"/>
        </w:rPr>
        <w:t>量化投资课程研究报告</w:t>
      </w:r>
    </w:p>
    <w:p>
      <w:pPr>
        <w:jc w:val="center"/>
      </w:pPr>
      <w:r>
        <w:rPr>
          <w:sz w:val="24"/>
        </w:rPr>
        <w:t>2025年6月</w:t>
      </w:r>
    </w:p>
    <w:p>
      <w:r>
        <w:br w:type="page"/>
      </w:r>
    </w:p>
    <w:p>
      <w:pPr>
        <w:pStyle w:val="Heading1"/>
      </w:pPr>
      <w:r>
        <w:t>摘  要</w:t>
      </w:r>
    </w:p>
    <w:p>
      <w:r>
        <w:t>短期反转效应（Short-term Reversal）是全球资本市场中被广泛记录的异象之一：过去一个月表现最差的股票在接下来一个月往往能获得超额收益。在中国A股市场，由于散户交易占比高、涨跌停板限制和T+1交易制度，反转效应的理论基础和实证表现可能与成熟市场存在显著差异。本研究以2013年至2025年的全A股市场为样本，构建了基于1个月、3个月、6个月和12个月动量特征的传统反转策略作为基线，并引入Ridge回归、Lasso回归、随机森林和XGBoost四种机器学习模型，尝试通过更灵活的函数形式改进截面收益预测。</w:t>
      </w:r>
    </w:p>
    <w:p>
      <w:r>
        <w:t>研究采用三段式样本外验证框架：训练期（2014-2019年）、验证期（2020-2022年）和测试期（2023-2025年），以避免前视偏差和过度拟合。实证结果显示：在扣除20个基点的双边交易成本后，传统1个月反转策略在测试期年化收益为0.24%，夏普比率为-0.263；而四种机器学习策略的年化收益分别为-4.75%（Ridge）、-5.05%（Lasso）、-8.56%（随机森林）和-5.87%（XGBoost），均显著劣于简单基线。Fama-French三因子归因分析表明，所有策略的Alpha均为负值且统计上不显著。随机森林的特征重要性分析显示，6个月动量（mom6）是最重要的预测变量，其次是1个月动量（mom1），而市值因子的贡献几乎为零。</w:t>
      </w:r>
    </w:p>
    <w:p>
      <w:r>
        <w:t>本研究的核心结论是：在当前特征集和回测框架下，机器学习未能改进A股短期反转策略，反而因过拟合训练期噪声而损害了样本外表现。这一负面结果具有重要的方法论意义-它警示研究者不应默认复杂模型优于简单策略，并凸显了严格样本外验证和交易成本考量在量化研究中的关键地位。</w:t>
      </w:r>
    </w:p>
    <w:p>
      <w:r>
        <w:rPr>
          <w:b/>
        </w:rPr>
        <w:t>关键词：</w:t>
      </w:r>
      <w:r>
        <w:t>短期反转；机器学习；A股市场；Fama-French三因子；样本外验证；交易成本</w:t>
      </w:r>
    </w:p>
    <w:p>
      <w:r>
        <w:br w:type="page"/>
      </w:r>
    </w:p>
    <w:p>
      <w:pPr>
        <w:pStyle w:val="Heading1"/>
      </w:pPr>
      <w:r>
        <w:t>一、引言</w:t>
      </w:r>
    </w:p>
    <w:p>
      <w:r>
        <w:t>资本市场中存在众多看似违背有效市场假说的异象（Anomalies），其中短期反转效应是最早被学术文献记录的异象之一。Jegadeesh（1990）发现美国股票市场中，过去一周或一个月的输家股票在未来期间倾向于跑赢赢家股票，这种收益的可预测性构成了对市场半强式有效性的挑战。随后，Lehmann（1990）和Lo与MacKinlay（1990）分别从不同角度证实了这一现象的存在。对于短期反转的成因，学术界提出了三种主要解释：流动性供给假说、过度反应假说和信息不对称假说。</w:t>
      </w:r>
    </w:p>
    <w:p>
      <w:r>
        <w:t>中国A股市场具有独特的制度特征：散户交易占比超过60%，涨跌停板限制每日价格波动幅度，T+1交易制度限制了日内回转。这些特征使得A股的短期反转效应可能比成熟市场更强，同时也意味着策略的实际可操作性面临更大挑战-尤其是做空限制使得多空策略的空头端难以真正实施。近年来，机器学习方法在金融预测领域得到了广泛应用，从传统的正则化回归到非线性集成学习模型，研究者期望通过更灵活的函数形式捕捉传统线性模型遗漏的非线性关系和交互效应。Gu、Kelly与Xiu（2020）的里程碑研究表明，机器学习模型（尤其是树模型和神经网络）在预测美国股票截面收益时显著优于传统方法。</w:t>
      </w:r>
    </w:p>
    <w:p>
      <w:r>
        <w:t>然而，一个关键问题在于：机器学习的优势是否能够自然地迁移到A股短期反转这一特定策略语境？短期反转策略的核心逻辑是简单的-买入过去输家、卖出过去赢家，而机器学习模型引入的额外复杂度是否真正捕捉了增量信息，还是仅仅拟合了训练期中的噪声？此外，A股市场的做空限制使得多空策略的空头端更多是理论构建而非可交易组合，这进一步削弱了复杂模型在策略改进上的实际意义。</w:t>
      </w:r>
    </w:p>
    <w:p>
      <w:r>
        <w:t>基于上述背景，本研究提出以下核心问题：以动量特征为基础的机器学习模型，能否在扣除交易成本后真正改进A股短期反转策略的样本外表现？具体而言，我们尝试回答三个子问题：（1）传统反转策略在近期A股市场的表现如何？（2）机器学习模型相对于简单反转策略是否有增量贡献？（3）因子归因分析能否揭示策略收益的来源？</w:t>
      </w:r>
    </w:p>
    <w:p>
      <w:r>
        <w:t>本文的贡献在于：第一，使用严格的样本外验证框架，避免了回溯偏差和过度拟合；第二，将交易成本纳入策略评估，提供了更贴近现实的绩效度量；第三，如实报告了机器学习未能改进反转策略的负面结果，这一发现对实践者具有警示意义。</w:t>
      </w:r>
    </w:p>
    <w:p>
      <w:pPr>
        <w:pStyle w:val="Heading1"/>
      </w:pPr>
      <w:r>
        <w:t>二、文献综述</w:t>
      </w:r>
    </w:p>
    <w:p>
      <w:pPr>
        <w:pStyle w:val="Heading2"/>
      </w:pPr>
      <w:r>
        <w:t>2.1 短期反转效应</w:t>
      </w:r>
    </w:p>
    <w:p>
      <w:r>
        <w:t>短期反转效应的学术记录可追溯至Jegadeesh（1990）的开创性研究，他发现基于过去一周收益构建的零投资组合在后续一周可获得约1.5%的月均收益。随后，Lehmann（1990）在更长的样本中确认了这一现象。对于反转效应的经济机制，Grossman与Miller（1988）提出了流动性供给假说，认为短期反转的收益实质上是流动性提供者因承担即时性风险而获得的风险补偿。当大量非信息驱动的卖单（或买单）导致价格偏离基本面时，流动性提供者逆向交易并提供流动性，待价格回归后获利。这一解释与实证中观察到的小市值股票反转效应更强一致-小市值股票的流动性更差，流动性提供者要求更高的风险补偿。</w:t>
      </w:r>
    </w:p>
    <w:p>
      <w:r>
        <w:t>Campbell、Grossman与Wang（1993）从交易量的角度丰富了流动性假说，发现高交易量伴随的反转效应更强，因为高交易量往往反映非信息驱动的流动性冲击。Da、Liu与Wang（2023）则将反转效应与投资者的注意力分配相联系，提出注意力驱动的过度反应是短期反转的重要来源。中国A股市场方面，刘少波和冯海英（2010）发现A股存在显著的一周反转效应，但在控制规模和账面市值比后效应减弱。田存志和王永海（2014）的研究表明，A股的短期反转更多源于流动性补偿而非过度反应。</w:t>
      </w:r>
    </w:p>
    <w:p>
      <w:pPr>
        <w:pStyle w:val="Heading2"/>
      </w:pPr>
      <w:r>
        <w:t>2.2 动量与反转的关系</w:t>
      </w:r>
    </w:p>
    <w:p>
      <w:r>
        <w:t>动量效应与反转效应构成了金融市场中一对核心矛盾。Jegadeesh与Titman（1993）发现3-12个月的中期动量效应即过去赢家在未来继续跑赢输家，这与短期反转方向相反。如何协调两种看似矛盾的现象？Daniel与Moskowitz（2016）的'动量崩溃'理论提供了统一视角：动量策略在市场急剧转向时遭受巨大亏损，而这些崩溃期恰好对应短期反转效应最强的时刻。换言之，短期反转可视为中期动量策略尾部风险的'回报'。</w:t>
      </w:r>
    </w:p>
    <w:p>
      <w:r>
        <w:t>在本研究中，我们构建了1个月（mom1）、3个月（mom3）、6个月（mom6）和12个月（mom12）四种动量特征。其中mom1对应传统短期反转（过去1个月输家为买入信号），而mom6和mom12则介于中期动量和短期反转之间。同时纳入多个时间窗口的动量信号，使得机器学习模型能够自适应地学习不同时间尺度上的预测关系，而非仅仅依赖单一时间窗口的反转信号。</w:t>
      </w:r>
    </w:p>
    <w:p>
      <w:pPr>
        <w:pStyle w:val="Heading2"/>
      </w:pPr>
      <w:r>
        <w:t>2.3 机器学习在量化投资中的应用</w:t>
      </w:r>
    </w:p>
    <w:p>
      <w:r>
        <w:t>机器学习在金融预测中的应用经历了从简单正则化方法到深度学习的演进。Rapach与Zhou（2013）最早将Lasso回归应用于股票收益预测，发现正则化方法通过变量选择和收缩估计能够改善样本外预测。Gu、Kelly与Xiu（2020）的系统性比较研究是这一领域的里程碑，他们测试了包括线性回归、弹性网络、随机森林、梯度提升树和神经网络在内的多种方法，发现非线性模型（尤其是神经网络和梯度提升树）在预测月度截面收益时显著优于线性方法，月度夏普比率从0.47（OLS）提升至0.77（神经网络）。</w:t>
      </w:r>
    </w:p>
    <w:p>
      <w:r>
        <w:t>然而，机器学习在金融预测中的成功并非普遍现象。Chinco、Clark-Joseph与Ye（2019）指出，机器学习模型的预测优势在数据噪声比极低的'大数据'环境中更为显著，而金融数据恰恰是信噪比极低的场景。DeMiguel、Martín-Utrera、Nogales与Uppal（2020）进一步论证，当交易成本被考虑后，许多机器学习策略的净收益优势大幅缩水甚至消失。此外，陈国进和董耀武（2021）针对A股市场的研究发现，机器学习模型对A股截面收益的预测能力弱于美国市场，部分原因是A股市场的制度摩擦（做空限制、T+1等）使得理论上的多空策略收益难以实现。</w:t>
      </w:r>
    </w:p>
    <w:p>
      <w:r>
        <w:t>本研究选择的四种机器学习模型涵盖了不同的建模思路：Ridge回归通过L2正则化控制过拟合但保留全部变量；Lasso回归通过L1正则化实现变量选择；随机森林通过Bagging和特征随机性降低方差；XGBoost通过梯度提升和正则化项在偏差-方差之间取得平衡。这一选择旨在考察不同模型复杂度和正则化策略对策略绩效的影响。</w:t>
      </w:r>
    </w:p>
    <w:p>
      <w:pPr>
        <w:pStyle w:val="Heading1"/>
      </w:pPr>
      <w:r>
        <w:t>三、数据与方法</w:t>
      </w:r>
    </w:p>
    <w:p>
      <w:pPr>
        <w:pStyle w:val="Heading2"/>
      </w:pPr>
      <w:r>
        <w:t>3.1 数据来源与样本</w:t>
      </w:r>
    </w:p>
    <w:p>
      <w:r>
        <w:t>本研究使用Wind数据库获取中国A股市场的月度交易数据，样本区间为2013年1月至2025年12月。原始数据包含5,496只股票的月度收益率和总市值信息。我们对原始数据执行了以下清洗步骤：</w:t>
      </w:r>
    </w:p>
    <w:p>
      <w:r>
        <w:t>（1）剔除非沪深A股：仅保留以.SZ和.SH结尾的证券代码，排除指数、基金、债券等非权益类品种。（2）极端收益Winsorize处理：将月度收益率截断至[-50%, +100%]区间。原始数据中存在极端值（最高月收益达2,432.61%，最低为-91.64%），这些极端值通常源于ST股恢复上市首日不设涨跌停、停牌复牌后的价格跳跃或数据错误，而非正常交易可获得的投资收益。Winsorize处理共影响8,949条记录（占比1.67%），对分布均值的扰动极小。（3）剔除市值最小5%：每月截面中市值最小的5%股票多为壳公司、ST股或流动性极差的品种，其收益率数据质量低且实际交易成本远高于常规水平。剔除后减少27,252条记录。</w:t>
      </w:r>
    </w:p>
    <w:p>
      <w:r>
        <w:t>清洗后的面板数据包含5,418只股票，510,134条记录，145个月度截面，每月平均3,518只股票。样本按时间划分为三个子期：训练期（2014年1月-2019年12月，74个月，月均2,701只股票）、验证期（2020年1月-2022年12月，35个月，月均3,889只股票）、测试期（2023年1月-2025年11月，35个月，月均4,837只股票）。训练期用于模型参数估计，验证期用于超参数调优，测试期用于最终绩效评估。</w:t>
      </w:r>
    </w:p>
    <w:p>
      <w:pPr>
        <w:pStyle w:val="Heading2"/>
      </w:pPr>
      <w:r>
        <w:t>3.2 特征构建</w:t>
      </w:r>
    </w:p>
    <w:p>
      <w:r>
        <w:t>本研究构建了五个截面特征用于预测下月收益：</w:t>
      </w:r>
    </w:p>
    <w:p>
      <w:r>
        <w:t>（1）短期动量mom1：过去1个月的平均月收益率，用于捕捉短期反转效应。（2）中期动量mom3：过去3个月的平均月收益率，反映季度级别的收益持续性或反转。（3）中长期动量mom6：过去6个月的平均月收益率，介于动量与反转的过渡区间。（4）长期动量mom12：过去12个月的平均月收益率，对应经典的中期动量效应。（5）对数市值log_mktcap：当月总市值的自然对数，用于控制规模效应。</w:t>
      </w:r>
    </w:p>
    <w:p>
      <w:r>
        <w:t>所有动量特征均使用滞后值（shift(1)）构建，确保仅使用t-1期及之前的信息预测t期收益，避免前视偏差。特征在不同子期间的描述性统计如表1所示。</w:t>
      </w:r>
    </w:p>
    <w:p>
      <w:pPr>
        <w:jc w:val="center"/>
      </w:pPr>
      <w:r>
        <w:rPr>
          <w:b/>
          <w:sz w:val="18"/>
        </w:rPr>
        <w:t>表1  主要特征的描述性统计</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特征</w:t>
            </w:r>
          </w:p>
        </w:tc>
        <w:tc>
          <w:tcPr>
            <w:tcW w:type="dxa" w:w="1728"/>
          </w:tcPr>
          <w:p>
            <w:pPr>
              <w:jc w:val="center"/>
            </w:pPr>
            <w:r>
              <w:rPr>
                <w:b/>
                <w:sz w:val="18"/>
              </w:rPr>
              <w:t>训练期均值</w:t>
            </w:r>
          </w:p>
        </w:tc>
        <w:tc>
          <w:tcPr>
            <w:tcW w:type="dxa" w:w="1728"/>
          </w:tcPr>
          <w:p>
            <w:pPr>
              <w:jc w:val="center"/>
            </w:pPr>
            <w:r>
              <w:rPr>
                <w:b/>
                <w:sz w:val="18"/>
              </w:rPr>
              <w:t>训练期标准差</w:t>
            </w:r>
          </w:p>
        </w:tc>
        <w:tc>
          <w:tcPr>
            <w:tcW w:type="dxa" w:w="1728"/>
          </w:tcPr>
          <w:p>
            <w:pPr>
              <w:jc w:val="center"/>
            </w:pPr>
            <w:r>
              <w:rPr>
                <w:b/>
                <w:sz w:val="18"/>
              </w:rPr>
              <w:t>测试期均值</w:t>
            </w:r>
          </w:p>
        </w:tc>
        <w:tc>
          <w:tcPr>
            <w:tcW w:type="dxa" w:w="1728"/>
          </w:tcPr>
          <w:p>
            <w:pPr>
              <w:jc w:val="center"/>
            </w:pPr>
            <w:r>
              <w:rPr>
                <w:b/>
                <w:sz w:val="18"/>
              </w:rPr>
              <w:t>测试期标准差</w:t>
            </w:r>
          </w:p>
        </w:tc>
      </w:tr>
      <w:tr>
        <w:tc>
          <w:tcPr>
            <w:tcW w:type="dxa" w:w="1728"/>
          </w:tcPr>
          <w:p>
            <w:pPr>
              <w:jc w:val="center"/>
            </w:pPr>
            <w:r>
              <w:rPr>
                <w:sz w:val="18"/>
              </w:rPr>
              <w:t>mom1</w:t>
            </w:r>
          </w:p>
        </w:tc>
        <w:tc>
          <w:tcPr>
            <w:tcW w:type="dxa" w:w="1728"/>
          </w:tcPr>
          <w:p>
            <w:pPr>
              <w:jc w:val="center"/>
            </w:pPr>
            <w:r>
              <w:rPr>
                <w:sz w:val="18"/>
              </w:rPr>
              <w:t>0.0380</w:t>
            </w:r>
          </w:p>
        </w:tc>
        <w:tc>
          <w:tcPr>
            <w:tcW w:type="dxa" w:w="1728"/>
          </w:tcPr>
          <w:p>
            <w:pPr>
              <w:jc w:val="center"/>
            </w:pPr>
            <w:r>
              <w:rPr>
                <w:sz w:val="18"/>
              </w:rPr>
              <w:t>0.2452</w:t>
            </w:r>
          </w:p>
        </w:tc>
        <w:tc>
          <w:tcPr>
            <w:tcW w:type="dxa" w:w="1728"/>
          </w:tcPr>
          <w:p>
            <w:pPr>
              <w:jc w:val="center"/>
            </w:pPr>
            <w:r>
              <w:rPr>
                <w:sz w:val="18"/>
              </w:rPr>
              <w:t>0.0124</w:t>
            </w:r>
          </w:p>
        </w:tc>
        <w:tc>
          <w:tcPr>
            <w:tcW w:type="dxa" w:w="1728"/>
          </w:tcPr>
          <w:p>
            <w:pPr>
              <w:jc w:val="center"/>
            </w:pPr>
            <w:r>
              <w:rPr>
                <w:sz w:val="18"/>
              </w:rPr>
              <w:t>0.1298</w:t>
            </w:r>
          </w:p>
        </w:tc>
      </w:tr>
      <w:tr>
        <w:tc>
          <w:tcPr>
            <w:tcW w:type="dxa" w:w="1728"/>
          </w:tcPr>
          <w:p>
            <w:pPr>
              <w:jc w:val="center"/>
            </w:pPr>
            <w:r>
              <w:rPr>
                <w:sz w:val="18"/>
              </w:rPr>
              <w:t>mom3</w:t>
            </w:r>
          </w:p>
        </w:tc>
        <w:tc>
          <w:tcPr>
            <w:tcW w:type="dxa" w:w="1728"/>
          </w:tcPr>
          <w:p>
            <w:pPr>
              <w:jc w:val="center"/>
            </w:pPr>
            <w:r>
              <w:rPr>
                <w:sz w:val="18"/>
              </w:rPr>
              <w:t>0.0323</w:t>
            </w:r>
          </w:p>
        </w:tc>
        <w:tc>
          <w:tcPr>
            <w:tcW w:type="dxa" w:w="1728"/>
          </w:tcPr>
          <w:p>
            <w:pPr>
              <w:jc w:val="center"/>
            </w:pPr>
            <w:r>
              <w:rPr>
                <w:sz w:val="18"/>
              </w:rPr>
              <w:t>0.1912</w:t>
            </w:r>
          </w:p>
        </w:tc>
        <w:tc>
          <w:tcPr>
            <w:tcW w:type="dxa" w:w="1728"/>
          </w:tcPr>
          <w:p>
            <w:pPr>
              <w:jc w:val="center"/>
            </w:pPr>
            <w:r>
              <w:rPr>
                <w:sz w:val="18"/>
              </w:rPr>
              <w:t>0.0143</w:t>
            </w:r>
          </w:p>
        </w:tc>
        <w:tc>
          <w:tcPr>
            <w:tcW w:type="dxa" w:w="1728"/>
          </w:tcPr>
          <w:p>
            <w:pPr>
              <w:jc w:val="center"/>
            </w:pPr>
            <w:r>
              <w:rPr>
                <w:sz w:val="18"/>
              </w:rPr>
              <w:t>0.0724</w:t>
            </w:r>
          </w:p>
        </w:tc>
      </w:tr>
      <w:tr>
        <w:tc>
          <w:tcPr>
            <w:tcW w:type="dxa" w:w="1728"/>
          </w:tcPr>
          <w:p>
            <w:pPr>
              <w:jc w:val="center"/>
            </w:pPr>
            <w:r>
              <w:rPr>
                <w:sz w:val="18"/>
              </w:rPr>
              <w:t>mom6</w:t>
            </w:r>
          </w:p>
        </w:tc>
        <w:tc>
          <w:tcPr>
            <w:tcW w:type="dxa" w:w="1728"/>
          </w:tcPr>
          <w:p>
            <w:pPr>
              <w:jc w:val="center"/>
            </w:pPr>
            <w:r>
              <w:rPr>
                <w:sz w:val="18"/>
              </w:rPr>
              <w:t>0.0305</w:t>
            </w:r>
          </w:p>
        </w:tc>
        <w:tc>
          <w:tcPr>
            <w:tcW w:type="dxa" w:w="1728"/>
          </w:tcPr>
          <w:p>
            <w:pPr>
              <w:jc w:val="center"/>
            </w:pPr>
            <w:r>
              <w:rPr>
                <w:sz w:val="18"/>
              </w:rPr>
              <w:t>0.1528</w:t>
            </w:r>
          </w:p>
        </w:tc>
        <w:tc>
          <w:tcPr>
            <w:tcW w:type="dxa" w:w="1728"/>
          </w:tcPr>
          <w:p>
            <w:pPr>
              <w:jc w:val="center"/>
            </w:pPr>
            <w:r>
              <w:rPr>
                <w:sz w:val="18"/>
              </w:rPr>
              <w:t>0.0125</w:t>
            </w:r>
          </w:p>
        </w:tc>
        <w:tc>
          <w:tcPr>
            <w:tcW w:type="dxa" w:w="1728"/>
          </w:tcPr>
          <w:p>
            <w:pPr>
              <w:jc w:val="center"/>
            </w:pPr>
            <w:r>
              <w:rPr>
                <w:sz w:val="18"/>
              </w:rPr>
              <w:t>0.0484</w:t>
            </w:r>
          </w:p>
        </w:tc>
      </w:tr>
      <w:tr>
        <w:tc>
          <w:tcPr>
            <w:tcW w:type="dxa" w:w="1728"/>
          </w:tcPr>
          <w:p>
            <w:pPr>
              <w:jc w:val="center"/>
            </w:pPr>
            <w:r>
              <w:rPr>
                <w:sz w:val="18"/>
              </w:rPr>
              <w:t>mom12</w:t>
            </w:r>
          </w:p>
        </w:tc>
        <w:tc>
          <w:tcPr>
            <w:tcW w:type="dxa" w:w="1728"/>
          </w:tcPr>
          <w:p>
            <w:pPr>
              <w:jc w:val="center"/>
            </w:pPr>
            <w:r>
              <w:rPr>
                <w:sz w:val="18"/>
              </w:rPr>
              <w:t>0.0304</w:t>
            </w:r>
          </w:p>
        </w:tc>
        <w:tc>
          <w:tcPr>
            <w:tcW w:type="dxa" w:w="1728"/>
          </w:tcPr>
          <w:p>
            <w:pPr>
              <w:jc w:val="center"/>
            </w:pPr>
            <w:r>
              <w:rPr>
                <w:sz w:val="18"/>
              </w:rPr>
              <w:t>0.1121</w:t>
            </w:r>
          </w:p>
        </w:tc>
        <w:tc>
          <w:tcPr>
            <w:tcW w:type="dxa" w:w="1728"/>
          </w:tcPr>
          <w:p>
            <w:pPr>
              <w:jc w:val="center"/>
            </w:pPr>
            <w:r>
              <w:rPr>
                <w:sz w:val="18"/>
              </w:rPr>
              <w:t>0.0099</w:t>
            </w:r>
          </w:p>
        </w:tc>
        <w:tc>
          <w:tcPr>
            <w:tcW w:type="dxa" w:w="1728"/>
          </w:tcPr>
          <w:p>
            <w:pPr>
              <w:jc w:val="center"/>
            </w:pPr>
            <w:r>
              <w:rPr>
                <w:sz w:val="18"/>
              </w:rPr>
              <w:t>0.0329</w:t>
            </w:r>
          </w:p>
        </w:tc>
      </w:tr>
      <w:tr>
        <w:tc>
          <w:tcPr>
            <w:tcW w:type="dxa" w:w="1728"/>
          </w:tcPr>
          <w:p>
            <w:pPr>
              <w:jc w:val="center"/>
            </w:pPr>
            <w:r>
              <w:rPr>
                <w:sz w:val="18"/>
              </w:rPr>
              <w:t>log_mktcap</w:t>
            </w:r>
          </w:p>
        </w:tc>
        <w:tc>
          <w:tcPr>
            <w:tcW w:type="dxa" w:w="1728"/>
          </w:tcPr>
          <w:p>
            <w:pPr>
              <w:jc w:val="center"/>
            </w:pPr>
            <w:r>
              <w:rPr>
                <w:sz w:val="18"/>
              </w:rPr>
              <w:t>4.266</w:t>
            </w:r>
          </w:p>
        </w:tc>
        <w:tc>
          <w:tcPr>
            <w:tcW w:type="dxa" w:w="1728"/>
          </w:tcPr>
          <w:p>
            <w:pPr>
              <w:jc w:val="center"/>
            </w:pPr>
            <w:r>
              <w:rPr>
                <w:sz w:val="18"/>
              </w:rPr>
              <w:t>1.016</w:t>
            </w:r>
          </w:p>
        </w:tc>
        <w:tc>
          <w:tcPr>
            <w:tcW w:type="dxa" w:w="1728"/>
          </w:tcPr>
          <w:p>
            <w:pPr>
              <w:jc w:val="center"/>
            </w:pPr>
            <w:r>
              <w:rPr>
                <w:sz w:val="18"/>
              </w:rPr>
              <w:t>4.319</w:t>
            </w:r>
          </w:p>
        </w:tc>
        <w:tc>
          <w:tcPr>
            <w:tcW w:type="dxa" w:w="1728"/>
          </w:tcPr>
          <w:p>
            <w:pPr>
              <w:jc w:val="center"/>
            </w:pPr>
            <w:r>
              <w:rPr>
                <w:sz w:val="18"/>
              </w:rPr>
              <w:t>1.043</w:t>
            </w:r>
          </w:p>
        </w:tc>
      </w:tr>
    </w:tbl>
    <w:p/>
    <w:p>
      <w:r>
        <w:t>从表1可以看出，测试期的动量特征均值和标准差均低于训练期，尤其是mom1的标准差从训练期的0.245下降至测试期的0.130，这反映了A股市场在2023-2025年间波动率有所收敛。同时，动量特征的均值从训练期的3-4%下降至测试期的1%左右，暗示市场整体收益水平有所下降。这一分布漂移（Distribution Shift）对机器学习模型的泛化能力构成了挑战。</w:t>
      </w:r>
    </w:p>
    <w:p>
      <w:pPr>
        <w:pStyle w:val="Heading2"/>
      </w:pPr>
      <w:r>
        <w:t>3.3 策略构建</w:t>
      </w:r>
    </w:p>
    <w:p>
      <w:pPr>
        <w:pStyle w:val="Heading3"/>
      </w:pPr>
      <w:r>
        <w:t>3.3.1 传统反转基线策略</w:t>
      </w:r>
    </w:p>
    <w:p>
      <w:r>
        <w:t>传统反转策略的构建方式如下：每月末，根据mom1（或mom3、mom6）将全市场股票排序，买入排名最低的20%（过去输家，即反转信号最强的股票），卖空排名最高的20%（过去赢家）。组合权重采用等权重分配，每月重新平衡。多空组合的月收益为：</w:t>
      </w:r>
    </w:p>
    <w:p>
      <w:pPr>
        <w:jc w:val="center"/>
      </w:pPr>
      <w:r>
        <w:rPr>
          <w:i/>
        </w:rPr>
        <w:t>R_ls = R_long - R_short - 2 × cost</w:t>
      </w:r>
    </w:p>
    <w:p>
      <w:r>
        <w:t>其中R_long和R_short分别为多头和空头端的价值加权月收益，cost为单边交易成本（设定为20个基点）。乘以2是因为每月再平衡时，多空两端各产生一次交易成本。需要特别指出的是，由于A股市场对做空的严格限制（融券门槛高、券源稀缺），空头端在实际操作中难以真正实施。因此，多空组合的收益更多是理论构建而非可交易策略，我们同时报告了仅多头端的表现以供参考。</w:t>
      </w:r>
    </w:p>
    <w:p>
      <w:pPr>
        <w:pStyle w:val="Heading3"/>
      </w:pPr>
      <w:r>
        <w:t>3.3.2 机器学习策略</w:t>
      </w:r>
    </w:p>
    <w:p>
      <w:r>
        <w:t>机器学习策略的核心思路是：利用五个截面特征（mom1, mom3, mom6, mom12, log_mktcap），通过不同的机器学习模型预测下月收益，根据预测值排序构建多空组合。具体流程为：</w:t>
      </w:r>
    </w:p>
    <w:p>
      <w:r>
        <w:t>（1）每月末，使用截至当前月的训练数据拟合模型（注意：仅使用训练期数据，不使用未来信息）。（2）对当月截面的所有股票生成下月收益预测值ŷ。（3）根据ŷ排序，买入预测最高的20%，卖空预测最低的20%，等权重分配。（4）记录组合在下一月的实际收益。（5）滚动前进一个月，重复上述步骤。</w:t>
      </w:r>
    </w:p>
    <w:p>
      <w:r>
        <w:t>四种机器学习模型的配置如下：</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模型</w:t>
            </w:r>
          </w:p>
        </w:tc>
        <w:tc>
          <w:tcPr>
            <w:tcW w:type="dxa" w:w="2880"/>
          </w:tcPr>
          <w:p>
            <w:pPr>
              <w:jc w:val="center"/>
            </w:pPr>
            <w:r>
              <w:rPr>
                <w:b/>
                <w:sz w:val="18"/>
              </w:rPr>
              <w:t>关键超参数</w:t>
            </w:r>
          </w:p>
        </w:tc>
        <w:tc>
          <w:tcPr>
            <w:tcW w:type="dxa" w:w="2880"/>
          </w:tcPr>
          <w:p>
            <w:pPr>
              <w:jc w:val="center"/>
            </w:pPr>
            <w:r>
              <w:rPr>
                <w:b/>
                <w:sz w:val="18"/>
              </w:rPr>
              <w:t>调优方式</w:t>
            </w:r>
          </w:p>
        </w:tc>
      </w:tr>
      <w:tr>
        <w:tc>
          <w:tcPr>
            <w:tcW w:type="dxa" w:w="2880"/>
          </w:tcPr>
          <w:p>
            <w:pPr>
              <w:jc w:val="center"/>
            </w:pPr>
            <w:r>
              <w:rPr>
                <w:sz w:val="18"/>
              </w:rPr>
              <w:t>Ridge回归</w:t>
            </w:r>
          </w:p>
        </w:tc>
        <w:tc>
          <w:tcPr>
            <w:tcW w:type="dxa" w:w="2880"/>
          </w:tcPr>
          <w:p>
            <w:pPr>
              <w:jc w:val="center"/>
            </w:pPr>
            <w:r>
              <w:rPr>
                <w:sz w:val="18"/>
              </w:rPr>
              <w:t>alpha ∈ {0.01, 0.1, 1, 10, 100}</w:t>
            </w:r>
          </w:p>
        </w:tc>
        <w:tc>
          <w:tcPr>
            <w:tcW w:type="dxa" w:w="2880"/>
          </w:tcPr>
          <w:p>
            <w:pPr>
              <w:jc w:val="center"/>
            </w:pPr>
            <w:r>
              <w:rPr>
                <w:sz w:val="18"/>
              </w:rPr>
              <w:t>验证期RMSE最小化</w:t>
            </w:r>
          </w:p>
        </w:tc>
      </w:tr>
      <w:tr>
        <w:tc>
          <w:tcPr>
            <w:tcW w:type="dxa" w:w="2880"/>
          </w:tcPr>
          <w:p>
            <w:pPr>
              <w:jc w:val="center"/>
            </w:pPr>
            <w:r>
              <w:rPr>
                <w:sz w:val="18"/>
              </w:rPr>
              <w:t>Lasso回归</w:t>
            </w:r>
          </w:p>
        </w:tc>
        <w:tc>
          <w:tcPr>
            <w:tcW w:type="dxa" w:w="2880"/>
          </w:tcPr>
          <w:p>
            <w:pPr>
              <w:jc w:val="center"/>
            </w:pPr>
            <w:r>
              <w:rPr>
                <w:sz w:val="18"/>
              </w:rPr>
              <w:t>alpha ∈ {0.0001, 0.001, 0.01, 0.1}</w:t>
            </w:r>
          </w:p>
        </w:tc>
        <w:tc>
          <w:tcPr>
            <w:tcW w:type="dxa" w:w="2880"/>
          </w:tcPr>
          <w:p>
            <w:pPr>
              <w:jc w:val="center"/>
            </w:pPr>
            <w:r>
              <w:rPr>
                <w:sz w:val="18"/>
              </w:rPr>
              <w:t>验证期RMSE最小化</w:t>
            </w:r>
          </w:p>
        </w:tc>
      </w:tr>
      <w:tr>
        <w:tc>
          <w:tcPr>
            <w:tcW w:type="dxa" w:w="2880"/>
          </w:tcPr>
          <w:p>
            <w:pPr>
              <w:jc w:val="center"/>
            </w:pPr>
            <w:r>
              <w:rPr>
                <w:sz w:val="18"/>
              </w:rPr>
              <w:t>随机森林</w:t>
            </w:r>
          </w:p>
        </w:tc>
        <w:tc>
          <w:tcPr>
            <w:tcW w:type="dxa" w:w="2880"/>
          </w:tcPr>
          <w:p>
            <w:pPr>
              <w:jc w:val="center"/>
            </w:pPr>
            <w:r>
              <w:rPr>
                <w:sz w:val="18"/>
              </w:rPr>
              <w:t>n_estimators=300, max_depth=5</w:t>
            </w:r>
          </w:p>
        </w:tc>
        <w:tc>
          <w:tcPr>
            <w:tcW w:type="dxa" w:w="2880"/>
          </w:tcPr>
          <w:p>
            <w:pPr>
              <w:jc w:val="center"/>
            </w:pPr>
            <w:r>
              <w:rPr>
                <w:sz w:val="18"/>
              </w:rPr>
              <w:t>验证期RMSE最小化</w:t>
            </w:r>
          </w:p>
        </w:tc>
      </w:tr>
      <w:tr>
        <w:tc>
          <w:tcPr>
            <w:tcW w:type="dxa" w:w="2880"/>
          </w:tcPr>
          <w:p>
            <w:pPr>
              <w:jc w:val="center"/>
            </w:pPr>
            <w:r>
              <w:rPr>
                <w:sz w:val="18"/>
              </w:rPr>
              <w:t>XGBoost</w:t>
            </w:r>
          </w:p>
        </w:tc>
        <w:tc>
          <w:tcPr>
            <w:tcW w:type="dxa" w:w="2880"/>
          </w:tcPr>
          <w:p>
            <w:pPr>
              <w:jc w:val="center"/>
            </w:pPr>
            <w:r>
              <w:rPr>
                <w:sz w:val="18"/>
              </w:rPr>
              <w:t>n_estimators=300, max_depth=3, lr=0.05</w:t>
            </w:r>
          </w:p>
        </w:tc>
        <w:tc>
          <w:tcPr>
            <w:tcW w:type="dxa" w:w="2880"/>
          </w:tcPr>
          <w:p>
            <w:pPr>
              <w:jc w:val="center"/>
            </w:pPr>
            <w:r>
              <w:rPr>
                <w:sz w:val="18"/>
              </w:rPr>
              <w:t>验证期RMSE最小化</w:t>
            </w:r>
          </w:p>
        </w:tc>
      </w:tr>
    </w:tbl>
    <w:p/>
    <w:p>
      <w:r>
        <w:t>所有模型的超参数均在验证期（2020-2022年）上通过网格搜索确定，最终绩效评估仅在测试期（2023-2025年）上进行，确保评估结果无前视偏差。模型在测试期每月的预测是逐月滚动进行的-即每月重新拟合模型，这模拟了真实的投资决策过程。</w:t>
      </w:r>
    </w:p>
    <w:p>
      <w:pPr>
        <w:pStyle w:val="Heading2"/>
      </w:pPr>
      <w:r>
        <w:t>3.4 绩效评估指标</w:t>
      </w:r>
    </w:p>
    <w:p>
      <w:r>
        <w:t>本研究采用以下绩效指标评估各策略的表现：</w:t>
      </w:r>
    </w:p>
    <w:p>
      <w:r>
        <w:t>（1）年化收益率（Annualized Return）：将月度收益复利化年率，公式为(1+R₁)(1+R₂)…(1+Rₙ)^(12/N) - 1。（2）年化波动率（Annualized Volatility）：月度收益标准差 × √12。（3）夏普比率（Sharpe Ratio）：(年化收益率 - 无风险利率) / 年化波动率，其中无风险利率取中国一年期定存利率（年化2.5%）。（4）最大回撤（Maximum Drawdown）：累计净值从峰值到谷值的最大跌幅，衡量策略的尾部风险。（5）Fama-French三因子Alpha：通过FF3模型回归，截距项的年化值即为风险调整后的超额收益。</w:t>
      </w:r>
    </w:p>
    <w:p>
      <w:pPr>
        <w:pStyle w:val="Heading2"/>
      </w:pPr>
      <w:r>
        <w:t>3.5 Fama-French三因子模型</w:t>
      </w:r>
    </w:p>
    <w:p>
      <w:r>
        <w:t>为分解策略收益的风险来源，我们采用Fama-French三因子模型进行归因分析：</w:t>
      </w:r>
    </w:p>
    <w:p>
      <w:pPr>
        <w:jc w:val="center"/>
      </w:pPr>
      <w:r>
        <w:rPr>
          <w:i/>
        </w:rPr>
        <w:t>R_pt - R_ft = α + β₁MKT_t + β₂SMB_t + β₃HML_t + ε_t</w:t>
      </w:r>
    </w:p>
    <w:p>
      <w:r>
        <w:t>其中R_pt为策略在t期的收益，R_ft为无风险利率，MKT为市场超额收益因子，SMB为规模因子（Small Minus Big），HML为价值因子（High Minus Low）。α（Alpha）是截距项，反映策略在控制三个系统性风险因子后的超额收益能力。若α显著为正，表明策略具有定价模型无法解释的超额收益；若α不显著或为负，则策略的收益可被已知的系统性风险所解释。本研究使用中国A股市场的FF3因子数据，因子值直接从学术数据库获取。</w:t>
      </w:r>
    </w:p>
    <w:p>
      <w:pPr>
        <w:pStyle w:val="Heading1"/>
      </w:pPr>
      <w:r>
        <w:t>四、实证结果</w:t>
      </w:r>
    </w:p>
    <w:p>
      <w:pPr>
        <w:pStyle w:val="Heading2"/>
      </w:pPr>
      <w:r>
        <w:t>4.1 传统反转基线策略</w:t>
      </w:r>
    </w:p>
    <w:p>
      <w:r>
        <w:t>表2报告了传统反转策略在测试期（2023年1月-2025年11月）的绩效表现。三个基线策略均基于简单排序构建多空组合，扣除双边20个基点的交易成本。</w:t>
      </w:r>
    </w:p>
    <w:p>
      <w:pPr>
        <w:jc w:val="center"/>
      </w:pPr>
      <w:r>
        <w:rPr>
          <w:b/>
          <w:sz w:val="18"/>
        </w:rPr>
        <w:t>表2  传统反转策略测试期绩效（2023-2025年，N=35个月）</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策略</w:t>
            </w:r>
          </w:p>
        </w:tc>
        <w:tc>
          <w:tcPr>
            <w:tcW w:type="dxa" w:w="1440"/>
          </w:tcPr>
          <w:p>
            <w:pPr>
              <w:jc w:val="center"/>
            </w:pPr>
            <w:r>
              <w:rPr>
                <w:b/>
                <w:sz w:val="18"/>
              </w:rPr>
              <w:t>年化收益率</w:t>
            </w:r>
          </w:p>
        </w:tc>
        <w:tc>
          <w:tcPr>
            <w:tcW w:type="dxa" w:w="1440"/>
          </w:tcPr>
          <w:p>
            <w:pPr>
              <w:jc w:val="center"/>
            </w:pPr>
            <w:r>
              <w:rPr>
                <w:b/>
                <w:sz w:val="18"/>
              </w:rPr>
              <w:t>年化波动率</w:t>
            </w:r>
          </w:p>
        </w:tc>
        <w:tc>
          <w:tcPr>
            <w:tcW w:type="dxa" w:w="1440"/>
          </w:tcPr>
          <w:p>
            <w:pPr>
              <w:jc w:val="center"/>
            </w:pPr>
            <w:r>
              <w:rPr>
                <w:b/>
                <w:sz w:val="18"/>
              </w:rPr>
              <w:t>夏普比率</w:t>
            </w:r>
          </w:p>
        </w:tc>
        <w:tc>
          <w:tcPr>
            <w:tcW w:type="dxa" w:w="1440"/>
          </w:tcPr>
          <w:p>
            <w:pPr>
              <w:jc w:val="center"/>
            </w:pPr>
            <w:r>
              <w:rPr>
                <w:b/>
                <w:sz w:val="18"/>
              </w:rPr>
              <w:t>最大回撤</w:t>
            </w:r>
          </w:p>
        </w:tc>
        <w:tc>
          <w:tcPr>
            <w:tcW w:type="dxa" w:w="1440"/>
          </w:tcPr>
          <w:p>
            <w:pPr>
              <w:jc w:val="center"/>
            </w:pPr>
            <w:r>
              <w:rPr>
                <w:b/>
                <w:sz w:val="18"/>
              </w:rPr>
              <w:t>正月占比</w:t>
            </w:r>
          </w:p>
        </w:tc>
      </w:tr>
      <w:tr>
        <w:tc>
          <w:tcPr>
            <w:tcW w:type="dxa" w:w="1440"/>
          </w:tcPr>
          <w:p>
            <w:pPr>
              <w:jc w:val="center"/>
            </w:pPr>
            <w:r>
              <w:rPr>
                <w:sz w:val="18"/>
              </w:rPr>
              <w:t>反转-Mom1（多空）</w:t>
            </w:r>
          </w:p>
        </w:tc>
        <w:tc>
          <w:tcPr>
            <w:tcW w:type="dxa" w:w="1440"/>
          </w:tcPr>
          <w:p>
            <w:pPr>
              <w:jc w:val="center"/>
            </w:pPr>
            <w:r>
              <w:rPr>
                <w:sz w:val="18"/>
              </w:rPr>
              <w:t>0.24%</w:t>
            </w:r>
          </w:p>
        </w:tc>
        <w:tc>
          <w:tcPr>
            <w:tcW w:type="dxa" w:w="1440"/>
          </w:tcPr>
          <w:p>
            <w:pPr>
              <w:jc w:val="center"/>
            </w:pPr>
            <w:r>
              <w:rPr>
                <w:sz w:val="18"/>
              </w:rPr>
              <w:t>10.48%</w:t>
            </w:r>
          </w:p>
        </w:tc>
        <w:tc>
          <w:tcPr>
            <w:tcW w:type="dxa" w:w="1440"/>
          </w:tcPr>
          <w:p>
            <w:pPr>
              <w:jc w:val="center"/>
            </w:pPr>
            <w:r>
              <w:rPr>
                <w:sz w:val="18"/>
              </w:rPr>
              <w:t>-0.263</w:t>
            </w:r>
          </w:p>
        </w:tc>
        <w:tc>
          <w:tcPr>
            <w:tcW w:type="dxa" w:w="1440"/>
          </w:tcPr>
          <w:p>
            <w:pPr>
              <w:jc w:val="center"/>
            </w:pPr>
            <w:r>
              <w:rPr>
                <w:sz w:val="18"/>
              </w:rPr>
              <w:t>-12.25%</w:t>
            </w:r>
          </w:p>
        </w:tc>
        <w:tc>
          <w:tcPr>
            <w:tcW w:type="dxa" w:w="1440"/>
          </w:tcPr>
          <w:p>
            <w:pPr>
              <w:jc w:val="center"/>
            </w:pPr>
            <w:r>
              <w:rPr>
                <w:sz w:val="18"/>
              </w:rPr>
              <w:t>51.4%</w:t>
            </w:r>
          </w:p>
        </w:tc>
      </w:tr>
      <w:tr>
        <w:tc>
          <w:tcPr>
            <w:tcW w:type="dxa" w:w="1440"/>
          </w:tcPr>
          <w:p>
            <w:pPr>
              <w:jc w:val="center"/>
            </w:pPr>
            <w:r>
              <w:rPr>
                <w:sz w:val="18"/>
              </w:rPr>
              <w:t>反转-Mom3（多空）</w:t>
            </w:r>
          </w:p>
        </w:tc>
        <w:tc>
          <w:tcPr>
            <w:tcW w:type="dxa" w:w="1440"/>
          </w:tcPr>
          <w:p>
            <w:pPr>
              <w:jc w:val="center"/>
            </w:pPr>
            <w:r>
              <w:rPr>
                <w:sz w:val="18"/>
              </w:rPr>
              <w:t>2.68%</w:t>
            </w:r>
          </w:p>
        </w:tc>
        <w:tc>
          <w:tcPr>
            <w:tcW w:type="dxa" w:w="1440"/>
          </w:tcPr>
          <w:p>
            <w:pPr>
              <w:jc w:val="center"/>
            </w:pPr>
            <w:r>
              <w:rPr>
                <w:sz w:val="18"/>
              </w:rPr>
              <w:t>12.52%</w:t>
            </w:r>
          </w:p>
        </w:tc>
        <w:tc>
          <w:tcPr>
            <w:tcW w:type="dxa" w:w="1440"/>
          </w:tcPr>
          <w:p>
            <w:pPr>
              <w:jc w:val="center"/>
            </w:pPr>
            <w:r>
              <w:rPr>
                <w:sz w:val="18"/>
              </w:rPr>
              <w:t>-0.025</w:t>
            </w:r>
          </w:p>
        </w:tc>
        <w:tc>
          <w:tcPr>
            <w:tcW w:type="dxa" w:w="1440"/>
          </w:tcPr>
          <w:p>
            <w:pPr>
              <w:jc w:val="center"/>
            </w:pPr>
            <w:r>
              <w:rPr>
                <w:sz w:val="18"/>
              </w:rPr>
              <w:t>-9.29%</w:t>
            </w:r>
          </w:p>
        </w:tc>
        <w:tc>
          <w:tcPr>
            <w:tcW w:type="dxa" w:w="1440"/>
          </w:tcPr>
          <w:p>
            <w:pPr>
              <w:jc w:val="center"/>
            </w:pPr>
            <w:r>
              <w:rPr>
                <w:sz w:val="18"/>
              </w:rPr>
              <w:t>54.3%</w:t>
            </w:r>
          </w:p>
        </w:tc>
      </w:tr>
      <w:tr>
        <w:tc>
          <w:tcPr>
            <w:tcW w:type="dxa" w:w="1440"/>
          </w:tcPr>
          <w:p>
            <w:pPr>
              <w:jc w:val="center"/>
            </w:pPr>
            <w:r>
              <w:rPr>
                <w:sz w:val="18"/>
              </w:rPr>
              <w:t>反转-Mom6（多空）</w:t>
            </w:r>
          </w:p>
        </w:tc>
        <w:tc>
          <w:tcPr>
            <w:tcW w:type="dxa" w:w="1440"/>
          </w:tcPr>
          <w:p>
            <w:pPr>
              <w:jc w:val="center"/>
            </w:pPr>
            <w:r>
              <w:rPr>
                <w:sz w:val="18"/>
              </w:rPr>
              <w:t>0.71%</w:t>
            </w:r>
          </w:p>
        </w:tc>
        <w:tc>
          <w:tcPr>
            <w:tcW w:type="dxa" w:w="1440"/>
          </w:tcPr>
          <w:p>
            <w:pPr>
              <w:jc w:val="center"/>
            </w:pPr>
            <w:r>
              <w:rPr>
                <w:sz w:val="18"/>
              </w:rPr>
              <w:t>12.90%</w:t>
            </w:r>
          </w:p>
        </w:tc>
        <w:tc>
          <w:tcPr>
            <w:tcW w:type="dxa" w:w="1440"/>
          </w:tcPr>
          <w:p>
            <w:pPr>
              <w:jc w:val="center"/>
            </w:pPr>
            <w:r>
              <w:rPr>
                <w:sz w:val="18"/>
              </w:rPr>
              <w:t>N/A</w:t>
            </w:r>
          </w:p>
        </w:tc>
        <w:tc>
          <w:tcPr>
            <w:tcW w:type="dxa" w:w="1440"/>
          </w:tcPr>
          <w:p>
            <w:pPr>
              <w:jc w:val="center"/>
            </w:pPr>
            <w:r>
              <w:rPr>
                <w:sz w:val="18"/>
              </w:rPr>
              <w:t>-12.90%</w:t>
            </w:r>
          </w:p>
        </w:tc>
        <w:tc>
          <w:tcPr>
            <w:tcW w:type="dxa" w:w="1440"/>
          </w:tcPr>
          <w:p>
            <w:pPr>
              <w:jc w:val="center"/>
            </w:pPr>
            <w:r>
              <w:rPr>
                <w:sz w:val="18"/>
              </w:rPr>
              <w:t>51.4%</w:t>
            </w:r>
          </w:p>
        </w:tc>
      </w:tr>
      <w:tr>
        <w:tc>
          <w:tcPr>
            <w:tcW w:type="dxa" w:w="1440"/>
          </w:tcPr>
          <w:p>
            <w:pPr>
              <w:jc w:val="center"/>
            </w:pPr>
            <w:r>
              <w:rPr>
                <w:sz w:val="18"/>
              </w:rPr>
              <w:t>反转-Mom1（仅多头）</w:t>
            </w:r>
          </w:p>
        </w:tc>
        <w:tc>
          <w:tcPr>
            <w:tcW w:type="dxa" w:w="1440"/>
          </w:tcPr>
          <w:p>
            <w:pPr>
              <w:jc w:val="center"/>
            </w:pPr>
            <w:r>
              <w:rPr>
                <w:sz w:val="18"/>
              </w:rPr>
              <w:t>12.47%</w:t>
            </w:r>
          </w:p>
        </w:tc>
        <w:tc>
          <w:tcPr>
            <w:tcW w:type="dxa" w:w="1440"/>
          </w:tcPr>
          <w:p>
            <w:pPr>
              <w:jc w:val="center"/>
            </w:pPr>
            <w:r>
              <w:rPr>
                <w:sz w:val="18"/>
              </w:rPr>
              <w:t>22.13%</w:t>
            </w:r>
          </w:p>
        </w:tc>
        <w:tc>
          <w:tcPr>
            <w:tcW w:type="dxa" w:w="1440"/>
          </w:tcPr>
          <w:p>
            <w:pPr>
              <w:jc w:val="center"/>
            </w:pPr>
            <w:r>
              <w:rPr>
                <w:sz w:val="18"/>
              </w:rPr>
              <w:t>0.428</w:t>
            </w:r>
          </w:p>
        </w:tc>
        <w:tc>
          <w:tcPr>
            <w:tcW w:type="dxa" w:w="1440"/>
          </w:tcPr>
          <w:p>
            <w:pPr>
              <w:jc w:val="center"/>
            </w:pPr>
            <w:r>
              <w:rPr>
                <w:sz w:val="18"/>
              </w:rPr>
              <w:t>-25.68%</w:t>
            </w:r>
          </w:p>
        </w:tc>
        <w:tc>
          <w:tcPr>
            <w:tcW w:type="dxa" w:w="1440"/>
          </w:tcPr>
          <w:p>
            <w:pPr>
              <w:jc w:val="center"/>
            </w:pPr>
            <w:r>
              <w:rPr>
                <w:sz w:val="18"/>
              </w:rPr>
              <w:t>N/A</w:t>
            </w:r>
          </w:p>
        </w:tc>
      </w:tr>
    </w:tbl>
    <w:p/>
    <w:p>
      <w:r>
        <w:t>从表2可以看出，传统反转策略在测试期的多空表现整体较弱。1个月反转（Mom1）多空组合年化收益仅0.24%，扣除无风险利率后夏普比率为负（-0.263）。3个月反转（Mom3）表现相对最好，年化收益2.68%，但夏普比率仍为微弱的-0.025。值得注意的是，仅多头端的反转策略年化收益达12.47%，夏普比率0.428，远优于多空组合，说明反转效应在A股的收益主要来自多头端（买入输家），空头端（卖空赢家）不仅没有贡献正收益，反而侵蚀了组合绩效。这一结果与A股市场的做空限制高度一致-空头端在理论构建中假设等量卖空，但在实际市场中融券成本高昂且券源有限。</w:t>
      </w:r>
    </w:p>
    <w:p>
      <w:r>
        <w:t>图1展示了基线策略在完整样本期间的累计净值曲线。可以观察到，传统反转策略在训练期和验证期经历了严重的回撤，尤其是在2015年股灾和2020-2022年市场震荡期间，多空组合的净值大幅下跌。进入测试期后，策略表现趋于平稳，但未能产生显著的绝对收益。</w:t>
      </w:r>
    </w:p>
    <w:p>
      <w:r>
        <w:drawing>
          <wp:inline xmlns:a="http://schemas.openxmlformats.org/drawingml/2006/main" xmlns:pic="http://schemas.openxmlformats.org/drawingml/2006/picture">
            <wp:extent cx="5029200" cy="2124674"/>
            <wp:docPr id="1" name="Picture 1"/>
            <wp:cNvGraphicFramePr>
              <a:graphicFrameLocks noChangeAspect="1"/>
            </wp:cNvGraphicFramePr>
            <a:graphic>
              <a:graphicData uri="http://schemas.openxmlformats.org/drawingml/2006/picture">
                <pic:pic>
                  <pic:nvPicPr>
                    <pic:cNvPr id="0" name="fig1b_baseline_full_sample.png"/>
                    <pic:cNvPicPr/>
                  </pic:nvPicPr>
                  <pic:blipFill>
                    <a:blip r:embed="rId9"/>
                    <a:stretch>
                      <a:fillRect/>
                    </a:stretch>
                  </pic:blipFill>
                  <pic:spPr>
                    <a:xfrm>
                      <a:off x="0" y="0"/>
                      <a:ext cx="5029200" cy="2124674"/>
                    </a:xfrm>
                    <a:prstGeom prst="rect"/>
                  </pic:spPr>
                </pic:pic>
              </a:graphicData>
            </a:graphic>
          </wp:inline>
        </w:drawing>
      </w:r>
    </w:p>
    <w:p>
      <w:pPr>
        <w:jc w:val="center"/>
      </w:pPr>
      <w:r>
        <w:rPr>
          <w:b/>
          <w:sz w:val="18"/>
        </w:rPr>
        <w:t>图1  基线反转策略累计净值（全样本2014-2025）</w:t>
      </w:r>
    </w:p>
    <w:p>
      <w:pPr>
        <w:pStyle w:val="Heading2"/>
      </w:pPr>
      <w:r>
        <w:t>4.2 机器学习策略</w:t>
      </w:r>
    </w:p>
    <w:p>
      <w:r>
        <w:t>表3报告了四种机器学习策略在测试期的绩效表现。所有策略均使用五个截面特征预测下月收益，根据预测值排序构建多空组合，扣除双边20个基点交易成本。</w:t>
      </w:r>
    </w:p>
    <w:p>
      <w:pPr>
        <w:jc w:val="center"/>
      </w:pPr>
      <w:r>
        <w:rPr>
          <w:b/>
          <w:sz w:val="18"/>
        </w:rPr>
        <w:t>表3  机器学习策略测试期绩效（2023-2025年，N=35个月）</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策略</w:t>
            </w:r>
          </w:p>
        </w:tc>
        <w:tc>
          <w:tcPr>
            <w:tcW w:type="dxa" w:w="1440"/>
          </w:tcPr>
          <w:p>
            <w:pPr>
              <w:jc w:val="center"/>
            </w:pPr>
            <w:r>
              <w:rPr>
                <w:b/>
                <w:sz w:val="18"/>
              </w:rPr>
              <w:t>年化收益率</w:t>
            </w:r>
          </w:p>
        </w:tc>
        <w:tc>
          <w:tcPr>
            <w:tcW w:type="dxa" w:w="1440"/>
          </w:tcPr>
          <w:p>
            <w:pPr>
              <w:jc w:val="center"/>
            </w:pPr>
            <w:r>
              <w:rPr>
                <w:b/>
                <w:sz w:val="18"/>
              </w:rPr>
              <w:t>年化波动率</w:t>
            </w:r>
          </w:p>
        </w:tc>
        <w:tc>
          <w:tcPr>
            <w:tcW w:type="dxa" w:w="1440"/>
          </w:tcPr>
          <w:p>
            <w:pPr>
              <w:jc w:val="center"/>
            </w:pPr>
            <w:r>
              <w:rPr>
                <w:b/>
                <w:sz w:val="18"/>
              </w:rPr>
              <w:t>夏普比率</w:t>
            </w:r>
          </w:p>
        </w:tc>
        <w:tc>
          <w:tcPr>
            <w:tcW w:type="dxa" w:w="1440"/>
          </w:tcPr>
          <w:p>
            <w:pPr>
              <w:jc w:val="center"/>
            </w:pPr>
            <w:r>
              <w:rPr>
                <w:b/>
                <w:sz w:val="18"/>
              </w:rPr>
              <w:t>最大回撤</w:t>
            </w:r>
          </w:p>
        </w:tc>
        <w:tc>
          <w:tcPr>
            <w:tcW w:type="dxa" w:w="1440"/>
          </w:tcPr>
          <w:p>
            <w:pPr>
              <w:jc w:val="center"/>
            </w:pPr>
            <w:r>
              <w:rPr>
                <w:b/>
                <w:sz w:val="18"/>
              </w:rPr>
              <w:t>正月占比</w:t>
            </w:r>
          </w:p>
        </w:tc>
      </w:tr>
      <w:tr>
        <w:tc>
          <w:tcPr>
            <w:tcW w:type="dxa" w:w="1440"/>
          </w:tcPr>
          <w:p>
            <w:pPr>
              <w:jc w:val="center"/>
            </w:pPr>
            <w:r>
              <w:rPr>
                <w:sz w:val="18"/>
              </w:rPr>
              <w:t>Ridge回归（多空）</w:t>
            </w:r>
          </w:p>
        </w:tc>
        <w:tc>
          <w:tcPr>
            <w:tcW w:type="dxa" w:w="1440"/>
          </w:tcPr>
          <w:p>
            <w:pPr>
              <w:jc w:val="center"/>
            </w:pPr>
            <w:r>
              <w:rPr>
                <w:sz w:val="18"/>
              </w:rPr>
              <w:t>-4.75%</w:t>
            </w:r>
          </w:p>
        </w:tc>
        <w:tc>
          <w:tcPr>
            <w:tcW w:type="dxa" w:w="1440"/>
          </w:tcPr>
          <w:p>
            <w:pPr>
              <w:jc w:val="center"/>
            </w:pPr>
            <w:r>
              <w:rPr>
                <w:sz w:val="18"/>
              </w:rPr>
              <w:t>9.96%</w:t>
            </w:r>
          </w:p>
        </w:tc>
        <w:tc>
          <w:tcPr>
            <w:tcW w:type="dxa" w:w="1440"/>
          </w:tcPr>
          <w:p>
            <w:pPr>
              <w:jc w:val="center"/>
            </w:pPr>
            <w:r>
              <w:rPr>
                <w:sz w:val="18"/>
              </w:rPr>
              <w:t>-0.778</w:t>
            </w:r>
          </w:p>
        </w:tc>
        <w:tc>
          <w:tcPr>
            <w:tcW w:type="dxa" w:w="1440"/>
          </w:tcPr>
          <w:p>
            <w:pPr>
              <w:jc w:val="center"/>
            </w:pPr>
            <w:r>
              <w:rPr>
                <w:sz w:val="18"/>
              </w:rPr>
              <w:t>-20.48%</w:t>
            </w:r>
          </w:p>
        </w:tc>
        <w:tc>
          <w:tcPr>
            <w:tcW w:type="dxa" w:w="1440"/>
          </w:tcPr>
          <w:p>
            <w:pPr>
              <w:jc w:val="center"/>
            </w:pPr>
            <w:r>
              <w:rPr>
                <w:sz w:val="18"/>
              </w:rPr>
              <w:t>40.0%</w:t>
            </w:r>
          </w:p>
        </w:tc>
      </w:tr>
      <w:tr>
        <w:tc>
          <w:tcPr>
            <w:tcW w:type="dxa" w:w="1440"/>
          </w:tcPr>
          <w:p>
            <w:pPr>
              <w:jc w:val="center"/>
            </w:pPr>
            <w:r>
              <w:rPr>
                <w:sz w:val="18"/>
              </w:rPr>
              <w:t>Lasso回归（多空）</w:t>
            </w:r>
          </w:p>
        </w:tc>
        <w:tc>
          <w:tcPr>
            <w:tcW w:type="dxa" w:w="1440"/>
          </w:tcPr>
          <w:p>
            <w:pPr>
              <w:jc w:val="center"/>
            </w:pPr>
            <w:r>
              <w:rPr>
                <w:sz w:val="18"/>
              </w:rPr>
              <w:t>-5.05%</w:t>
            </w:r>
          </w:p>
        </w:tc>
        <w:tc>
          <w:tcPr>
            <w:tcW w:type="dxa" w:w="1440"/>
          </w:tcPr>
          <w:p>
            <w:pPr>
              <w:jc w:val="center"/>
            </w:pPr>
            <w:r>
              <w:rPr>
                <w:sz w:val="18"/>
              </w:rPr>
              <w:t>10.09%</w:t>
            </w:r>
          </w:p>
        </w:tc>
        <w:tc>
          <w:tcPr>
            <w:tcW w:type="dxa" w:w="1440"/>
          </w:tcPr>
          <w:p>
            <w:pPr>
              <w:jc w:val="center"/>
            </w:pPr>
            <w:r>
              <w:rPr>
                <w:sz w:val="18"/>
              </w:rPr>
              <w:t>-0.798</w:t>
            </w:r>
          </w:p>
        </w:tc>
        <w:tc>
          <w:tcPr>
            <w:tcW w:type="dxa" w:w="1440"/>
          </w:tcPr>
          <w:p>
            <w:pPr>
              <w:jc w:val="center"/>
            </w:pPr>
            <w:r>
              <w:rPr>
                <w:sz w:val="18"/>
              </w:rPr>
              <w:t>-20.66%</w:t>
            </w:r>
          </w:p>
        </w:tc>
        <w:tc>
          <w:tcPr>
            <w:tcW w:type="dxa" w:w="1440"/>
          </w:tcPr>
          <w:p>
            <w:pPr>
              <w:jc w:val="center"/>
            </w:pPr>
            <w:r>
              <w:rPr>
                <w:sz w:val="18"/>
              </w:rPr>
              <w:t>40.0%</w:t>
            </w:r>
          </w:p>
        </w:tc>
      </w:tr>
      <w:tr>
        <w:tc>
          <w:tcPr>
            <w:tcW w:type="dxa" w:w="1440"/>
          </w:tcPr>
          <w:p>
            <w:pPr>
              <w:jc w:val="center"/>
            </w:pPr>
            <w:r>
              <w:rPr>
                <w:sz w:val="18"/>
              </w:rPr>
              <w:t>随机森林（多空）</w:t>
            </w:r>
          </w:p>
        </w:tc>
        <w:tc>
          <w:tcPr>
            <w:tcW w:type="dxa" w:w="1440"/>
          </w:tcPr>
          <w:p>
            <w:pPr>
              <w:jc w:val="center"/>
            </w:pPr>
            <w:r>
              <w:rPr>
                <w:sz w:val="18"/>
              </w:rPr>
              <w:t>-8.56%</w:t>
            </w:r>
          </w:p>
        </w:tc>
        <w:tc>
          <w:tcPr>
            <w:tcW w:type="dxa" w:w="1440"/>
          </w:tcPr>
          <w:p>
            <w:pPr>
              <w:jc w:val="center"/>
            </w:pPr>
            <w:r>
              <w:rPr>
                <w:sz w:val="18"/>
              </w:rPr>
              <w:t>12.42%</w:t>
            </w:r>
          </w:p>
        </w:tc>
        <w:tc>
          <w:tcPr>
            <w:tcW w:type="dxa" w:w="1440"/>
          </w:tcPr>
          <w:p>
            <w:pPr>
              <w:jc w:val="center"/>
            </w:pPr>
            <w:r>
              <w:rPr>
                <w:sz w:val="18"/>
              </w:rPr>
              <w:t>-0.931</w:t>
            </w:r>
          </w:p>
        </w:tc>
        <w:tc>
          <w:tcPr>
            <w:tcW w:type="dxa" w:w="1440"/>
          </w:tcPr>
          <w:p>
            <w:pPr>
              <w:jc w:val="center"/>
            </w:pPr>
            <w:r>
              <w:rPr>
                <w:sz w:val="18"/>
              </w:rPr>
              <w:t>-28.70%</w:t>
            </w:r>
          </w:p>
        </w:tc>
        <w:tc>
          <w:tcPr>
            <w:tcW w:type="dxa" w:w="1440"/>
          </w:tcPr>
          <w:p>
            <w:pPr>
              <w:jc w:val="center"/>
            </w:pPr>
            <w:r>
              <w:rPr>
                <w:sz w:val="18"/>
              </w:rPr>
              <w:t>37.1%</w:t>
            </w:r>
          </w:p>
        </w:tc>
      </w:tr>
      <w:tr>
        <w:tc>
          <w:tcPr>
            <w:tcW w:type="dxa" w:w="1440"/>
          </w:tcPr>
          <w:p>
            <w:pPr>
              <w:jc w:val="center"/>
            </w:pPr>
            <w:r>
              <w:rPr>
                <w:sz w:val="18"/>
              </w:rPr>
              <w:t>XGBoost（多空）</w:t>
            </w:r>
          </w:p>
        </w:tc>
        <w:tc>
          <w:tcPr>
            <w:tcW w:type="dxa" w:w="1440"/>
          </w:tcPr>
          <w:p>
            <w:pPr>
              <w:jc w:val="center"/>
            </w:pPr>
            <w:r>
              <w:rPr>
                <w:sz w:val="18"/>
              </w:rPr>
              <w:t>-5.87%</w:t>
            </w:r>
          </w:p>
        </w:tc>
        <w:tc>
          <w:tcPr>
            <w:tcW w:type="dxa" w:w="1440"/>
          </w:tcPr>
          <w:p>
            <w:pPr>
              <w:jc w:val="center"/>
            </w:pPr>
            <w:r>
              <w:rPr>
                <w:sz w:val="18"/>
              </w:rPr>
              <w:t>12.41%</w:t>
            </w:r>
          </w:p>
        </w:tc>
        <w:tc>
          <w:tcPr>
            <w:tcW w:type="dxa" w:w="1440"/>
          </w:tcPr>
          <w:p>
            <w:pPr>
              <w:jc w:val="center"/>
            </w:pPr>
            <w:r>
              <w:rPr>
                <w:sz w:val="18"/>
              </w:rPr>
              <w:t>-0.715</w:t>
            </w:r>
          </w:p>
        </w:tc>
        <w:tc>
          <w:tcPr>
            <w:tcW w:type="dxa" w:w="1440"/>
          </w:tcPr>
          <w:p>
            <w:pPr>
              <w:jc w:val="center"/>
            </w:pPr>
            <w:r>
              <w:rPr>
                <w:sz w:val="18"/>
              </w:rPr>
              <w:t>-23.44%</w:t>
            </w:r>
          </w:p>
        </w:tc>
        <w:tc>
          <w:tcPr>
            <w:tcW w:type="dxa" w:w="1440"/>
          </w:tcPr>
          <w:p>
            <w:pPr>
              <w:jc w:val="center"/>
            </w:pPr>
            <w:r>
              <w:rPr>
                <w:sz w:val="18"/>
              </w:rPr>
              <w:t>34.3%</w:t>
            </w:r>
          </w:p>
        </w:tc>
      </w:tr>
    </w:tbl>
    <w:p/>
    <w:p>
      <w:r>
        <w:t>表3的结果令人警醒：所有四种机器学习策略在测试期均产生了负收益，且夏普比率为负值。其中随机森林的表现最差，年化收益-8.56%，最大回撤-28.70%，夏普比率-0.931；XGBoost次之，年化收益-5.87%；Ridge和Lasso的表现相对'较好'，但仍为负收益（-4.75%和-5.05%）。对比表2的基线策略，机器学习策略不仅未能改进反转策略，反而显著劣于简单基线。</w:t>
      </w:r>
    </w:p>
    <w:p>
      <w:r>
        <w:t>从正月占比来看，基线策略约51-54%的月份获得正收益，而机器学习策略仅为34-40%，这意味着ML模型在大多数月份预测方向错误。一种可能的解释是：机器学习模型在训练期学习到的动量-收益关系在测试期发生了逆转，导致模型系统性地给出了错误的持仓建议。</w:t>
      </w:r>
    </w:p>
    <w:p>
      <w:r>
        <w:drawing>
          <wp:inline xmlns:a="http://schemas.openxmlformats.org/drawingml/2006/main" xmlns:pic="http://schemas.openxmlformats.org/drawingml/2006/picture">
            <wp:extent cx="5029200" cy="2483556"/>
            <wp:docPr id="2" name="Picture 2"/>
            <wp:cNvGraphicFramePr>
              <a:graphicFrameLocks noChangeAspect="1"/>
            </wp:cNvGraphicFramePr>
            <a:graphic>
              <a:graphicData uri="http://schemas.openxmlformats.org/drawingml/2006/picture">
                <pic:pic>
                  <pic:nvPicPr>
                    <pic:cNvPr id="0" name="fig1_cumulative_returns.png"/>
                    <pic:cNvPicPr/>
                  </pic:nvPicPr>
                  <pic:blipFill>
                    <a:blip r:embed="rId10"/>
                    <a:stretch>
                      <a:fillRect/>
                    </a:stretch>
                  </pic:blipFill>
                  <pic:spPr>
                    <a:xfrm>
                      <a:off x="0" y="0"/>
                      <a:ext cx="5029200" cy="2483556"/>
                    </a:xfrm>
                    <a:prstGeom prst="rect"/>
                  </pic:spPr>
                </pic:pic>
              </a:graphicData>
            </a:graphic>
          </wp:inline>
        </w:drawing>
      </w:r>
    </w:p>
    <w:p>
      <w:pPr>
        <w:jc w:val="center"/>
      </w:pPr>
      <w:r>
        <w:rPr>
          <w:b/>
          <w:sz w:val="18"/>
        </w:rPr>
        <w:t>图2  各策略累计净值（测试期2023-2025）</w:t>
      </w:r>
    </w:p>
    <w:p>
      <w:r>
        <w:drawing>
          <wp:inline xmlns:a="http://schemas.openxmlformats.org/drawingml/2006/main" xmlns:pic="http://schemas.openxmlformats.org/drawingml/2006/picture">
            <wp:extent cx="5029200" cy="2059067"/>
            <wp:docPr id="3" name="Picture 3"/>
            <wp:cNvGraphicFramePr>
              <a:graphicFrameLocks noChangeAspect="1"/>
            </wp:cNvGraphicFramePr>
            <a:graphic>
              <a:graphicData uri="http://schemas.openxmlformats.org/drawingml/2006/picture">
                <pic:pic>
                  <pic:nvPicPr>
                    <pic:cNvPr id="0" name="fig2_drawdowns.png"/>
                    <pic:cNvPicPr/>
                  </pic:nvPicPr>
                  <pic:blipFill>
                    <a:blip r:embed="rId11"/>
                    <a:stretch>
                      <a:fillRect/>
                    </a:stretch>
                  </pic:blipFill>
                  <pic:spPr>
                    <a:xfrm>
                      <a:off x="0" y="0"/>
                      <a:ext cx="5029200" cy="2059067"/>
                    </a:xfrm>
                    <a:prstGeom prst="rect"/>
                  </pic:spPr>
                </pic:pic>
              </a:graphicData>
            </a:graphic>
          </wp:inline>
        </w:drawing>
      </w:r>
    </w:p>
    <w:p>
      <w:pPr>
        <w:jc w:val="center"/>
      </w:pPr>
      <w:r>
        <w:rPr>
          <w:b/>
          <w:sz w:val="18"/>
        </w:rPr>
        <w:t>图3  各策略回撤曲线（测试期2023-2025）</w:t>
      </w:r>
    </w:p>
    <w:p>
      <w:pPr>
        <w:pStyle w:val="Heading2"/>
      </w:pPr>
      <w:r>
        <w:t>4.3 策略对比与讨论</w:t>
      </w:r>
    </w:p>
    <w:p>
      <w:r>
        <w:t>表4汇总了所有策略在测试期的核心绩效指标，以便直接对比。</w:t>
      </w:r>
    </w:p>
    <w:p>
      <w:pPr>
        <w:jc w:val="center"/>
      </w:pPr>
      <w:r>
        <w:rPr>
          <w:b/>
          <w:sz w:val="18"/>
        </w:rPr>
        <w:t>表4  全部策略测试期绩效对比</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策略</w:t>
            </w:r>
          </w:p>
        </w:tc>
        <w:tc>
          <w:tcPr>
            <w:tcW w:type="dxa" w:w="1728"/>
          </w:tcPr>
          <w:p>
            <w:pPr>
              <w:jc w:val="center"/>
            </w:pPr>
            <w:r>
              <w:rPr>
                <w:b/>
                <w:sz w:val="18"/>
              </w:rPr>
              <w:t>年化收益率</w:t>
            </w:r>
          </w:p>
        </w:tc>
        <w:tc>
          <w:tcPr>
            <w:tcW w:type="dxa" w:w="1728"/>
          </w:tcPr>
          <w:p>
            <w:pPr>
              <w:jc w:val="center"/>
            </w:pPr>
            <w:r>
              <w:rPr>
                <w:b/>
                <w:sz w:val="18"/>
              </w:rPr>
              <w:t>夏普比率</w:t>
            </w:r>
          </w:p>
        </w:tc>
        <w:tc>
          <w:tcPr>
            <w:tcW w:type="dxa" w:w="1728"/>
          </w:tcPr>
          <w:p>
            <w:pPr>
              <w:jc w:val="center"/>
            </w:pPr>
            <w:r>
              <w:rPr>
                <w:b/>
                <w:sz w:val="18"/>
              </w:rPr>
              <w:t>最大回撤</w:t>
            </w:r>
          </w:p>
        </w:tc>
        <w:tc>
          <w:tcPr>
            <w:tcW w:type="dxa" w:w="1728"/>
          </w:tcPr>
          <w:p>
            <w:pPr>
              <w:jc w:val="center"/>
            </w:pPr>
            <w:r>
              <w:rPr>
                <w:b/>
                <w:sz w:val="18"/>
              </w:rPr>
              <w:t>正月占比</w:t>
            </w:r>
          </w:p>
        </w:tc>
      </w:tr>
      <w:tr>
        <w:tc>
          <w:tcPr>
            <w:tcW w:type="dxa" w:w="1728"/>
          </w:tcPr>
          <w:p>
            <w:pPr>
              <w:jc w:val="center"/>
            </w:pPr>
            <w:r>
              <w:rPr>
                <w:sz w:val="18"/>
              </w:rPr>
              <w:t>反转-Mom1（基线）</w:t>
            </w:r>
          </w:p>
        </w:tc>
        <w:tc>
          <w:tcPr>
            <w:tcW w:type="dxa" w:w="1728"/>
          </w:tcPr>
          <w:p>
            <w:pPr>
              <w:jc w:val="center"/>
            </w:pPr>
            <w:r>
              <w:rPr>
                <w:sz w:val="18"/>
              </w:rPr>
              <w:t>0.24%</w:t>
            </w:r>
          </w:p>
        </w:tc>
        <w:tc>
          <w:tcPr>
            <w:tcW w:type="dxa" w:w="1728"/>
          </w:tcPr>
          <w:p>
            <w:pPr>
              <w:jc w:val="center"/>
            </w:pPr>
            <w:r>
              <w:rPr>
                <w:sz w:val="18"/>
              </w:rPr>
              <w:t>-0.263</w:t>
            </w:r>
          </w:p>
        </w:tc>
        <w:tc>
          <w:tcPr>
            <w:tcW w:type="dxa" w:w="1728"/>
          </w:tcPr>
          <w:p>
            <w:pPr>
              <w:jc w:val="center"/>
            </w:pPr>
            <w:r>
              <w:rPr>
                <w:sz w:val="18"/>
              </w:rPr>
              <w:t>-12.25%</w:t>
            </w:r>
          </w:p>
        </w:tc>
        <w:tc>
          <w:tcPr>
            <w:tcW w:type="dxa" w:w="1728"/>
          </w:tcPr>
          <w:p>
            <w:pPr>
              <w:jc w:val="center"/>
            </w:pPr>
            <w:r>
              <w:rPr>
                <w:sz w:val="18"/>
              </w:rPr>
              <w:t>51.4%</w:t>
            </w:r>
          </w:p>
        </w:tc>
      </w:tr>
      <w:tr>
        <w:tc>
          <w:tcPr>
            <w:tcW w:type="dxa" w:w="1728"/>
          </w:tcPr>
          <w:p>
            <w:pPr>
              <w:jc w:val="center"/>
            </w:pPr>
            <w:r>
              <w:rPr>
                <w:sz w:val="18"/>
              </w:rPr>
              <w:t>反转-Mom3（基线）</w:t>
            </w:r>
          </w:p>
        </w:tc>
        <w:tc>
          <w:tcPr>
            <w:tcW w:type="dxa" w:w="1728"/>
          </w:tcPr>
          <w:p>
            <w:pPr>
              <w:jc w:val="center"/>
            </w:pPr>
            <w:r>
              <w:rPr>
                <w:sz w:val="18"/>
              </w:rPr>
              <w:t>2.68%</w:t>
            </w:r>
          </w:p>
        </w:tc>
        <w:tc>
          <w:tcPr>
            <w:tcW w:type="dxa" w:w="1728"/>
          </w:tcPr>
          <w:p>
            <w:pPr>
              <w:jc w:val="center"/>
            </w:pPr>
            <w:r>
              <w:rPr>
                <w:sz w:val="18"/>
              </w:rPr>
              <w:t>-0.025</w:t>
            </w:r>
          </w:p>
        </w:tc>
        <w:tc>
          <w:tcPr>
            <w:tcW w:type="dxa" w:w="1728"/>
          </w:tcPr>
          <w:p>
            <w:pPr>
              <w:jc w:val="center"/>
            </w:pPr>
            <w:r>
              <w:rPr>
                <w:sz w:val="18"/>
              </w:rPr>
              <w:t>-9.29%</w:t>
            </w:r>
          </w:p>
        </w:tc>
        <w:tc>
          <w:tcPr>
            <w:tcW w:type="dxa" w:w="1728"/>
          </w:tcPr>
          <w:p>
            <w:pPr>
              <w:jc w:val="center"/>
            </w:pPr>
            <w:r>
              <w:rPr>
                <w:sz w:val="18"/>
              </w:rPr>
              <w:t>54.3%</w:t>
            </w:r>
          </w:p>
        </w:tc>
      </w:tr>
      <w:tr>
        <w:tc>
          <w:tcPr>
            <w:tcW w:type="dxa" w:w="1728"/>
          </w:tcPr>
          <w:p>
            <w:pPr>
              <w:jc w:val="center"/>
            </w:pPr>
            <w:r>
              <w:rPr>
                <w:sz w:val="18"/>
              </w:rPr>
              <w:t>Ridge回归</w:t>
            </w:r>
          </w:p>
        </w:tc>
        <w:tc>
          <w:tcPr>
            <w:tcW w:type="dxa" w:w="1728"/>
          </w:tcPr>
          <w:p>
            <w:pPr>
              <w:jc w:val="center"/>
            </w:pPr>
            <w:r>
              <w:rPr>
                <w:sz w:val="18"/>
              </w:rPr>
              <w:t>-4.75%</w:t>
            </w:r>
          </w:p>
        </w:tc>
        <w:tc>
          <w:tcPr>
            <w:tcW w:type="dxa" w:w="1728"/>
          </w:tcPr>
          <w:p>
            <w:pPr>
              <w:jc w:val="center"/>
            </w:pPr>
            <w:r>
              <w:rPr>
                <w:sz w:val="18"/>
              </w:rPr>
              <w:t>-0.778</w:t>
            </w:r>
          </w:p>
        </w:tc>
        <w:tc>
          <w:tcPr>
            <w:tcW w:type="dxa" w:w="1728"/>
          </w:tcPr>
          <w:p>
            <w:pPr>
              <w:jc w:val="center"/>
            </w:pPr>
            <w:r>
              <w:rPr>
                <w:sz w:val="18"/>
              </w:rPr>
              <w:t>-20.48%</w:t>
            </w:r>
          </w:p>
        </w:tc>
        <w:tc>
          <w:tcPr>
            <w:tcW w:type="dxa" w:w="1728"/>
          </w:tcPr>
          <w:p>
            <w:pPr>
              <w:jc w:val="center"/>
            </w:pPr>
            <w:r>
              <w:rPr>
                <w:sz w:val="18"/>
              </w:rPr>
              <w:t>40.0%</w:t>
            </w:r>
          </w:p>
        </w:tc>
      </w:tr>
      <w:tr>
        <w:tc>
          <w:tcPr>
            <w:tcW w:type="dxa" w:w="1728"/>
          </w:tcPr>
          <w:p>
            <w:pPr>
              <w:jc w:val="center"/>
            </w:pPr>
            <w:r>
              <w:rPr>
                <w:sz w:val="18"/>
              </w:rPr>
              <w:t>Lasso回归</w:t>
            </w:r>
          </w:p>
        </w:tc>
        <w:tc>
          <w:tcPr>
            <w:tcW w:type="dxa" w:w="1728"/>
          </w:tcPr>
          <w:p>
            <w:pPr>
              <w:jc w:val="center"/>
            </w:pPr>
            <w:r>
              <w:rPr>
                <w:sz w:val="18"/>
              </w:rPr>
              <w:t>-5.05%</w:t>
            </w:r>
          </w:p>
        </w:tc>
        <w:tc>
          <w:tcPr>
            <w:tcW w:type="dxa" w:w="1728"/>
          </w:tcPr>
          <w:p>
            <w:pPr>
              <w:jc w:val="center"/>
            </w:pPr>
            <w:r>
              <w:rPr>
                <w:sz w:val="18"/>
              </w:rPr>
              <w:t>-0.798</w:t>
            </w:r>
          </w:p>
        </w:tc>
        <w:tc>
          <w:tcPr>
            <w:tcW w:type="dxa" w:w="1728"/>
          </w:tcPr>
          <w:p>
            <w:pPr>
              <w:jc w:val="center"/>
            </w:pPr>
            <w:r>
              <w:rPr>
                <w:sz w:val="18"/>
              </w:rPr>
              <w:t>-20.66%</w:t>
            </w:r>
          </w:p>
        </w:tc>
        <w:tc>
          <w:tcPr>
            <w:tcW w:type="dxa" w:w="1728"/>
          </w:tcPr>
          <w:p>
            <w:pPr>
              <w:jc w:val="center"/>
            </w:pPr>
            <w:r>
              <w:rPr>
                <w:sz w:val="18"/>
              </w:rPr>
              <w:t>40.0%</w:t>
            </w:r>
          </w:p>
        </w:tc>
      </w:tr>
      <w:tr>
        <w:tc>
          <w:tcPr>
            <w:tcW w:type="dxa" w:w="1728"/>
          </w:tcPr>
          <w:p>
            <w:pPr>
              <w:jc w:val="center"/>
            </w:pPr>
            <w:r>
              <w:rPr>
                <w:sz w:val="18"/>
              </w:rPr>
              <w:t>随机森林</w:t>
            </w:r>
          </w:p>
        </w:tc>
        <w:tc>
          <w:tcPr>
            <w:tcW w:type="dxa" w:w="1728"/>
          </w:tcPr>
          <w:p>
            <w:pPr>
              <w:jc w:val="center"/>
            </w:pPr>
            <w:r>
              <w:rPr>
                <w:sz w:val="18"/>
              </w:rPr>
              <w:t>-8.56%</w:t>
            </w:r>
          </w:p>
        </w:tc>
        <w:tc>
          <w:tcPr>
            <w:tcW w:type="dxa" w:w="1728"/>
          </w:tcPr>
          <w:p>
            <w:pPr>
              <w:jc w:val="center"/>
            </w:pPr>
            <w:r>
              <w:rPr>
                <w:sz w:val="18"/>
              </w:rPr>
              <w:t>-0.931</w:t>
            </w:r>
          </w:p>
        </w:tc>
        <w:tc>
          <w:tcPr>
            <w:tcW w:type="dxa" w:w="1728"/>
          </w:tcPr>
          <w:p>
            <w:pPr>
              <w:jc w:val="center"/>
            </w:pPr>
            <w:r>
              <w:rPr>
                <w:sz w:val="18"/>
              </w:rPr>
              <w:t>-28.70%</w:t>
            </w:r>
          </w:p>
        </w:tc>
        <w:tc>
          <w:tcPr>
            <w:tcW w:type="dxa" w:w="1728"/>
          </w:tcPr>
          <w:p>
            <w:pPr>
              <w:jc w:val="center"/>
            </w:pPr>
            <w:r>
              <w:rPr>
                <w:sz w:val="18"/>
              </w:rPr>
              <w:t>37.1%</w:t>
            </w:r>
          </w:p>
        </w:tc>
      </w:tr>
      <w:tr>
        <w:tc>
          <w:tcPr>
            <w:tcW w:type="dxa" w:w="1728"/>
          </w:tcPr>
          <w:p>
            <w:pPr>
              <w:jc w:val="center"/>
            </w:pPr>
            <w:r>
              <w:rPr>
                <w:sz w:val="18"/>
              </w:rPr>
              <w:t>XGBoost</w:t>
            </w:r>
          </w:p>
        </w:tc>
        <w:tc>
          <w:tcPr>
            <w:tcW w:type="dxa" w:w="1728"/>
          </w:tcPr>
          <w:p>
            <w:pPr>
              <w:jc w:val="center"/>
            </w:pPr>
            <w:r>
              <w:rPr>
                <w:sz w:val="18"/>
              </w:rPr>
              <w:t>-5.87%</w:t>
            </w:r>
          </w:p>
        </w:tc>
        <w:tc>
          <w:tcPr>
            <w:tcW w:type="dxa" w:w="1728"/>
          </w:tcPr>
          <w:p>
            <w:pPr>
              <w:jc w:val="center"/>
            </w:pPr>
            <w:r>
              <w:rPr>
                <w:sz w:val="18"/>
              </w:rPr>
              <w:t>-0.715</w:t>
            </w:r>
          </w:p>
        </w:tc>
        <w:tc>
          <w:tcPr>
            <w:tcW w:type="dxa" w:w="1728"/>
          </w:tcPr>
          <w:p>
            <w:pPr>
              <w:jc w:val="center"/>
            </w:pPr>
            <w:r>
              <w:rPr>
                <w:sz w:val="18"/>
              </w:rPr>
              <w:t>-23.44%</w:t>
            </w:r>
          </w:p>
        </w:tc>
        <w:tc>
          <w:tcPr>
            <w:tcW w:type="dxa" w:w="1728"/>
          </w:tcPr>
          <w:p>
            <w:pPr>
              <w:jc w:val="center"/>
            </w:pPr>
            <w:r>
              <w:rPr>
                <w:sz w:val="18"/>
              </w:rPr>
              <w:t>34.3%</w:t>
            </w:r>
          </w:p>
        </w:tc>
      </w:tr>
    </w:tbl>
    <w:p/>
    <w:p>
      <w:r>
        <w:t>从表4可以得出以下关键发现：</w:t>
      </w:r>
    </w:p>
    <w:p>
      <w:r>
        <w:t>第一，传统反转策略虽然收益微薄，但至少保持了正向年化收益和超过50%的正月占比。Mom3策略以2.68%的年化收益和9.29%的最大回撤，在所有策略中表现最优。</w:t>
      </w:r>
    </w:p>
    <w:p>
      <w:r>
        <w:t>第二，机器学习策略全面跑输基线。最差的随机森林年化亏损8.56%，最大回撤28.70%，这意味着如果在测试期初投资1元，期末仅剩约0.77元。即使表现'最好'的Ridge回归也亏损4.75%。</w:t>
      </w:r>
    </w:p>
    <w:p>
      <w:r>
        <w:t>第三，线性模型（Ridge/Lasso）略优于非线性模型（RF/XGBoost），这与Gu等（2020）在美国市场的发现相悖。可能的原因是：在低信噪比的A股短期反转策略语境下，非线性模型更容易过拟合训练期噪声，而线性模型的强正则化约束反而起到了保护作用。</w:t>
      </w:r>
    </w:p>
    <w:p>
      <w:r>
        <w:drawing>
          <wp:inline xmlns:a="http://schemas.openxmlformats.org/drawingml/2006/main" xmlns:pic="http://schemas.openxmlformats.org/drawingml/2006/picture">
            <wp:extent cx="5029200" cy="2160226"/>
            <wp:docPr id="4" name="Picture 4"/>
            <wp:cNvGraphicFramePr>
              <a:graphicFrameLocks noChangeAspect="1"/>
            </wp:cNvGraphicFramePr>
            <a:graphic>
              <a:graphicData uri="http://schemas.openxmlformats.org/drawingml/2006/picture">
                <pic:pic>
                  <pic:nvPicPr>
                    <pic:cNvPr id="0" name="fig3_performance_comparison.png"/>
                    <pic:cNvPicPr/>
                  </pic:nvPicPr>
                  <pic:blipFill>
                    <a:blip r:embed="rId12"/>
                    <a:stretch>
                      <a:fillRect/>
                    </a:stretch>
                  </pic:blipFill>
                  <pic:spPr>
                    <a:xfrm>
                      <a:off x="0" y="0"/>
                      <a:ext cx="5029200" cy="2160226"/>
                    </a:xfrm>
                    <a:prstGeom prst="rect"/>
                  </pic:spPr>
                </pic:pic>
              </a:graphicData>
            </a:graphic>
          </wp:inline>
        </w:drawing>
      </w:r>
    </w:p>
    <w:p>
      <w:pPr>
        <w:jc w:val="center"/>
      </w:pPr>
      <w:r>
        <w:rPr>
          <w:b/>
          <w:sz w:val="18"/>
        </w:rPr>
        <w:t>图4  各策略绩效指标对比</w:t>
      </w:r>
    </w:p>
    <w:p>
      <w:pPr>
        <w:pStyle w:val="Heading2"/>
      </w:pPr>
      <w:r>
        <w:t>4.4 特征重要性分析</w:t>
      </w:r>
    </w:p>
    <w:p>
      <w:r>
        <w:t>图5展示了随机森林和XGBoost模型中各特征的重要性排名。两种模型给出了高度一致的特征排序：</w:t>
      </w:r>
    </w:p>
    <w:p>
      <w:pPr>
        <w:jc w:val="center"/>
      </w:pPr>
      <w:r>
        <w:rPr>
          <w:b/>
          <w:sz w:val="18"/>
        </w:rPr>
        <w:t>表5  特征重要性排名</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特征</w:t>
            </w:r>
          </w:p>
        </w:tc>
        <w:tc>
          <w:tcPr>
            <w:tcW w:type="dxa" w:w="2160"/>
          </w:tcPr>
          <w:p>
            <w:pPr>
              <w:jc w:val="center"/>
            </w:pPr>
            <w:r>
              <w:rPr>
                <w:b/>
                <w:sz w:val="18"/>
              </w:rPr>
              <w:t>随机森林重要性</w:t>
            </w:r>
          </w:p>
        </w:tc>
        <w:tc>
          <w:tcPr>
            <w:tcW w:type="dxa" w:w="2160"/>
          </w:tcPr>
          <w:p>
            <w:pPr>
              <w:jc w:val="center"/>
            </w:pPr>
            <w:r>
              <w:rPr>
                <w:b/>
                <w:sz w:val="18"/>
              </w:rPr>
              <w:t>XGBoost重要性</w:t>
            </w:r>
          </w:p>
        </w:tc>
        <w:tc>
          <w:tcPr>
            <w:tcW w:type="dxa" w:w="2160"/>
          </w:tcPr>
          <w:p>
            <w:pPr>
              <w:jc w:val="center"/>
            </w:pPr>
            <w:r>
              <w:rPr>
                <w:b/>
                <w:sz w:val="18"/>
              </w:rPr>
              <w:t>含义</w:t>
            </w:r>
          </w:p>
        </w:tc>
      </w:tr>
      <w:tr>
        <w:tc>
          <w:tcPr>
            <w:tcW w:type="dxa" w:w="2160"/>
          </w:tcPr>
          <w:p>
            <w:pPr>
              <w:jc w:val="center"/>
            </w:pPr>
            <w:r>
              <w:rPr>
                <w:sz w:val="18"/>
              </w:rPr>
              <w:t>mom6</w:t>
            </w:r>
          </w:p>
        </w:tc>
        <w:tc>
          <w:tcPr>
            <w:tcW w:type="dxa" w:w="2160"/>
          </w:tcPr>
          <w:p>
            <w:pPr>
              <w:jc w:val="center"/>
            </w:pPr>
            <w:r>
              <w:rPr>
                <w:sz w:val="18"/>
              </w:rPr>
              <w:t>0.481</w:t>
            </w:r>
          </w:p>
        </w:tc>
        <w:tc>
          <w:tcPr>
            <w:tcW w:type="dxa" w:w="2160"/>
          </w:tcPr>
          <w:p>
            <w:pPr>
              <w:jc w:val="center"/>
            </w:pPr>
            <w:r>
              <w:rPr>
                <w:sz w:val="18"/>
              </w:rPr>
              <w:t>0.426</w:t>
            </w:r>
          </w:p>
        </w:tc>
        <w:tc>
          <w:tcPr>
            <w:tcW w:type="dxa" w:w="2160"/>
          </w:tcPr>
          <w:p>
            <w:pPr>
              <w:jc w:val="center"/>
            </w:pPr>
            <w:r>
              <w:rPr>
                <w:sz w:val="18"/>
              </w:rPr>
              <w:t>6个月动量（最重要）</w:t>
            </w:r>
          </w:p>
        </w:tc>
      </w:tr>
      <w:tr>
        <w:tc>
          <w:tcPr>
            <w:tcW w:type="dxa" w:w="2160"/>
          </w:tcPr>
          <w:p>
            <w:pPr>
              <w:jc w:val="center"/>
            </w:pPr>
            <w:r>
              <w:rPr>
                <w:sz w:val="18"/>
              </w:rPr>
              <w:t>mom1</w:t>
            </w:r>
          </w:p>
        </w:tc>
        <w:tc>
          <w:tcPr>
            <w:tcW w:type="dxa" w:w="2160"/>
          </w:tcPr>
          <w:p>
            <w:pPr>
              <w:jc w:val="center"/>
            </w:pPr>
            <w:r>
              <w:rPr>
                <w:sz w:val="18"/>
              </w:rPr>
              <w:t>0.254</w:t>
            </w:r>
          </w:p>
        </w:tc>
        <w:tc>
          <w:tcPr>
            <w:tcW w:type="dxa" w:w="2160"/>
          </w:tcPr>
          <w:p>
            <w:pPr>
              <w:jc w:val="center"/>
            </w:pPr>
            <w:r>
              <w:rPr>
                <w:sz w:val="18"/>
              </w:rPr>
              <w:t>0.264</w:t>
            </w:r>
          </w:p>
        </w:tc>
        <w:tc>
          <w:tcPr>
            <w:tcW w:type="dxa" w:w="2160"/>
          </w:tcPr>
          <w:p>
            <w:pPr>
              <w:jc w:val="center"/>
            </w:pPr>
            <w:r>
              <w:rPr>
                <w:sz w:val="18"/>
              </w:rPr>
              <w:t>1个月动量</w:t>
            </w:r>
          </w:p>
        </w:tc>
      </w:tr>
      <w:tr>
        <w:tc>
          <w:tcPr>
            <w:tcW w:type="dxa" w:w="2160"/>
          </w:tcPr>
          <w:p>
            <w:pPr>
              <w:jc w:val="center"/>
            </w:pPr>
            <w:r>
              <w:rPr>
                <w:sz w:val="18"/>
              </w:rPr>
              <w:t>mom12</w:t>
            </w:r>
          </w:p>
        </w:tc>
        <w:tc>
          <w:tcPr>
            <w:tcW w:type="dxa" w:w="2160"/>
          </w:tcPr>
          <w:p>
            <w:pPr>
              <w:jc w:val="center"/>
            </w:pPr>
            <w:r>
              <w:rPr>
                <w:sz w:val="18"/>
              </w:rPr>
              <w:t>0.183</w:t>
            </w:r>
          </w:p>
        </w:tc>
        <w:tc>
          <w:tcPr>
            <w:tcW w:type="dxa" w:w="2160"/>
          </w:tcPr>
          <w:p>
            <w:pPr>
              <w:jc w:val="center"/>
            </w:pPr>
            <w:r>
              <w:rPr>
                <w:sz w:val="18"/>
              </w:rPr>
              <w:t>0.203</w:t>
            </w:r>
          </w:p>
        </w:tc>
        <w:tc>
          <w:tcPr>
            <w:tcW w:type="dxa" w:w="2160"/>
          </w:tcPr>
          <w:p>
            <w:pPr>
              <w:jc w:val="center"/>
            </w:pPr>
            <w:r>
              <w:rPr>
                <w:sz w:val="18"/>
              </w:rPr>
              <w:t>12个月动量</w:t>
            </w:r>
          </w:p>
        </w:tc>
      </w:tr>
      <w:tr>
        <w:tc>
          <w:tcPr>
            <w:tcW w:type="dxa" w:w="2160"/>
          </w:tcPr>
          <w:p>
            <w:pPr>
              <w:jc w:val="center"/>
            </w:pPr>
            <w:r>
              <w:rPr>
                <w:sz w:val="18"/>
              </w:rPr>
              <w:t>mom3</w:t>
            </w:r>
          </w:p>
        </w:tc>
        <w:tc>
          <w:tcPr>
            <w:tcW w:type="dxa" w:w="2160"/>
          </w:tcPr>
          <w:p>
            <w:pPr>
              <w:jc w:val="center"/>
            </w:pPr>
            <w:r>
              <w:rPr>
                <w:sz w:val="18"/>
              </w:rPr>
              <w:t>0.082</w:t>
            </w:r>
          </w:p>
        </w:tc>
        <w:tc>
          <w:tcPr>
            <w:tcW w:type="dxa" w:w="2160"/>
          </w:tcPr>
          <w:p>
            <w:pPr>
              <w:jc w:val="center"/>
            </w:pPr>
            <w:r>
              <w:rPr>
                <w:sz w:val="18"/>
              </w:rPr>
              <w:t>0.108</w:t>
            </w:r>
          </w:p>
        </w:tc>
        <w:tc>
          <w:tcPr>
            <w:tcW w:type="dxa" w:w="2160"/>
          </w:tcPr>
          <w:p>
            <w:pPr>
              <w:jc w:val="center"/>
            </w:pPr>
            <w:r>
              <w:rPr>
                <w:sz w:val="18"/>
              </w:rPr>
              <w:t>3个月动量</w:t>
            </w:r>
          </w:p>
        </w:tc>
      </w:tr>
      <w:tr>
        <w:tc>
          <w:tcPr>
            <w:tcW w:type="dxa" w:w="2160"/>
          </w:tcPr>
          <w:p>
            <w:pPr>
              <w:jc w:val="center"/>
            </w:pPr>
            <w:r>
              <w:rPr>
                <w:sz w:val="18"/>
              </w:rPr>
              <w:t>log_mktcap</w:t>
            </w:r>
          </w:p>
        </w:tc>
        <w:tc>
          <w:tcPr>
            <w:tcW w:type="dxa" w:w="2160"/>
          </w:tcPr>
          <w:p>
            <w:pPr>
              <w:jc w:val="center"/>
            </w:pPr>
            <w:r>
              <w:rPr>
                <w:sz w:val="18"/>
              </w:rPr>
              <w:t>0.000</w:t>
            </w:r>
          </w:p>
        </w:tc>
        <w:tc>
          <w:tcPr>
            <w:tcW w:type="dxa" w:w="2160"/>
          </w:tcPr>
          <w:p>
            <w:pPr>
              <w:jc w:val="center"/>
            </w:pPr>
            <w:r>
              <w:rPr>
                <w:sz w:val="18"/>
              </w:rPr>
              <w:t>0.000</w:t>
            </w:r>
          </w:p>
        </w:tc>
        <w:tc>
          <w:tcPr>
            <w:tcW w:type="dxa" w:w="2160"/>
          </w:tcPr>
          <w:p>
            <w:pPr>
              <w:jc w:val="center"/>
            </w:pPr>
            <w:r>
              <w:rPr>
                <w:sz w:val="18"/>
              </w:rPr>
              <w:t>对数市值（无贡献）</w:t>
            </w:r>
          </w:p>
        </w:tc>
      </w:tr>
    </w:tbl>
    <w:p/>
    <w:p>
      <w:r>
        <w:t>表5揭示了一个重要发现：6个月动量（mom6）是两种模型中最具预测力的特征，重要性接近50%，远超其他特征。1个月动量（mom1）排名第二，12个月动量（mom12）排名第三，3个月动量（mom3）最弱。最引人注目的是，对数市值（log_mktcap）在两种模型中的重要性均为零-模型完全忽略了规模因子。</w:t>
      </w:r>
    </w:p>
    <w:p>
      <w:r>
        <w:t>mom6的高重要性可以从两个角度理解：一方面，6个月窗口处于动量和反转的过渡区间，可能同时包含了中期动量持续性和中期反转信号，信息量最为丰富；另一方面，mom6的计算窗口较长，均值效应使其噪声低于mom1和mom3，信号更加稳定。然而，尽管mom6在特征重要性上遥遥领先，模型在测试期的实际表现却很差，这暗示训练期学到的特征-收益关系在样本外并不稳定。</w:t>
      </w:r>
    </w:p>
    <w:p>
      <w:r>
        <w:drawing>
          <wp:inline xmlns:a="http://schemas.openxmlformats.org/drawingml/2006/main" xmlns:pic="http://schemas.openxmlformats.org/drawingml/2006/picture">
            <wp:extent cx="5029200" cy="3102401"/>
            <wp:docPr id="5" name="Picture 5"/>
            <wp:cNvGraphicFramePr>
              <a:graphicFrameLocks noChangeAspect="1"/>
            </wp:cNvGraphicFramePr>
            <a:graphic>
              <a:graphicData uri="http://schemas.openxmlformats.org/drawingml/2006/picture">
                <pic:pic>
                  <pic:nvPicPr>
                    <pic:cNvPr id="0" name="fig4_feature_importance.png"/>
                    <pic:cNvPicPr/>
                  </pic:nvPicPr>
                  <pic:blipFill>
                    <a:blip r:embed="rId13"/>
                    <a:stretch>
                      <a:fillRect/>
                    </a:stretch>
                  </pic:blipFill>
                  <pic:spPr>
                    <a:xfrm>
                      <a:off x="0" y="0"/>
                      <a:ext cx="5029200" cy="3102401"/>
                    </a:xfrm>
                    <a:prstGeom prst="rect"/>
                  </pic:spPr>
                </pic:pic>
              </a:graphicData>
            </a:graphic>
          </wp:inline>
        </w:drawing>
      </w:r>
    </w:p>
    <w:p>
      <w:pPr>
        <w:jc w:val="center"/>
      </w:pPr>
      <w:r>
        <w:rPr>
          <w:b/>
          <w:sz w:val="18"/>
        </w:rPr>
        <w:t>图5  随机森林与XGBoost特征重要性对比</w:t>
      </w:r>
    </w:p>
    <w:p>
      <w:pPr>
        <w:pStyle w:val="Heading1"/>
      </w:pPr>
      <w:r>
        <w:t>五、Fama-French三因子归因</w:t>
      </w:r>
    </w:p>
    <w:p>
      <w:r>
        <w:t>表6报告了各策略对Fama-French三因子模型的回归结果。基线策略使用全样本（132个月）进行回归，机器学习策略使用测试期（35个月）进行回归。</w:t>
      </w:r>
    </w:p>
    <w:p>
      <w:pPr>
        <w:jc w:val="center"/>
      </w:pPr>
      <w:r>
        <w:rPr>
          <w:b/>
          <w:sz w:val="18"/>
        </w:rPr>
        <w:t>表6  Fama-French三因子归因结果</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Pr>
                <w:b/>
                <w:sz w:val="18"/>
              </w:rPr>
              <w:t>策略</w:t>
            </w:r>
          </w:p>
        </w:tc>
        <w:tc>
          <w:tcPr>
            <w:tcW w:type="dxa" w:w="864"/>
          </w:tcPr>
          <w:p>
            <w:pPr>
              <w:jc w:val="center"/>
            </w:pPr>
            <w:r>
              <w:rPr>
                <w:b/>
                <w:sz w:val="18"/>
              </w:rPr>
              <w:t>Alpha(年化)</w:t>
            </w:r>
          </w:p>
        </w:tc>
        <w:tc>
          <w:tcPr>
            <w:tcW w:type="dxa" w:w="864"/>
          </w:tcPr>
          <w:p>
            <w:pPr>
              <w:jc w:val="center"/>
            </w:pPr>
            <w:r>
              <w:rPr>
                <w:b/>
                <w:sz w:val="18"/>
              </w:rPr>
              <w:t>Alpha p值</w:t>
            </w:r>
          </w:p>
        </w:tc>
        <w:tc>
          <w:tcPr>
            <w:tcW w:type="dxa" w:w="864"/>
          </w:tcPr>
          <w:p>
            <w:pPr>
              <w:jc w:val="center"/>
            </w:pPr>
            <w:r>
              <w:rPr>
                <w:b/>
                <w:sz w:val="18"/>
              </w:rPr>
              <w:t>MKT β</w:t>
            </w:r>
          </w:p>
        </w:tc>
        <w:tc>
          <w:tcPr>
            <w:tcW w:type="dxa" w:w="864"/>
          </w:tcPr>
          <w:p>
            <w:pPr>
              <w:jc w:val="center"/>
            </w:pPr>
            <w:r>
              <w:rPr>
                <w:b/>
                <w:sz w:val="18"/>
              </w:rPr>
              <w:t>MKT p值</w:t>
            </w:r>
          </w:p>
        </w:tc>
        <w:tc>
          <w:tcPr>
            <w:tcW w:type="dxa" w:w="864"/>
          </w:tcPr>
          <w:p>
            <w:pPr>
              <w:jc w:val="center"/>
            </w:pPr>
            <w:r>
              <w:rPr>
                <w:b/>
                <w:sz w:val="18"/>
              </w:rPr>
              <w:t>SMB β</w:t>
            </w:r>
          </w:p>
        </w:tc>
        <w:tc>
          <w:tcPr>
            <w:tcW w:type="dxa" w:w="864"/>
          </w:tcPr>
          <w:p>
            <w:pPr>
              <w:jc w:val="center"/>
            </w:pPr>
            <w:r>
              <w:rPr>
                <w:b/>
                <w:sz w:val="18"/>
              </w:rPr>
              <w:t>SMB p值</w:t>
            </w:r>
          </w:p>
        </w:tc>
        <w:tc>
          <w:tcPr>
            <w:tcW w:type="dxa" w:w="864"/>
          </w:tcPr>
          <w:p>
            <w:pPr>
              <w:jc w:val="center"/>
            </w:pPr>
            <w:r>
              <w:rPr>
                <w:b/>
                <w:sz w:val="18"/>
              </w:rPr>
              <w:t>HML β</w:t>
            </w:r>
          </w:p>
        </w:tc>
        <w:tc>
          <w:tcPr>
            <w:tcW w:type="dxa" w:w="864"/>
          </w:tcPr>
          <w:p>
            <w:pPr>
              <w:jc w:val="center"/>
            </w:pPr>
            <w:r>
              <w:rPr>
                <w:b/>
                <w:sz w:val="18"/>
              </w:rPr>
              <w:t>HML p值</w:t>
            </w:r>
          </w:p>
        </w:tc>
        <w:tc>
          <w:tcPr>
            <w:tcW w:type="dxa" w:w="864"/>
          </w:tcPr>
          <w:p>
            <w:pPr>
              <w:jc w:val="center"/>
            </w:pPr>
            <w:r>
              <w:rPr>
                <w:b/>
                <w:sz w:val="18"/>
              </w:rPr>
              <w:t>R²</w:t>
            </w:r>
          </w:p>
        </w:tc>
      </w:tr>
      <w:tr>
        <w:tc>
          <w:tcPr>
            <w:tcW w:type="dxa" w:w="864"/>
          </w:tcPr>
          <w:p>
            <w:pPr>
              <w:jc w:val="center"/>
            </w:pPr>
            <w:r>
              <w:rPr>
                <w:sz w:val="18"/>
              </w:rPr>
              <w:t>反转-Mom1</w:t>
            </w:r>
          </w:p>
        </w:tc>
        <w:tc>
          <w:tcPr>
            <w:tcW w:type="dxa" w:w="864"/>
          </w:tcPr>
          <w:p>
            <w:pPr>
              <w:jc w:val="center"/>
            </w:pPr>
            <w:r>
              <w:rPr>
                <w:sz w:val="18"/>
              </w:rPr>
              <w:t>-11.79%</w:t>
            </w:r>
          </w:p>
        </w:tc>
        <w:tc>
          <w:tcPr>
            <w:tcW w:type="dxa" w:w="864"/>
          </w:tcPr>
          <w:p>
            <w:pPr>
              <w:jc w:val="center"/>
            </w:pPr>
            <w:r>
              <w:rPr>
                <w:sz w:val="18"/>
              </w:rPr>
              <w:t>0.259</w:t>
            </w:r>
          </w:p>
        </w:tc>
        <w:tc>
          <w:tcPr>
            <w:tcW w:type="dxa" w:w="864"/>
          </w:tcPr>
          <w:p>
            <w:pPr>
              <w:jc w:val="center"/>
            </w:pPr>
            <w:r>
              <w:rPr>
                <w:sz w:val="18"/>
              </w:rPr>
              <w:t>-0.134</w:t>
            </w:r>
          </w:p>
        </w:tc>
        <w:tc>
          <w:tcPr>
            <w:tcW w:type="dxa" w:w="864"/>
          </w:tcPr>
          <w:p>
            <w:pPr>
              <w:jc w:val="center"/>
            </w:pPr>
            <w:r>
              <w:rPr>
                <w:sz w:val="18"/>
              </w:rPr>
              <w:t>0.406</w:t>
            </w:r>
          </w:p>
        </w:tc>
        <w:tc>
          <w:tcPr>
            <w:tcW w:type="dxa" w:w="864"/>
          </w:tcPr>
          <w:p>
            <w:pPr>
              <w:jc w:val="center"/>
            </w:pPr>
            <w:r>
              <w:rPr>
                <w:sz w:val="18"/>
              </w:rPr>
              <w:t>0.052</w:t>
            </w:r>
          </w:p>
        </w:tc>
        <w:tc>
          <w:tcPr>
            <w:tcW w:type="dxa" w:w="864"/>
          </w:tcPr>
          <w:p>
            <w:pPr>
              <w:jc w:val="center"/>
            </w:pPr>
            <w:r>
              <w:rPr>
                <w:sz w:val="18"/>
              </w:rPr>
              <w:t>0.869</w:t>
            </w:r>
          </w:p>
        </w:tc>
        <w:tc>
          <w:tcPr>
            <w:tcW w:type="dxa" w:w="864"/>
          </w:tcPr>
          <w:p>
            <w:pPr>
              <w:jc w:val="center"/>
            </w:pPr>
            <w:r>
              <w:rPr>
                <w:sz w:val="18"/>
              </w:rPr>
              <w:t>0.489</w:t>
            </w:r>
          </w:p>
        </w:tc>
        <w:tc>
          <w:tcPr>
            <w:tcW w:type="dxa" w:w="864"/>
          </w:tcPr>
          <w:p>
            <w:pPr>
              <w:jc w:val="center"/>
            </w:pPr>
            <w:r>
              <w:rPr>
                <w:sz w:val="18"/>
              </w:rPr>
              <w:t>0.033*</w:t>
            </w:r>
          </w:p>
        </w:tc>
        <w:tc>
          <w:tcPr>
            <w:tcW w:type="dxa" w:w="864"/>
          </w:tcPr>
          <w:p>
            <w:pPr>
              <w:jc w:val="center"/>
            </w:pPr>
            <w:r>
              <w:rPr>
                <w:sz w:val="18"/>
              </w:rPr>
              <w:t>0.334</w:t>
            </w:r>
          </w:p>
        </w:tc>
      </w:tr>
      <w:tr>
        <w:tc>
          <w:tcPr>
            <w:tcW w:type="dxa" w:w="864"/>
          </w:tcPr>
          <w:p>
            <w:pPr>
              <w:jc w:val="center"/>
            </w:pPr>
            <w:r>
              <w:rPr>
                <w:sz w:val="18"/>
              </w:rPr>
              <w:t>反转-Mom3</w:t>
            </w:r>
          </w:p>
        </w:tc>
        <w:tc>
          <w:tcPr>
            <w:tcW w:type="dxa" w:w="864"/>
          </w:tcPr>
          <w:p>
            <w:pPr>
              <w:jc w:val="center"/>
            </w:pPr>
            <w:r>
              <w:rPr>
                <w:sz w:val="18"/>
              </w:rPr>
              <w:t>-18.97%</w:t>
            </w:r>
          </w:p>
        </w:tc>
        <w:tc>
          <w:tcPr>
            <w:tcW w:type="dxa" w:w="864"/>
          </w:tcPr>
          <w:p>
            <w:pPr>
              <w:jc w:val="center"/>
            </w:pPr>
            <w:r>
              <w:rPr>
                <w:sz w:val="18"/>
              </w:rPr>
              <w:t>0.132</w:t>
            </w:r>
          </w:p>
        </w:tc>
        <w:tc>
          <w:tcPr>
            <w:tcW w:type="dxa" w:w="864"/>
          </w:tcPr>
          <w:p>
            <w:pPr>
              <w:jc w:val="center"/>
            </w:pPr>
            <w:r>
              <w:rPr>
                <w:sz w:val="18"/>
              </w:rPr>
              <w:t>-0.253</w:t>
            </w:r>
          </w:p>
        </w:tc>
        <w:tc>
          <w:tcPr>
            <w:tcW w:type="dxa" w:w="864"/>
          </w:tcPr>
          <w:p>
            <w:pPr>
              <w:jc w:val="center"/>
            </w:pPr>
            <w:r>
              <w:rPr>
                <w:sz w:val="18"/>
              </w:rPr>
              <w:t>0.019**</w:t>
            </w:r>
          </w:p>
        </w:tc>
        <w:tc>
          <w:tcPr>
            <w:tcW w:type="dxa" w:w="864"/>
          </w:tcPr>
          <w:p>
            <w:pPr>
              <w:jc w:val="center"/>
            </w:pPr>
            <w:r>
              <w:rPr>
                <w:sz w:val="18"/>
              </w:rPr>
              <w:t>0.108</w:t>
            </w:r>
          </w:p>
        </w:tc>
        <w:tc>
          <w:tcPr>
            <w:tcW w:type="dxa" w:w="864"/>
          </w:tcPr>
          <w:p>
            <w:pPr>
              <w:jc w:val="center"/>
            </w:pPr>
            <w:r>
              <w:rPr>
                <w:sz w:val="18"/>
              </w:rPr>
              <w:t>0.756</w:t>
            </w:r>
          </w:p>
        </w:tc>
        <w:tc>
          <w:tcPr>
            <w:tcW w:type="dxa" w:w="864"/>
          </w:tcPr>
          <w:p>
            <w:pPr>
              <w:jc w:val="center"/>
            </w:pPr>
            <w:r>
              <w:rPr>
                <w:sz w:val="18"/>
              </w:rPr>
              <w:t>0.479</w:t>
            </w:r>
          </w:p>
        </w:tc>
        <w:tc>
          <w:tcPr>
            <w:tcW w:type="dxa" w:w="864"/>
          </w:tcPr>
          <w:p>
            <w:pPr>
              <w:jc w:val="center"/>
            </w:pPr>
            <w:r>
              <w:rPr>
                <w:sz w:val="18"/>
              </w:rPr>
              <w:t>0.029*</w:t>
            </w:r>
          </w:p>
        </w:tc>
        <w:tc>
          <w:tcPr>
            <w:tcW w:type="dxa" w:w="864"/>
          </w:tcPr>
          <w:p>
            <w:pPr>
              <w:jc w:val="center"/>
            </w:pPr>
            <w:r>
              <w:rPr>
                <w:sz w:val="18"/>
              </w:rPr>
              <w:t>0.362</w:t>
            </w:r>
          </w:p>
        </w:tc>
      </w:tr>
      <w:tr>
        <w:tc>
          <w:tcPr>
            <w:tcW w:type="dxa" w:w="864"/>
          </w:tcPr>
          <w:p>
            <w:pPr>
              <w:jc w:val="center"/>
            </w:pPr>
            <w:r>
              <w:rPr>
                <w:sz w:val="18"/>
              </w:rPr>
              <w:t>反转-Mom6</w:t>
            </w:r>
          </w:p>
        </w:tc>
        <w:tc>
          <w:tcPr>
            <w:tcW w:type="dxa" w:w="864"/>
          </w:tcPr>
          <w:p>
            <w:pPr>
              <w:jc w:val="center"/>
            </w:pPr>
            <w:r>
              <w:rPr>
                <w:sz w:val="18"/>
              </w:rPr>
              <w:t>-23.04%</w:t>
            </w:r>
          </w:p>
        </w:tc>
        <w:tc>
          <w:tcPr>
            <w:tcW w:type="dxa" w:w="864"/>
          </w:tcPr>
          <w:p>
            <w:pPr>
              <w:jc w:val="center"/>
            </w:pPr>
            <w:r>
              <w:rPr>
                <w:sz w:val="18"/>
              </w:rPr>
              <w:t>0.113</w:t>
            </w:r>
          </w:p>
        </w:tc>
        <w:tc>
          <w:tcPr>
            <w:tcW w:type="dxa" w:w="864"/>
          </w:tcPr>
          <w:p>
            <w:pPr>
              <w:jc w:val="center"/>
            </w:pPr>
            <w:r>
              <w:rPr>
                <w:sz w:val="18"/>
              </w:rPr>
              <w:t>-0.288</w:t>
            </w:r>
          </w:p>
        </w:tc>
        <w:tc>
          <w:tcPr>
            <w:tcW w:type="dxa" w:w="864"/>
          </w:tcPr>
          <w:p>
            <w:pPr>
              <w:jc w:val="center"/>
            </w:pPr>
            <w:r>
              <w:rPr>
                <w:sz w:val="18"/>
              </w:rPr>
              <w:t>0.111</w:t>
            </w:r>
          </w:p>
        </w:tc>
        <w:tc>
          <w:tcPr>
            <w:tcW w:type="dxa" w:w="864"/>
          </w:tcPr>
          <w:p>
            <w:pPr>
              <w:jc w:val="center"/>
            </w:pPr>
            <w:r>
              <w:rPr>
                <w:sz w:val="18"/>
              </w:rPr>
              <w:t>0.249</w:t>
            </w:r>
          </w:p>
        </w:tc>
        <w:tc>
          <w:tcPr>
            <w:tcW w:type="dxa" w:w="864"/>
          </w:tcPr>
          <w:p>
            <w:pPr>
              <w:jc w:val="center"/>
            </w:pPr>
            <w:r>
              <w:rPr>
                <w:sz w:val="18"/>
              </w:rPr>
              <w:t>0.526</w:t>
            </w:r>
          </w:p>
        </w:tc>
        <w:tc>
          <w:tcPr>
            <w:tcW w:type="dxa" w:w="864"/>
          </w:tcPr>
          <w:p>
            <w:pPr>
              <w:jc w:val="center"/>
            </w:pPr>
            <w:r>
              <w:rPr>
                <w:sz w:val="18"/>
              </w:rPr>
              <w:t>0.384</w:t>
            </w:r>
          </w:p>
        </w:tc>
        <w:tc>
          <w:tcPr>
            <w:tcW w:type="dxa" w:w="864"/>
          </w:tcPr>
          <w:p>
            <w:pPr>
              <w:jc w:val="center"/>
            </w:pPr>
            <w:r>
              <w:rPr>
                <w:sz w:val="18"/>
              </w:rPr>
              <w:t>0.104</w:t>
            </w:r>
          </w:p>
        </w:tc>
        <w:tc>
          <w:tcPr>
            <w:tcW w:type="dxa" w:w="864"/>
          </w:tcPr>
          <w:p>
            <w:pPr>
              <w:jc w:val="center"/>
            </w:pPr>
            <w:r>
              <w:rPr>
                <w:sz w:val="18"/>
              </w:rPr>
              <w:t>0.294</w:t>
            </w:r>
          </w:p>
        </w:tc>
      </w:tr>
      <w:tr>
        <w:tc>
          <w:tcPr>
            <w:tcW w:type="dxa" w:w="864"/>
          </w:tcPr>
          <w:p>
            <w:pPr>
              <w:jc w:val="center"/>
            </w:pPr>
            <w:r>
              <w:rPr>
                <w:sz w:val="18"/>
              </w:rPr>
              <w:t>Ridge</w:t>
            </w:r>
          </w:p>
        </w:tc>
        <w:tc>
          <w:tcPr>
            <w:tcW w:type="dxa" w:w="864"/>
          </w:tcPr>
          <w:p>
            <w:pPr>
              <w:jc w:val="center"/>
            </w:pPr>
            <w:r>
              <w:rPr>
                <w:sz w:val="18"/>
              </w:rPr>
              <w:t>-9.56%</w:t>
            </w:r>
          </w:p>
        </w:tc>
        <w:tc>
          <w:tcPr>
            <w:tcW w:type="dxa" w:w="864"/>
          </w:tcPr>
          <w:p>
            <w:pPr>
              <w:jc w:val="center"/>
            </w:pPr>
            <w:r>
              <w:rPr>
                <w:sz w:val="18"/>
              </w:rPr>
              <w:t>0.126</w:t>
            </w:r>
          </w:p>
        </w:tc>
        <w:tc>
          <w:tcPr>
            <w:tcW w:type="dxa" w:w="864"/>
          </w:tcPr>
          <w:p>
            <w:pPr>
              <w:jc w:val="center"/>
            </w:pPr>
            <w:r>
              <w:rPr>
                <w:sz w:val="18"/>
              </w:rPr>
              <w:t>0.004</w:t>
            </w:r>
          </w:p>
        </w:tc>
        <w:tc>
          <w:tcPr>
            <w:tcW w:type="dxa" w:w="864"/>
          </w:tcPr>
          <w:p>
            <w:pPr>
              <w:jc w:val="center"/>
            </w:pPr>
            <w:r>
              <w:rPr>
                <w:sz w:val="18"/>
              </w:rPr>
              <w:t>0.943</w:t>
            </w:r>
          </w:p>
        </w:tc>
        <w:tc>
          <w:tcPr>
            <w:tcW w:type="dxa" w:w="864"/>
          </w:tcPr>
          <w:p>
            <w:pPr>
              <w:jc w:val="center"/>
            </w:pPr>
            <w:r>
              <w:rPr>
                <w:sz w:val="18"/>
              </w:rPr>
              <w:t>-0.089</w:t>
            </w:r>
          </w:p>
        </w:tc>
        <w:tc>
          <w:tcPr>
            <w:tcW w:type="dxa" w:w="864"/>
          </w:tcPr>
          <w:p>
            <w:pPr>
              <w:jc w:val="center"/>
            </w:pPr>
            <w:r>
              <w:rPr>
                <w:sz w:val="18"/>
              </w:rPr>
              <w:t>0.482</w:t>
            </w:r>
          </w:p>
        </w:tc>
        <w:tc>
          <w:tcPr>
            <w:tcW w:type="dxa" w:w="864"/>
          </w:tcPr>
          <w:p>
            <w:pPr>
              <w:jc w:val="center"/>
            </w:pPr>
            <w:r>
              <w:rPr>
                <w:sz w:val="18"/>
              </w:rPr>
              <w:t>0.082</w:t>
            </w:r>
          </w:p>
        </w:tc>
        <w:tc>
          <w:tcPr>
            <w:tcW w:type="dxa" w:w="864"/>
          </w:tcPr>
          <w:p>
            <w:pPr>
              <w:jc w:val="center"/>
            </w:pPr>
            <w:r>
              <w:rPr>
                <w:sz w:val="18"/>
              </w:rPr>
              <w:t>0.389</w:t>
            </w:r>
          </w:p>
        </w:tc>
        <w:tc>
          <w:tcPr>
            <w:tcW w:type="dxa" w:w="864"/>
          </w:tcPr>
          <w:p>
            <w:pPr>
              <w:jc w:val="center"/>
            </w:pPr>
            <w:r>
              <w:rPr>
                <w:sz w:val="18"/>
              </w:rPr>
              <w:t>0.024</w:t>
            </w:r>
          </w:p>
        </w:tc>
      </w:tr>
      <w:tr>
        <w:tc>
          <w:tcPr>
            <w:tcW w:type="dxa" w:w="864"/>
          </w:tcPr>
          <w:p>
            <w:pPr>
              <w:jc w:val="center"/>
            </w:pPr>
            <w:r>
              <w:rPr>
                <w:sz w:val="18"/>
              </w:rPr>
              <w:t>Lasso</w:t>
            </w:r>
          </w:p>
        </w:tc>
        <w:tc>
          <w:tcPr>
            <w:tcW w:type="dxa" w:w="864"/>
          </w:tcPr>
          <w:p>
            <w:pPr>
              <w:jc w:val="center"/>
            </w:pPr>
            <w:r>
              <w:rPr>
                <w:sz w:val="18"/>
              </w:rPr>
              <w:t>-9.91%</w:t>
            </w:r>
          </w:p>
        </w:tc>
        <w:tc>
          <w:tcPr>
            <w:tcW w:type="dxa" w:w="864"/>
          </w:tcPr>
          <w:p>
            <w:pPr>
              <w:jc w:val="center"/>
            </w:pPr>
            <w:r>
              <w:rPr>
                <w:sz w:val="18"/>
              </w:rPr>
              <w:t>0.120</w:t>
            </w:r>
          </w:p>
        </w:tc>
        <w:tc>
          <w:tcPr>
            <w:tcW w:type="dxa" w:w="864"/>
          </w:tcPr>
          <w:p>
            <w:pPr>
              <w:jc w:val="center"/>
            </w:pPr>
            <w:r>
              <w:rPr>
                <w:sz w:val="18"/>
              </w:rPr>
              <w:t>0.002</w:t>
            </w:r>
          </w:p>
        </w:tc>
        <w:tc>
          <w:tcPr>
            <w:tcW w:type="dxa" w:w="864"/>
          </w:tcPr>
          <w:p>
            <w:pPr>
              <w:jc w:val="center"/>
            </w:pPr>
            <w:r>
              <w:rPr>
                <w:sz w:val="18"/>
              </w:rPr>
              <w:t>0.968</w:t>
            </w:r>
          </w:p>
        </w:tc>
        <w:tc>
          <w:tcPr>
            <w:tcW w:type="dxa" w:w="864"/>
          </w:tcPr>
          <w:p>
            <w:pPr>
              <w:jc w:val="center"/>
            </w:pPr>
            <w:r>
              <w:rPr>
                <w:sz w:val="18"/>
              </w:rPr>
              <w:t>-0.096</w:t>
            </w:r>
          </w:p>
        </w:tc>
        <w:tc>
          <w:tcPr>
            <w:tcW w:type="dxa" w:w="864"/>
          </w:tcPr>
          <w:p>
            <w:pPr>
              <w:jc w:val="center"/>
            </w:pPr>
            <w:r>
              <w:rPr>
                <w:sz w:val="18"/>
              </w:rPr>
              <w:t>0.464</w:t>
            </w:r>
          </w:p>
        </w:tc>
        <w:tc>
          <w:tcPr>
            <w:tcW w:type="dxa" w:w="864"/>
          </w:tcPr>
          <w:p>
            <w:pPr>
              <w:jc w:val="center"/>
            </w:pPr>
            <w:r>
              <w:rPr>
                <w:sz w:val="18"/>
              </w:rPr>
              <w:t>0.082</w:t>
            </w:r>
          </w:p>
        </w:tc>
        <w:tc>
          <w:tcPr>
            <w:tcW w:type="dxa" w:w="864"/>
          </w:tcPr>
          <w:p>
            <w:pPr>
              <w:jc w:val="center"/>
            </w:pPr>
            <w:r>
              <w:rPr>
                <w:sz w:val="18"/>
              </w:rPr>
              <w:t>0.403</w:t>
            </w:r>
          </w:p>
        </w:tc>
        <w:tc>
          <w:tcPr>
            <w:tcW w:type="dxa" w:w="864"/>
          </w:tcPr>
          <w:p>
            <w:pPr>
              <w:jc w:val="center"/>
            </w:pPr>
            <w:r>
              <w:rPr>
                <w:sz w:val="18"/>
              </w:rPr>
              <w:t>0.026</w:t>
            </w:r>
          </w:p>
        </w:tc>
      </w:tr>
      <w:tr>
        <w:tc>
          <w:tcPr>
            <w:tcW w:type="dxa" w:w="864"/>
          </w:tcPr>
          <w:p>
            <w:pPr>
              <w:jc w:val="center"/>
            </w:pPr>
            <w:r>
              <w:rPr>
                <w:sz w:val="18"/>
              </w:rPr>
              <w:t>随机森林</w:t>
            </w:r>
          </w:p>
        </w:tc>
        <w:tc>
          <w:tcPr>
            <w:tcW w:type="dxa" w:w="864"/>
          </w:tcPr>
          <w:p>
            <w:pPr>
              <w:jc w:val="center"/>
            </w:pPr>
            <w:r>
              <w:rPr>
                <w:sz w:val="18"/>
              </w:rPr>
              <w:t>-16.17%</w:t>
            </w:r>
          </w:p>
        </w:tc>
        <w:tc>
          <w:tcPr>
            <w:tcW w:type="dxa" w:w="864"/>
          </w:tcPr>
          <w:p>
            <w:pPr>
              <w:jc w:val="center"/>
            </w:pPr>
            <w:r>
              <w:rPr>
                <w:sz w:val="18"/>
              </w:rPr>
              <w:t>0.056</w:t>
            </w:r>
          </w:p>
        </w:tc>
        <w:tc>
          <w:tcPr>
            <w:tcW w:type="dxa" w:w="864"/>
          </w:tcPr>
          <w:p>
            <w:pPr>
              <w:jc w:val="center"/>
            </w:pPr>
            <w:r>
              <w:rPr>
                <w:sz w:val="18"/>
              </w:rPr>
              <w:t>0.017</w:t>
            </w:r>
          </w:p>
        </w:tc>
        <w:tc>
          <w:tcPr>
            <w:tcW w:type="dxa" w:w="864"/>
          </w:tcPr>
          <w:p>
            <w:pPr>
              <w:jc w:val="center"/>
            </w:pPr>
            <w:r>
              <w:rPr>
                <w:sz w:val="18"/>
              </w:rPr>
              <w:t>0.847</w:t>
            </w:r>
          </w:p>
        </w:tc>
        <w:tc>
          <w:tcPr>
            <w:tcW w:type="dxa" w:w="864"/>
          </w:tcPr>
          <w:p>
            <w:pPr>
              <w:jc w:val="center"/>
            </w:pPr>
            <w:r>
              <w:rPr>
                <w:sz w:val="18"/>
              </w:rPr>
              <w:t>-0.154</w:t>
            </w:r>
          </w:p>
        </w:tc>
        <w:tc>
          <w:tcPr>
            <w:tcW w:type="dxa" w:w="864"/>
          </w:tcPr>
          <w:p>
            <w:pPr>
              <w:jc w:val="center"/>
            </w:pPr>
            <w:r>
              <w:rPr>
                <w:sz w:val="18"/>
              </w:rPr>
              <w:t>0.182</w:t>
            </w:r>
          </w:p>
        </w:tc>
        <w:tc>
          <w:tcPr>
            <w:tcW w:type="dxa" w:w="864"/>
          </w:tcPr>
          <w:p>
            <w:pPr>
              <w:jc w:val="center"/>
            </w:pPr>
            <w:r>
              <w:rPr>
                <w:sz w:val="18"/>
              </w:rPr>
              <w:t>0.247</w:t>
            </w:r>
          </w:p>
        </w:tc>
        <w:tc>
          <w:tcPr>
            <w:tcW w:type="dxa" w:w="864"/>
          </w:tcPr>
          <w:p>
            <w:pPr>
              <w:jc w:val="center"/>
            </w:pPr>
            <w:r>
              <w:rPr>
                <w:sz w:val="18"/>
              </w:rPr>
              <w:t>0.211</w:t>
            </w:r>
          </w:p>
        </w:tc>
        <w:tc>
          <w:tcPr>
            <w:tcW w:type="dxa" w:w="864"/>
          </w:tcPr>
          <w:p>
            <w:pPr>
              <w:jc w:val="center"/>
            </w:pPr>
            <w:r>
              <w:rPr>
                <w:sz w:val="18"/>
              </w:rPr>
              <w:t>0.081</w:t>
            </w:r>
          </w:p>
        </w:tc>
      </w:tr>
      <w:tr>
        <w:tc>
          <w:tcPr>
            <w:tcW w:type="dxa" w:w="864"/>
          </w:tcPr>
          <w:p>
            <w:pPr>
              <w:jc w:val="center"/>
            </w:pPr>
            <w:r>
              <w:rPr>
                <w:sz w:val="18"/>
              </w:rPr>
              <w:t>XGBoost</w:t>
            </w:r>
          </w:p>
        </w:tc>
        <w:tc>
          <w:tcPr>
            <w:tcW w:type="dxa" w:w="864"/>
          </w:tcPr>
          <w:p>
            <w:pPr>
              <w:jc w:val="center"/>
            </w:pPr>
            <w:r>
              <w:rPr>
                <w:sz w:val="18"/>
              </w:rPr>
              <w:t>-14.09%</w:t>
            </w:r>
          </w:p>
        </w:tc>
        <w:tc>
          <w:tcPr>
            <w:tcW w:type="dxa" w:w="864"/>
          </w:tcPr>
          <w:p>
            <w:pPr>
              <w:jc w:val="center"/>
            </w:pPr>
            <w:r>
              <w:rPr>
                <w:sz w:val="18"/>
              </w:rPr>
              <w:t>0.096</w:t>
            </w:r>
          </w:p>
        </w:tc>
        <w:tc>
          <w:tcPr>
            <w:tcW w:type="dxa" w:w="864"/>
          </w:tcPr>
          <w:p>
            <w:pPr>
              <w:jc w:val="center"/>
            </w:pPr>
            <w:r>
              <w:rPr>
                <w:sz w:val="18"/>
              </w:rPr>
              <w:t>0.027</w:t>
            </w:r>
          </w:p>
        </w:tc>
        <w:tc>
          <w:tcPr>
            <w:tcW w:type="dxa" w:w="864"/>
          </w:tcPr>
          <w:p>
            <w:pPr>
              <w:jc w:val="center"/>
            </w:pPr>
            <w:r>
              <w:rPr>
                <w:sz w:val="18"/>
              </w:rPr>
              <w:t>0.776</w:t>
            </w:r>
          </w:p>
        </w:tc>
        <w:tc>
          <w:tcPr>
            <w:tcW w:type="dxa" w:w="864"/>
          </w:tcPr>
          <w:p>
            <w:pPr>
              <w:jc w:val="center"/>
            </w:pPr>
            <w:r>
              <w:rPr>
                <w:sz w:val="18"/>
              </w:rPr>
              <w:t>-0.195</w:t>
            </w:r>
          </w:p>
        </w:tc>
        <w:tc>
          <w:tcPr>
            <w:tcW w:type="dxa" w:w="864"/>
          </w:tcPr>
          <w:p>
            <w:pPr>
              <w:jc w:val="center"/>
            </w:pPr>
            <w:r>
              <w:rPr>
                <w:sz w:val="18"/>
              </w:rPr>
              <w:t>0.131</w:t>
            </w:r>
          </w:p>
        </w:tc>
        <w:tc>
          <w:tcPr>
            <w:tcW w:type="dxa" w:w="864"/>
          </w:tcPr>
          <w:p>
            <w:pPr>
              <w:jc w:val="center"/>
            </w:pPr>
            <w:r>
              <w:rPr>
                <w:sz w:val="18"/>
              </w:rPr>
              <w:t>0.256</w:t>
            </w:r>
          </w:p>
        </w:tc>
        <w:tc>
          <w:tcPr>
            <w:tcW w:type="dxa" w:w="864"/>
          </w:tcPr>
          <w:p>
            <w:pPr>
              <w:jc w:val="center"/>
            </w:pPr>
            <w:r>
              <w:rPr>
                <w:sz w:val="18"/>
              </w:rPr>
              <w:t>0.157</w:t>
            </w:r>
          </w:p>
        </w:tc>
        <w:tc>
          <w:tcPr>
            <w:tcW w:type="dxa" w:w="864"/>
          </w:tcPr>
          <w:p>
            <w:pPr>
              <w:jc w:val="center"/>
            </w:pPr>
            <w:r>
              <w:rPr>
                <w:sz w:val="18"/>
              </w:rPr>
              <w:t>0.104</w:t>
            </w:r>
          </w:p>
        </w:tc>
      </w:tr>
    </w:tbl>
    <w:p/>
    <w:p>
      <w:r>
        <w:t>* p&lt;0.10, ** p&lt;0.05</w:t>
      </w:r>
    </w:p>
    <w:p>
      <w:r>
        <w:t>从表6可以得出以下结论：</w:t>
      </w:r>
    </w:p>
    <w:p>
      <w:r>
        <w:t>第一，所有策略的Alpha均为负值，范围从-9.56%（Ridge）到-23.04%（反转-Mom6），表明在控制市场、规模和价值三个系统性风险因子后，策略均未能产生正的超额收益。然而，所有Alpha的p值均大于0.05，统计上不显著，这意味着我们无法拒绝'Alpha为零'的原假设。换言之，策略的负收益可能源于小样本噪声而非系统性的错误定价。</w:t>
      </w:r>
    </w:p>
    <w:p>
      <w:r>
        <w:t>第二，基线反转策略在MKT因子上呈现负暴露（β_MKT ≈ -0.13至-0.29），这意味着多空组合在市场上涨时表现较差，具有微弱的市场对冲属性。Mom3策略的MKT暴露在5%水平上显著（p=0.019），其余不显著。机器学习策略的MKT暴露接近零且不显著，说明ML模型的预测与市场方向关联不大。</w:t>
      </w:r>
    </w:p>
    <w:p>
      <w:r>
        <w:t>第三，所有策略在SMB因子上的暴露较小且不显著，但在HML因子上，基线反转策略呈现正向暴露（β_HML ≈ 0.38-0.49），其中Mom1和Mom3的HML暴露在10%水平上显著。这表明反转策略的多空组合倾向于持有价值型股票（高B/M比）并做空成长型股票。而机器学习策略的HML暴露较小，说明ML模型在一定程度上分散了价值因子的暴露。</w:t>
      </w:r>
    </w:p>
    <w:p>
      <w:r>
        <w:t>第四，模型的R²值差异明显：基线策略R²约0.29-0.36，而ML策略R²仅0.02-0.10。这反映出ML策略的收益变动很难被FF3因子所解释，可能是因为ML模型引入了因子模型未捕捉的非线性收益来源，也可能仅是测试期样本过小（35个月）导致回归估计不精确。</w:t>
      </w:r>
    </w:p>
    <w:p>
      <w:r>
        <w:drawing>
          <wp:inline xmlns:a="http://schemas.openxmlformats.org/drawingml/2006/main" xmlns:pic="http://schemas.openxmlformats.org/drawingml/2006/picture">
            <wp:extent cx="5029200" cy="3004633"/>
            <wp:docPr id="6" name="Picture 6"/>
            <wp:cNvGraphicFramePr>
              <a:graphicFrameLocks noChangeAspect="1"/>
            </wp:cNvGraphicFramePr>
            <a:graphic>
              <a:graphicData uri="http://schemas.openxmlformats.org/drawingml/2006/picture">
                <pic:pic>
                  <pic:nvPicPr>
                    <pic:cNvPr id="0" name="fig5_ff3_alpha.png"/>
                    <pic:cNvPicPr/>
                  </pic:nvPicPr>
                  <pic:blipFill>
                    <a:blip r:embed="rId14"/>
                    <a:stretch>
                      <a:fillRect/>
                    </a:stretch>
                  </pic:blipFill>
                  <pic:spPr>
                    <a:xfrm>
                      <a:off x="0" y="0"/>
                      <a:ext cx="5029200" cy="3004633"/>
                    </a:xfrm>
                    <a:prstGeom prst="rect"/>
                  </pic:spPr>
                </pic:pic>
              </a:graphicData>
            </a:graphic>
          </wp:inline>
        </w:drawing>
      </w:r>
    </w:p>
    <w:p>
      <w:pPr>
        <w:jc w:val="center"/>
      </w:pPr>
      <w:r>
        <w:rPr>
          <w:b/>
          <w:sz w:val="18"/>
        </w:rPr>
        <w:t>图6  FF3 Alpha年化值及统计显著性</w:t>
      </w:r>
    </w:p>
    <w:p>
      <w:pPr>
        <w:pStyle w:val="Heading1"/>
      </w:pPr>
      <w:r>
        <w:t>六、讨论与局限性</w:t>
      </w:r>
    </w:p>
    <w:p>
      <w:pPr>
        <w:pStyle w:val="Heading2"/>
      </w:pPr>
      <w:r>
        <w:t>6.1 为何机器学习未能改进反转策略？</w:t>
      </w:r>
    </w:p>
    <w:p>
      <w:r>
        <w:t>本研究最核心的发现是：机器学习未能改进A股短期反转策略，所有ML策略的测试期表现均劣于简单基线。我们从以下四个维度分析可能的原因。</w:t>
      </w:r>
    </w:p>
    <w:p>
      <w:r>
        <w:t>第一，信噪比过低。金融收益数据本身信噪比极低，月度截面收益的可预测成分通常不超过1-2%。在如此低的信噪比下，复杂模型更容易拟合噪声而非信号。本研究使用的5个特征虽然覆盖了多个时间窗口的动量信息，但缺乏更丰富的微观结构特征（如换手率、波动率、订单流不平衡等），限制了模型的信息输入。</w:t>
      </w:r>
    </w:p>
    <w:p>
      <w:r>
        <w:t>第二，特征-收益关系的时变性与结构断裂。表1已显示训练期与测试期的特征分布存在显著漂移-动量特征的均值从3-4%下降至1%左右，标准差也大幅缩小。这意味着训练期学到的'高动量对应高收益'或'低动量对应高收益'关系在测试期可能已经不再成立。A股市场在2023-2025年经历了注册制改革全面落地、IPO常态化等制度变革，这些结构性变化可能从根本上改变了动量-收益的截面关系。</w:t>
      </w:r>
    </w:p>
    <w:p>
      <w:r>
        <w:t>第三，交易成本的侵蚀效应。本研究的策略设定为每月再平衡，单边成本20个基点，每月总成本40个基点，年化成本约4.8%。对于年化收益仅2-3%的基线策略而言，交易成本占据了收益的绝大部分。DeMiguel等（2020）的研究同样表明，交易成本是侵蚀量化策略净收益的关键因素，尤其是对于高换手率的短期策略。如果将再平衡频率降低至季度，成本可降至年化1.2%左右，但代价是策略信号时效性下降。</w:t>
      </w:r>
    </w:p>
    <w:p>
      <w:r>
        <w:t>第四，样本量不足。测试期仅35个月，这一样本量对于统计推断而言偏小。年化收益率±5%的置信区间在35个月样本下约±10个百分点，这意味着我们无法在统计上区分0.24%和-8.56%的差异是否仅源于随机波动。更长的样本外期间（如10年以上）将提供更有力的统计证据。</w:t>
      </w:r>
    </w:p>
    <w:p>
      <w:pPr>
        <w:pStyle w:val="Heading2"/>
      </w:pPr>
      <w:r>
        <w:t>6.2 做空限制与策略可操作性</w:t>
      </w:r>
    </w:p>
    <w:p>
      <w:r>
        <w:t>本研究所有策略均以多空组合的形式报告收益，但A股市场对做空的限制是众所周知的。融券标的仅覆盖约1,500只股票，融券费率年化6-10%，且券源常常不可得。在此背景下，多空组合的空头端更多是理论构建而非可执行策略。仅多头端的反转策略（年化12.47%，夏普0.428）虽然远优于多空组合，但其收益很大程度上源于小市值反转效应-而小市值恰恰是流动性最差、交易成本最高的板块，实际执行中的滑点和冲击成本可能显著侵蚀理论收益。</w:t>
      </w:r>
    </w:p>
    <w:p>
      <w:pPr>
        <w:pStyle w:val="Heading2"/>
      </w:pPr>
      <w:r>
        <w:t>6.3 模型设定的局限性</w:t>
      </w:r>
    </w:p>
    <w:p>
      <w:r>
        <w:t>本研究存在以下方法论局限：</w:t>
      </w:r>
    </w:p>
    <w:p>
      <w:r>
        <w:t>第一，特征集较为有限。仅使用了5个截面特征（4个动量+1个规模），而Gu等（2020）使用了94个特征。更丰富的特征集（包括波动率、换手率、分析师预期、资金流等）可能为ML模型提供更多信息。然而，特征数量的增加也意味着过拟合风险上升，需要更大的训练样本和更强的正则化。</w:t>
      </w:r>
    </w:p>
    <w:p>
      <w:r>
        <w:t>第二，模型种类有限。本研究未测试深度学习模型（如LSTM、Transformer），这些模型在序列建模方面可能具有优势。但深度学习通常需要更大量的数据，而我们的面板数据（约50万条）可能不足以支撑深度网络的训练。</w:t>
      </w:r>
    </w:p>
    <w:p>
      <w:r>
        <w:t>第三，组合构建方法较为简单。等权重+20%分位数的多空构建方式未考虑交易成本优化、风险预算和协方差矩阵等约束条件。引入投资组合优化技术可能改善策略的风险调整后收益。</w:t>
      </w:r>
    </w:p>
    <w:p>
      <w:r>
        <w:t>第四，回测中的生存者偏差。尽管我们使用了月度截面数据（避免了直接使用当前成分股名单），但原始数据中退市股票可能缺失部分历史记录，导致回测收益存在一定的高估。</w:t>
      </w:r>
    </w:p>
    <w:p>
      <w:pPr>
        <w:pStyle w:val="Heading2"/>
      </w:pPr>
      <w:r>
        <w:t>6.4 负面结果的价值</w:t>
      </w:r>
    </w:p>
    <w:p>
      <w:r>
        <w:t>本研究报告了机器学习未能改进A股短期反转策略的负面结果。在学术界，负面结果同样具有重要价值。首先，它挑战了'机器学习必然优于传统方法'的直觉假设，提醒研究者和实践者不应盲目追求模型复杂度。其次，它凸显了交易成本、做空限制和分布漂移对量化策略的实际影响，这些因素在实验室环境中往往被低估。第三，它为后续研究指明了改进方向-如引入更丰富的特征、采用更低频的再平衡策略、或使用更长的样本外验证期间。</w:t>
      </w:r>
    </w:p>
    <w:p>
      <w:r>
        <w:t>正如统计学家George Box的名言：'所有模型都是错的，但有些是有用的。'本研究的发现并非否定机器学习在量化投资中的价值，而是指出在特定策略语境（短期反转）和特定市场环境（A股）下，简单方法可能更加稳健。未来的研究可以探索机器学习在更长期限的动量策略、多因子选股或行业轮动等不同应用场景中的表现。</w:t>
      </w:r>
    </w:p>
    <w:p>
      <w:pPr>
        <w:pStyle w:val="Heading1"/>
      </w:pPr>
      <w:r>
        <w:t>七、结论</w:t>
      </w:r>
    </w:p>
    <w:p>
      <w:r>
        <w:t>本研究以2013-2025年的全A股市场为样本，系统考察了机器学习方法能否改进基于动量特征的短期反转策略。我们构建了传统反转策略（Mom1/Mom3/Mom6）作为基线，并引入Ridge回归、Lasso回归、随机森林和XGBoost四种机器学习模型，在严格的样本外验证框架下评估策略绩效。主要结论如下：</w:t>
      </w:r>
    </w:p>
    <w:p>
      <w:r>
        <w:t>第一，传统反转策略在近期A股市场的多空表现微弱。测试期（2023-2025年），1个月反转策略年化收益仅0.24%，3个月反转策略表现最优（年化2.68%），但扣除无风险利率后夏普比率仍为负。仅多头端的反转策略年化12.47%，远优于多空组合，凸显了A股做空限制对策略绩效的显著影响。</w:t>
      </w:r>
    </w:p>
    <w:p>
      <w:r>
        <w:t>第二，机器学习策略全面跑输简单基线。四种ML策略的年化收益均为负值（-4.75%至-8.56%），夏普比率为-0.715至-0.931，最大回撤-20%至-29%。非线性模型（随机森林、XGBoost）的表现甚至劣于线性模型（Ridge、Lasso），暗示在低信噪比环境下，非线性模型更容易过拟合训练期噪声。</w:t>
      </w:r>
    </w:p>
    <w:p>
      <w:r>
        <w:t>第三，Fama-French三因子归因分析表明，所有策略的Alpha均为负值但统计上不显著。基线反转策略呈现负的市场暴露和正的价值因子暴露，而ML策略的因子暴露较小且不显著。ML策略的低R²值（0.02-0.10）表明其收益变动难以被传统因子模型解释。</w:t>
      </w:r>
    </w:p>
    <w:p>
      <w:r>
        <w:t>第四，特征重要性分析显示，6个月动量（mom6）是预测力最强的特征，1个月动量（mom1）次之，而市值因子（log_mktcap）完全无贡献。然而，训练期学到的特征-收益关系在测试期并不稳定，分布漂移和结构断裂是ML策略失败的重要原因。</w:t>
      </w:r>
    </w:p>
    <w:p>
      <w:r>
        <w:t>本研究的核心启示是：在A股短期反转策略的语境下，机器学习未能提供超越简单排序方法的增量价值。这一负面结果具有重要的实践意义-它警示量化研究者不应默认复杂模型优于简单方法，并强调了严格样本外验证、交易成本考量和市场制度约束在策略评估中的关键地位。未来研究可从以下方向改进：引入更丰富的微观结构特征、降低再平衡频率以控制交易成本、采用更长的样本外期间以增强统计功效，以及探索深度学习等更灵活的模型架构。</w:t>
      </w:r>
    </w:p>
    <w:p>
      <w:pPr>
        <w:pStyle w:val="Heading1"/>
      </w:pPr>
      <w:r>
        <w:t>参考文献</w:t>
      </w:r>
    </w:p>
    <w:p>
      <w:pPr>
        <w:ind w:hanging="425" w:left="425"/>
      </w:pPr>
      <w:r>
        <w:rPr>
          <w:sz w:val="18"/>
        </w:rPr>
        <w:t>Campbell, J.Y., Grossman, S.J. &amp; Wang, J. (1993). Trading Volume and Serial Correlation in Stock Returns. Quarterly Journal of Economics, 108(4), 905-939.</w:t>
      </w:r>
    </w:p>
    <w:p>
      <w:pPr>
        <w:ind w:hanging="425" w:left="425"/>
      </w:pPr>
      <w:r>
        <w:rPr>
          <w:sz w:val="18"/>
        </w:rPr>
        <w:t>Chinco, A., Clark-Joseph, A.D. &amp; Ye, M. (2019). Sparse Signals in the Cross-Section of Returns. Journal of Finance, 74(5), 2469-2514.</w:t>
      </w:r>
    </w:p>
    <w:p>
      <w:pPr>
        <w:ind w:hanging="425" w:left="425"/>
      </w:pPr>
      <w:r>
        <w:rPr>
          <w:sz w:val="18"/>
        </w:rPr>
        <w:t>Da, Z., Liu, Q. &amp; Wang, J. (2023). Risk-Adjusted Momentum and Momentum Reversal. Journal of Financial Economics, 147(3), 611-636.</w:t>
      </w:r>
    </w:p>
    <w:p>
      <w:pPr>
        <w:ind w:hanging="425" w:left="425"/>
      </w:pPr>
      <w:r>
        <w:rPr>
          <w:sz w:val="18"/>
        </w:rPr>
        <w:t>Daniel, K. &amp; Moskowitz, T.J. (2016). Momentum Crashes. Journal of Financial Economics, 122(2), 221-247.</w:t>
      </w:r>
    </w:p>
    <w:p>
      <w:pPr>
        <w:ind w:hanging="425" w:left="425"/>
      </w:pPr>
      <w:r>
        <w:rPr>
          <w:sz w:val="18"/>
        </w:rPr>
        <w:t>DeMiguel, V., Martín-Utrera, A., Nogales, F.J. &amp; Uppal, R. (2020). A Transaction-Cost Perspective on the Multitude of Firm Characteristics. Review of Financial Studies, 33(4), 2180-2122.</w:t>
      </w:r>
    </w:p>
    <w:p>
      <w:pPr>
        <w:ind w:hanging="425" w:left="425"/>
      </w:pPr>
      <w:r>
        <w:rPr>
          <w:sz w:val="18"/>
        </w:rPr>
        <w:t>Grossman, S.J. &amp; Miller, M.H. (1988). Liquidity and Market Structure. Journal of Finance, 43(3), 617-633.</w:t>
      </w:r>
    </w:p>
    <w:p>
      <w:pPr>
        <w:ind w:hanging="425" w:left="425"/>
      </w:pPr>
      <w:r>
        <w:rPr>
          <w:sz w:val="18"/>
        </w:rPr>
        <w:t>Gu, S., Kelly, B. &amp; Xiu, D. (2020). Empirical Asset Pricing via Machine Learning. Review of Financial Studies, 33(5), 2223-2273.</w:t>
      </w:r>
    </w:p>
    <w:p>
      <w:pPr>
        <w:ind w:hanging="425" w:left="425"/>
      </w:pPr>
      <w:r>
        <w:rPr>
          <w:sz w:val="18"/>
        </w:rPr>
        <w:t>Jegadeesh, N. (1990). Evidence of Predictable Behavior of Security Returns. Journal of Finance, 45(3), 881-898.</w:t>
      </w:r>
    </w:p>
    <w:p>
      <w:pPr>
        <w:ind w:hanging="425" w:left="425"/>
      </w:pPr>
      <w:r>
        <w:rPr>
          <w:sz w:val="18"/>
        </w:rPr>
        <w:t>Jegadeesh, N. &amp; Titman, S. (1993). Returns to Buying Winners and Selling Losers: Implications for Stock Market Efficiency. Journal of Finance, 48(1), 65-91.</w:t>
      </w:r>
    </w:p>
    <w:p>
      <w:pPr>
        <w:ind w:hanging="425" w:left="425"/>
      </w:pPr>
      <w:r>
        <w:rPr>
          <w:sz w:val="18"/>
        </w:rPr>
        <w:t>Lehmann, B.N. (1990). Fads, Martingales, and Market Efficiency. Quarterly Journal of Economics, 105(1), 1-28.</w:t>
      </w:r>
    </w:p>
    <w:p>
      <w:pPr>
        <w:ind w:hanging="425" w:left="425"/>
      </w:pPr>
      <w:r>
        <w:rPr>
          <w:sz w:val="18"/>
        </w:rPr>
        <w:t>Lo, A.W. &amp; MacKinlay, A.C. (1990). When Are Contrarian Profits Due to Stock Market Overreaction? Review of Financial Studies, 3(2), 175-205.</w:t>
      </w:r>
    </w:p>
    <w:p>
      <w:pPr>
        <w:ind w:hanging="425" w:left="425"/>
      </w:pPr>
      <w:r>
        <w:rPr>
          <w:sz w:val="18"/>
        </w:rPr>
        <w:t>Rapach, D.E. &amp; Zhou, G. (2013). Forecasting Stock Returns. In G. Elliott &amp; A. Timmermann (Eds.), Handbook of Economic Forecasting (Vol. 2, pp. 837-883). Elsevier.</w:t>
      </w:r>
    </w:p>
    <w:p>
      <w:pPr>
        <w:ind w:hanging="425" w:left="425"/>
      </w:pPr>
      <w:r>
        <w:rPr>
          <w:sz w:val="18"/>
        </w:rPr>
        <w:t>陈国进, 董耀武. (2021). 机器学习与股票收益预测: 来自中国A股市场的证据. 经济学(季刊), 21(5), 1675-1696.</w:t>
      </w:r>
    </w:p>
    <w:p>
      <w:pPr>
        <w:ind w:hanging="425" w:left="425"/>
      </w:pPr>
      <w:r>
        <w:rPr>
          <w:sz w:val="18"/>
        </w:rPr>
        <w:t>刘少波, 冯海英. (2010). 中国股市短期反转效应研究. 管理科学学报, 13(5), 65-74.</w:t>
      </w:r>
    </w:p>
    <w:p>
      <w:pPr>
        <w:ind w:hanging="425" w:left="425"/>
      </w:pPr>
      <w:r>
        <w:rPr>
          <w:sz w:val="18"/>
        </w:rPr>
        <w:t>田存志, 王永海. (2014). 流动性与短期反转: 来自中国A股市场的证据. 金融研究, (3), 155-168.</w:t>
      </w:r>
    </w:p>
    <w:p>
      <w:r>
        <w:br w:type="page"/>
      </w:r>
    </w:p>
    <w:p>
      <w:pPr>
        <w:pStyle w:val="Heading1"/>
      </w:pPr>
      <w:r>
        <w:t>附录</w:t>
      </w:r>
    </w:p>
    <w:p>
      <w:pPr>
        <w:pStyle w:val="Heading2"/>
      </w:pPr>
      <w:r>
        <w:t>附录A  月度收益分布</w:t>
      </w:r>
    </w:p>
    <w:p>
      <w:r>
        <w:t>图A1展示了各策略在测试期的月度收益分布直方图。基线策略的分布更接近对称，而机器学习策略呈现轻微的左偏（负偏），反映了较大的尾部亏损风险。</w:t>
      </w:r>
    </w:p>
    <w:p>
      <w:r>
        <w:drawing>
          <wp:inline xmlns:a="http://schemas.openxmlformats.org/drawingml/2006/main" xmlns:pic="http://schemas.openxmlformats.org/drawingml/2006/picture">
            <wp:extent cx="5029200" cy="2082800"/>
            <wp:docPr id="7" name="Picture 7"/>
            <wp:cNvGraphicFramePr>
              <a:graphicFrameLocks noChangeAspect="1"/>
            </wp:cNvGraphicFramePr>
            <a:graphic>
              <a:graphicData uri="http://schemas.openxmlformats.org/drawingml/2006/picture">
                <pic:pic>
                  <pic:nvPicPr>
                    <pic:cNvPr id="0" name="fig6_return_distribution.png"/>
                    <pic:cNvPicPr/>
                  </pic:nvPicPr>
                  <pic:blipFill>
                    <a:blip r:embed="rId15"/>
                    <a:stretch>
                      <a:fillRect/>
                    </a:stretch>
                  </pic:blipFill>
                  <pic:spPr>
                    <a:xfrm>
                      <a:off x="0" y="0"/>
                      <a:ext cx="5029200" cy="2082800"/>
                    </a:xfrm>
                    <a:prstGeom prst="rect"/>
                  </pic:spPr>
                </pic:pic>
              </a:graphicData>
            </a:graphic>
          </wp:inline>
        </w:drawing>
      </w:r>
    </w:p>
    <w:p>
      <w:pPr>
        <w:jc w:val="center"/>
      </w:pPr>
      <w:r>
        <w:rPr>
          <w:b/>
          <w:sz w:val="18"/>
        </w:rPr>
        <w:t>图A1  各策略月度收益分布</w:t>
      </w:r>
    </w:p>
    <w:p>
      <w:pPr>
        <w:pStyle w:val="Heading2"/>
      </w:pPr>
      <w:r>
        <w:t>附录B  年度收益热图</w:t>
      </w:r>
    </w:p>
    <w:p>
      <w:r>
        <w:drawing>
          <wp:inline xmlns:a="http://schemas.openxmlformats.org/drawingml/2006/main" xmlns:pic="http://schemas.openxmlformats.org/drawingml/2006/picture">
            <wp:extent cx="5029200" cy="1785642"/>
            <wp:docPr id="8" name="Picture 8"/>
            <wp:cNvGraphicFramePr>
              <a:graphicFrameLocks noChangeAspect="1"/>
            </wp:cNvGraphicFramePr>
            <a:graphic>
              <a:graphicData uri="http://schemas.openxmlformats.org/drawingml/2006/picture">
                <pic:pic>
                  <pic:nvPicPr>
                    <pic:cNvPr id="0" name="fig7_yearly_heatmap.png"/>
                    <pic:cNvPicPr/>
                  </pic:nvPicPr>
                  <pic:blipFill>
                    <a:blip r:embed="rId16"/>
                    <a:stretch>
                      <a:fillRect/>
                    </a:stretch>
                  </pic:blipFill>
                  <pic:spPr>
                    <a:xfrm>
                      <a:off x="0" y="0"/>
                      <a:ext cx="5029200" cy="1785642"/>
                    </a:xfrm>
                    <a:prstGeom prst="rect"/>
                  </pic:spPr>
                </pic:pic>
              </a:graphicData>
            </a:graphic>
          </wp:inline>
        </w:drawing>
      </w:r>
    </w:p>
    <w:p>
      <w:pPr>
        <w:jc w:val="center"/>
      </w:pPr>
      <w:r>
        <w:rPr>
          <w:b/>
          <w:sz w:val="18"/>
        </w:rPr>
        <w:t>图B1  各策略年度收益热图</w:t>
      </w:r>
    </w:p>
    <w:p>
      <w:pPr>
        <w:pStyle w:val="Heading2"/>
      </w:pPr>
      <w:r>
        <w:t>附录C  数据清洗说明</w:t>
      </w:r>
    </w:p>
    <w:p>
      <w:r>
        <w:t>原始数据清洗过程中的关键统计：</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清洗步骤</w:t>
            </w:r>
          </w:p>
        </w:tc>
        <w:tc>
          <w:tcPr>
            <w:tcW w:type="dxa" w:w="2160"/>
          </w:tcPr>
          <w:p>
            <w:pPr>
              <w:jc w:val="center"/>
            </w:pPr>
            <w:r>
              <w:rPr>
                <w:b/>
                <w:sz w:val="18"/>
              </w:rPr>
              <w:t>影响记录数</w:t>
            </w:r>
          </w:p>
        </w:tc>
        <w:tc>
          <w:tcPr>
            <w:tcW w:type="dxa" w:w="2160"/>
          </w:tcPr>
          <w:p>
            <w:pPr>
              <w:jc w:val="center"/>
            </w:pPr>
            <w:r>
              <w:rPr>
                <w:b/>
                <w:sz w:val="18"/>
              </w:rPr>
              <w:t>占比</w:t>
            </w:r>
          </w:p>
        </w:tc>
        <w:tc>
          <w:tcPr>
            <w:tcW w:type="dxa" w:w="2160"/>
          </w:tcPr>
          <w:p>
            <w:pPr>
              <w:jc w:val="center"/>
            </w:pPr>
            <w:r>
              <w:rPr>
                <w:b/>
                <w:sz w:val="18"/>
              </w:rPr>
              <w:t>说明</w:t>
            </w:r>
          </w:p>
        </w:tc>
      </w:tr>
      <w:tr>
        <w:tc>
          <w:tcPr>
            <w:tcW w:type="dxa" w:w="2160"/>
          </w:tcPr>
          <w:p>
            <w:pPr>
              <w:jc w:val="center"/>
            </w:pPr>
            <w:r>
              <w:rPr>
                <w:sz w:val="18"/>
              </w:rPr>
              <w:t>剔除非沪深A股</w:t>
            </w:r>
          </w:p>
        </w:tc>
        <w:tc>
          <w:tcPr>
            <w:tcW w:type="dxa" w:w="2160"/>
          </w:tcPr>
          <w:p>
            <w:pPr>
              <w:jc w:val="center"/>
            </w:pPr>
            <w:r>
              <w:rPr>
                <w:sz w:val="18"/>
              </w:rPr>
              <w:t>原5,496只 -&gt; 5,418只</w:t>
            </w:r>
          </w:p>
        </w:tc>
        <w:tc>
          <w:tcPr>
            <w:tcW w:type="dxa" w:w="2160"/>
          </w:tcPr>
          <w:p>
            <w:pPr>
              <w:jc w:val="center"/>
            </w:pPr>
            <w:r>
              <w:rPr>
                <w:sz w:val="18"/>
              </w:rPr>
              <w:t>1.4%</w:t>
            </w:r>
          </w:p>
        </w:tc>
        <w:tc>
          <w:tcPr>
            <w:tcW w:type="dxa" w:w="2160"/>
          </w:tcPr>
          <w:p>
            <w:pPr>
              <w:jc w:val="center"/>
            </w:pPr>
            <w:r>
              <w:rPr>
                <w:sz w:val="18"/>
              </w:rPr>
              <w:t>排除指数、基金等</w:t>
            </w:r>
          </w:p>
        </w:tc>
      </w:tr>
      <w:tr>
        <w:tc>
          <w:tcPr>
            <w:tcW w:type="dxa" w:w="2160"/>
          </w:tcPr>
          <w:p>
            <w:pPr>
              <w:jc w:val="center"/>
            </w:pPr>
            <w:r>
              <w:rPr>
                <w:sz w:val="18"/>
              </w:rPr>
              <w:t>Winsorize [-50%,+100%]</w:t>
            </w:r>
          </w:p>
        </w:tc>
        <w:tc>
          <w:tcPr>
            <w:tcW w:type="dxa" w:w="2160"/>
          </w:tcPr>
          <w:p>
            <w:pPr>
              <w:jc w:val="center"/>
            </w:pPr>
            <w:r>
              <w:rPr>
                <w:sz w:val="18"/>
              </w:rPr>
              <w:t>8,949条</w:t>
            </w:r>
          </w:p>
        </w:tc>
        <w:tc>
          <w:tcPr>
            <w:tcW w:type="dxa" w:w="2160"/>
          </w:tcPr>
          <w:p>
            <w:pPr>
              <w:jc w:val="center"/>
            </w:pPr>
            <w:r>
              <w:rPr>
                <w:sz w:val="18"/>
              </w:rPr>
              <w:t>1.67%</w:t>
            </w:r>
          </w:p>
        </w:tc>
        <w:tc>
          <w:tcPr>
            <w:tcW w:type="dxa" w:w="2160"/>
          </w:tcPr>
          <w:p>
            <w:pPr>
              <w:jc w:val="center"/>
            </w:pPr>
            <w:r>
              <w:rPr>
                <w:sz w:val="18"/>
              </w:rPr>
              <w:t>月收益2,432%-&gt;100%, -91.6%-&gt;-50%</w:t>
            </w:r>
          </w:p>
        </w:tc>
      </w:tr>
      <w:tr>
        <w:tc>
          <w:tcPr>
            <w:tcW w:type="dxa" w:w="2160"/>
          </w:tcPr>
          <w:p>
            <w:pPr>
              <w:jc w:val="center"/>
            </w:pPr>
            <w:r>
              <w:rPr>
                <w:sz w:val="18"/>
              </w:rPr>
              <w:t>剔除市值最小5%</w:t>
            </w:r>
          </w:p>
        </w:tc>
        <w:tc>
          <w:tcPr>
            <w:tcW w:type="dxa" w:w="2160"/>
          </w:tcPr>
          <w:p>
            <w:pPr>
              <w:jc w:val="center"/>
            </w:pPr>
            <w:r>
              <w:rPr>
                <w:sz w:val="18"/>
              </w:rPr>
              <w:t>27,252条</w:t>
            </w:r>
          </w:p>
        </w:tc>
        <w:tc>
          <w:tcPr>
            <w:tcW w:type="dxa" w:w="2160"/>
          </w:tcPr>
          <w:p>
            <w:pPr>
              <w:jc w:val="center"/>
            </w:pPr>
            <w:r>
              <w:rPr>
                <w:sz w:val="18"/>
              </w:rPr>
              <w:t>5.1%</w:t>
            </w:r>
          </w:p>
        </w:tc>
        <w:tc>
          <w:tcPr>
            <w:tcW w:type="dxa" w:w="2160"/>
          </w:tcPr>
          <w:p>
            <w:pPr>
              <w:jc w:val="center"/>
            </w:pPr>
            <w:r>
              <w:rPr>
                <w:sz w:val="18"/>
              </w:rPr>
              <w:t>壳公司/ST股/数据异常</w:t>
            </w:r>
          </w:p>
        </w:tc>
      </w:tr>
      <w:tr>
        <w:tc>
          <w:tcPr>
            <w:tcW w:type="dxa" w:w="2160"/>
          </w:tcPr>
          <w:p>
            <w:pPr>
              <w:jc w:val="center"/>
            </w:pPr>
            <w:r>
              <w:rPr>
                <w:sz w:val="18"/>
              </w:rPr>
              <w:t>最终样本</w:t>
            </w:r>
          </w:p>
        </w:tc>
        <w:tc>
          <w:tcPr>
            <w:tcW w:type="dxa" w:w="2160"/>
          </w:tcPr>
          <w:p>
            <w:pPr>
              <w:jc w:val="center"/>
            </w:pPr>
            <w:r>
              <w:rPr>
                <w:sz w:val="18"/>
              </w:rPr>
              <w:t>510,134条</w:t>
            </w:r>
          </w:p>
        </w:tc>
        <w:tc>
          <w:tcPr>
            <w:tcW w:type="dxa" w:w="2160"/>
          </w:tcPr>
          <w:p>
            <w:pPr>
              <w:jc w:val="center"/>
            </w:pPr>
            <w:r>
              <w:rPr>
                <w:sz w:val="18"/>
              </w:rPr>
              <w:t>-</w:t>
            </w:r>
          </w:p>
        </w:tc>
        <w:tc>
          <w:tcPr>
            <w:tcW w:type="dxa" w:w="2160"/>
          </w:tcPr>
          <w:p>
            <w:pPr>
              <w:jc w:val="center"/>
            </w:pPr>
            <w:r>
              <w:rPr>
                <w:sz w:val="18"/>
              </w:rPr>
              <w:t>5,418只股票, 145个月</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