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</w:rPr>
        <w:t>STEMI 3-Year Mortality Risk Prediction System</w:t>
      </w:r>
    </w:p>
    <w:p>
      <w:pPr>
        <w:pStyle w:val="Subtitle"/>
        <w:jc w:val="center"/>
      </w:pPr>
      <w:r>
        <w:rPr>
          <w:rFonts w:ascii="Times New Roman" w:hAnsi="Times New Roman"/>
        </w:rPr>
        <w:t>User Operation Manual v1.0 (GBM Edition)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color w:val="FF0000"/>
        </w:rPr>
        <w:t>⚠️ DISCLAIMER: For Research Use Only. Not for Clinical Diagnosis.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1"/>
      </w:pPr>
      <w:r>
        <w:t>1. System Overview</w:t>
      </w:r>
    </w:p>
    <w:p>
      <w:r>
        <w:t>The STEMI Mortality Risk Predictor is an AI-powered clinical decision support tool designed to estimate the 3-year all-cause mortality risk for patients with ST-Segment Elevation Myocardial Infarction (STEMI) undergoing primary PCI. Built upon a state-of-the-art Gradient Boosting Machine (GBM) algorithm, this system integrates 8 key clinical variables to provide precise long-term risk stratification.</w:t>
      </w:r>
    </w:p>
    <w:p>
      <w:pPr>
        <w:pStyle w:val="Heading2"/>
      </w:pPr>
      <w:r>
        <w:t>Model Performance Metrics</w:t>
      </w:r>
    </w:p>
    <w:p>
      <w:pPr>
        <w:pStyle w:val="ListBullet"/>
      </w:pPr>
      <w:r>
        <w:rPr>
          <w:rFonts w:ascii="Times New Roman" w:hAnsi="Times New Roman"/>
          <w:b/>
        </w:rPr>
        <w:t xml:space="preserve">Internal Validation AUC: </w:t>
      </w:r>
      <w:r>
        <w:rPr>
          <w:rFonts w:ascii="Times New Roman" w:hAnsi="Times New Roman"/>
        </w:rPr>
        <w:t>0.91</w:t>
      </w:r>
    </w:p>
    <w:p>
      <w:pPr>
        <w:pStyle w:val="ListBullet"/>
      </w:pPr>
      <w:r>
        <w:rPr>
          <w:rFonts w:ascii="Times New Roman" w:hAnsi="Times New Roman"/>
          <w:b/>
        </w:rPr>
        <w:t xml:space="preserve">Internal Validation Accuracy: </w:t>
      </w:r>
      <w:r>
        <w:rPr>
          <w:rFonts w:ascii="Times New Roman" w:hAnsi="Times New Roman"/>
        </w:rPr>
        <w:t>93.4%</w:t>
      </w:r>
    </w:p>
    <w:p>
      <w:pPr>
        <w:pStyle w:val="ListBullet"/>
      </w:pPr>
      <w:r>
        <w:rPr>
          <w:rFonts w:ascii="Times New Roman" w:hAnsi="Times New Roman"/>
          <w:b/>
        </w:rPr>
        <w:t xml:space="preserve">External Validation AUC: </w:t>
      </w:r>
      <w:r>
        <w:rPr>
          <w:rFonts w:ascii="Times New Roman" w:hAnsi="Times New Roman"/>
        </w:rPr>
        <w:t>0.801 (Robust Generalizability)</w:t>
      </w:r>
    </w:p>
    <w:p>
      <w:pPr>
        <w:pStyle w:val="ListBullet"/>
      </w:pPr>
      <w:r>
        <w:rPr>
          <w:rFonts w:ascii="Times New Roman" w:hAnsi="Times New Roman"/>
          <w:b/>
        </w:rPr>
        <w:t xml:space="preserve">Risk Threshold (Cut-off): </w:t>
      </w:r>
      <w:r>
        <w:rPr>
          <w:rFonts w:ascii="Times New Roman" w:hAnsi="Times New Roman"/>
        </w:rPr>
        <w:t>14.7% (0.147) - Determined by Youden Index</w:t>
      </w:r>
    </w:p>
    <w:p>
      <w:pPr>
        <w:pStyle w:val="Heading1"/>
      </w:pPr>
      <w:r>
        <w:t>2. Key Features</w:t>
      </w:r>
    </w:p>
    <w:p>
      <w:pPr>
        <w:pStyle w:val="ListBullet"/>
      </w:pPr>
      <w:r>
        <w:rPr>
          <w:rFonts w:ascii="Times New Roman" w:hAnsi="Times New Roman"/>
          <w:b/>
        </w:rPr>
        <w:t xml:space="preserve">Individual Risk Assessment: </w:t>
      </w:r>
      <w:r>
        <w:rPr>
          <w:rFonts w:ascii="Times New Roman" w:hAnsi="Times New Roman"/>
        </w:rPr>
        <w:t>Real-time calculation with visual risk gauges.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Batch Cohort Analysis: </w:t>
      </w:r>
      <w:r>
        <w:rPr>
          <w:rFonts w:ascii="Times New Roman" w:hAnsi="Times New Roman"/>
        </w:rPr>
        <w:t>Process .csv/.xlsx files for large-scale retrospective research.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Explainable AI (SHAP): </w:t>
      </w:r>
      <w:r>
        <w:rPr>
          <w:rFonts w:ascii="Times New Roman" w:hAnsi="Times New Roman"/>
        </w:rPr>
        <w:t>Visual interpretation of risk drivers (e.g., Age, Respiratory Support).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Automated Reporting: </w:t>
      </w:r>
      <w:r>
        <w:rPr>
          <w:rFonts w:ascii="Times New Roman" w:hAnsi="Times New Roman"/>
        </w:rPr>
        <w:t>Instant generation of PDF clinical reports for medical records.</w:t>
      </w:r>
    </w:p>
    <w:p>
      <w:pPr>
        <w:pStyle w:val="Heading1"/>
      </w:pPr>
      <w:r>
        <w:t>3. Individual Assessment Guide</w:t>
      </w:r>
    </w:p>
    <w:p>
      <w:r>
        <w:t>Navigate to the 'Risk Assessment' page from the sidebar.</w:t>
      </w:r>
    </w:p>
    <w:p>
      <w:pPr>
        <w:pStyle w:val="Heading2"/>
      </w:pPr>
      <w:r>
        <w:t>Step 1: Input Clinical Variables</w:t>
      </w:r>
    </w:p>
    <w:p>
      <w:r>
        <w:t>Enter the following 8 parameters based on admission/discharge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Description / Unit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</w:rPr>
              <w:t>Age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Patient age in years (20-100)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</w:rPr>
              <w:t>Hemoglobin (Hb)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Hemoglobin level (g/L). Normal: ~120-160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</w:rPr>
              <w:t>AST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Aspartate Aminotransferase (U/L)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</w:rPr>
              <w:t>Respiratory Support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Invasive mechanical ventilation required? (Yes/No)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</w:rPr>
              <w:t>Beta Blocker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Prescribed at discharge? (Yes/No)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</w:rPr>
              <w:t>Cardiotonics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Inotropes used during hospitalization? (Yes/No)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</w:rPr>
              <w:t>Statins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Prescribed at discharge? (Yes/No)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</w:rPr>
              <w:t>Stent for IRA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Stent strategy: Type 0, 1, or 2</w:t>
            </w:r>
          </w:p>
        </w:tc>
      </w:tr>
    </w:tbl>
    <w:p>
      <w:pPr>
        <w:pStyle w:val="Heading2"/>
      </w:pPr>
      <w:r>
        <w:t>Step 2 &amp; 3: Prediction &amp; Interpretation</w:t>
      </w:r>
    </w:p>
    <w:p>
      <w:pPr>
        <w:pStyle w:val="ListNumber"/>
      </w:pPr>
      <w:r>
        <w:rPr>
          <w:b/>
        </w:rPr>
        <w:t xml:space="preserve">Run Prediction: </w:t>
      </w:r>
      <w:r>
        <w:t>Click the "🚀 CALCULATE RISK" button.</w:t>
      </w:r>
    </w:p>
    <w:p>
      <w:pPr>
        <w:pStyle w:val="ListNumber"/>
      </w:pPr>
      <w:r>
        <w:rPr>
          <w:b/>
        </w:rPr>
        <w:t xml:space="preserve">Risk Gauge: </w:t>
      </w:r>
      <w:r>
        <w:t>Displays mortality probability (Red ≥ 14.7%).</w:t>
      </w:r>
    </w:p>
    <w:p>
      <w:pPr>
        <w:pStyle w:val="ListNumber"/>
      </w:pPr>
      <w:r>
        <w:rPr>
          <w:b/>
        </w:rPr>
        <w:t xml:space="preserve">Download Report: </w:t>
      </w:r>
      <w:r>
        <w:t>Scroll down to download the formal PDF report.</w:t>
      </w:r>
    </w:p>
    <w:p>
      <w:pPr>
        <w:pStyle w:val="Heading1"/>
      </w:pPr>
      <w:r>
        <w:t>4. Batch Cohort Analysis</w:t>
      </w:r>
    </w:p>
    <w:p>
      <w:r>
        <w:t>For processing retrospective datasets in bulk.</w:t>
      </w:r>
    </w:p>
    <w:p>
      <w:pPr>
        <w:pStyle w:val="Heading2"/>
      </w:pPr>
      <w:r>
        <w:t>Data Preparation</w:t>
      </w:r>
    </w:p>
    <w:p>
      <w:r>
        <w:t>File format: .csv or .xlsx. Required columns (Case-Sensitive):</w:t>
      </w:r>
    </w:p>
    <w:p>
      <w:pPr>
        <w:pStyle w:val="Quote"/>
      </w:pPr>
      <w:r>
        <w:rPr>
          <w:rFonts w:ascii="Courier New" w:hAnsi="Courier New"/>
        </w:rPr>
        <w:t>Age, Hb, AST, Respiratory support, Beta blocker, Cardiotonics, Statins, Stent for IRA</w:t>
      </w:r>
    </w:p>
    <w:p>
      <w:pPr>
        <w:pStyle w:val="Heading3"/>
      </w:pPr>
      <w:r>
        <w:t>Coding Rules:</w:t>
      </w:r>
    </w:p>
    <w:p>
      <w:pPr>
        <w:pStyle w:val="ListBullet"/>
      </w:pPr>
      <w:r>
        <w:rPr>
          <w:rFonts w:ascii="Times New Roman" w:hAnsi="Times New Roman"/>
        </w:rPr>
        <w:t>Categorical variables (e.g., Beta blocker): Code as 0 (No) or 1 (Yes).</w:t>
      </w:r>
    </w:p>
    <w:p>
      <w:pPr>
        <w:pStyle w:val="ListBullet"/>
      </w:pPr>
      <w:r>
        <w:rPr>
          <w:rFonts w:ascii="Times New Roman" w:hAnsi="Times New Roman"/>
        </w:rPr>
        <w:t>Stent for IRA: Code as 0, 1, or 2 based on study protocol.</w:t>
      </w:r>
    </w:p>
    <w:p>
      <w:pPr>
        <w:pStyle w:val="Heading1"/>
      </w:pPr>
      <w:r>
        <w:t>5. Troubleshooting</w:t>
      </w:r>
    </w:p>
    <w:p>
      <w:r>
        <w:rPr>
          <w:b/>
        </w:rPr>
        <w:t>Q: Upload Failed?</w:t>
      </w:r>
      <w:r>
        <w:t xml:space="preserve"> A: Check column names. They must match the template exactly.</w:t>
      </w:r>
    </w:p>
    <w:p>
      <w:r>
        <w:rPr>
          <w:b/>
        </w:rPr>
        <w:t>Q: Result Interpretation?</w:t>
      </w:r>
      <w:r>
        <w:t xml:space="preserve"> A: 'High Risk' means predicted probability ≥ 14.7%.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