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imSun"/>
          <w:b/>
          <w:color w:val="000000"/>
          <w:sz w:val="30"/>
        </w:rPr>
        <w:t>Supplementary Appendix</w:t>
      </w:r>
    </w:p>
    <w:p>
      <w:pPr>
        <w:spacing w:before="160" w:after="60"/>
      </w:pPr>
      <w:r>
        <w:rPr>
          <w:rFonts w:ascii="Times New Roman" w:hAnsi="Times New Roman" w:eastAsia="SimSun"/>
          <w:b/>
          <w:color w:val="000000"/>
          <w:sz w:val="24"/>
        </w:rPr>
        <w:t>Overview</w:t>
      </w:r>
    </w:p>
    <w:p>
      <w:pPr>
        <w:spacing w:after="80"/>
      </w:pPr>
      <w:r>
        <w:rPr>
          <w:rFonts w:ascii="Times New Roman" w:hAnsi="Times New Roman" w:eastAsia="SimSun"/>
          <w:b w:val="0"/>
          <w:color w:val="000000"/>
          <w:sz w:val="24"/>
        </w:rPr>
        <w:t>This appendix accompanies the manuscript "Prediction of metachronous second primary thyroid cancer among breast cancer survivors." The supplementary materials provide extended figure-level and table-level documentation for feature structure, model screening, calibration, threshold analysis, and data linkage. Unless otherwise stated, all supplementary results are aligned with the same locked SEER analytic cohort, the same temporal validation design, and the same primary operating threshold derived from Youden's index in internal validation.</w:t>
      </w:r>
    </w:p>
    <w:p>
      <w:pPr>
        <w:spacing w:before="160" w:after="60"/>
      </w:pPr>
      <w:r>
        <w:rPr>
          <w:rFonts w:ascii="Times New Roman" w:hAnsi="Times New Roman" w:eastAsia="SimSun"/>
          <w:b/>
          <w:color w:val="000000"/>
          <w:sz w:val="24"/>
        </w:rPr>
        <w:t>eFigures</w:t>
      </w:r>
    </w:p>
    <w:p>
      <w:pPr>
        <w:spacing w:before="160" w:after="60"/>
      </w:pPr>
      <w:r>
        <w:rPr>
          <w:rFonts w:ascii="Times New Roman" w:hAnsi="Times New Roman" w:eastAsia="SimSun"/>
          <w:b/>
          <w:color w:val="000000"/>
          <w:sz w:val="24"/>
        </w:rPr>
        <w:t>eFigure 1. All-model temporal calibration</w:t>
      </w:r>
    </w:p>
    <w:p>
      <w:pPr>
        <w:spacing w:after="80"/>
      </w:pPr>
      <w:r>
        <w:rPr>
          <w:rFonts w:ascii="Times New Roman" w:hAnsi="Times New Roman" w:eastAsia="SimSun"/>
          <w:b w:val="0"/>
          <w:color w:val="000000"/>
          <w:sz w:val="24"/>
        </w:rPr>
        <w:t>This figure shows temporal calibration across the full model set. Panel A displays the six machine-learning models, and Panel B displays the three benchmark comparators together with the selected calibrated model.</w:t>
      </w:r>
    </w:p>
    <w:p>
      <w:pPr>
        <w:spacing w:before="160" w:after="60"/>
      </w:pPr>
      <w:r>
        <w:rPr>
          <w:rFonts w:ascii="Times New Roman" w:hAnsi="Times New Roman" w:eastAsia="SimSun"/>
          <w:b/>
          <w:color w:val="000000"/>
          <w:sz w:val="24"/>
        </w:rPr>
        <w:t>eFigure 2. All-model temporal decision-curve analysis</w:t>
      </w:r>
    </w:p>
    <w:p>
      <w:pPr>
        <w:spacing w:after="80"/>
      </w:pPr>
      <w:r>
        <w:rPr>
          <w:rFonts w:ascii="Times New Roman" w:hAnsi="Times New Roman" w:eastAsia="SimSun"/>
          <w:b w:val="0"/>
          <w:color w:val="000000"/>
          <w:sz w:val="24"/>
        </w:rPr>
        <w:t>This figure shows temporal decision-curve analysis across the full model set. Panel A displays the six machine-learning models, and Panel B displays the three benchmark comparators together with the selected calibrated model, treat-all, and treat-none strategies.</w:t>
      </w:r>
    </w:p>
    <w:p>
      <w:pPr>
        <w:spacing w:before="160" w:after="60"/>
      </w:pPr>
      <w:r>
        <w:rPr>
          <w:rFonts w:ascii="Times New Roman" w:hAnsi="Times New Roman" w:eastAsia="SimSun"/>
          <w:b/>
          <w:color w:val="000000"/>
          <w:sz w:val="24"/>
        </w:rPr>
        <w:t>eFigure 3. Temporal precision-recall detail</w:t>
      </w:r>
    </w:p>
    <w:p>
      <w:pPr>
        <w:spacing w:after="80"/>
      </w:pPr>
      <w:r>
        <w:rPr>
          <w:rFonts w:ascii="Times New Roman" w:hAnsi="Times New Roman" w:eastAsia="SimSun"/>
          <w:b w:val="0"/>
          <w:color w:val="000000"/>
          <w:sz w:val="24"/>
        </w:rPr>
        <w:t>This figure provides the full precision-recall scale together with a low-precision zoom view, preserving the true tail spikes while also showing the range that contains the dominant signal for this low-incidence endpoint.</w:t>
      </w:r>
    </w:p>
    <w:p>
      <w:pPr>
        <w:spacing w:before="160" w:after="60"/>
      </w:pPr>
      <w:r>
        <w:rPr>
          <w:rFonts w:ascii="Times New Roman" w:hAnsi="Times New Roman" w:eastAsia="SimSun"/>
          <w:b/>
          <w:color w:val="000000"/>
          <w:sz w:val="24"/>
        </w:rPr>
        <w:t>eFigure 4. Candidate-feature correlation heatmap derived from the encoded development-set matrix</w:t>
      </w:r>
    </w:p>
    <w:p>
      <w:pPr>
        <w:spacing w:after="80"/>
      </w:pPr>
      <w:r>
        <w:rPr>
          <w:rFonts w:ascii="Times New Roman" w:hAnsi="Times New Roman" w:eastAsia="SimSun"/>
          <w:b w:val="0"/>
          <w:color w:val="000000"/>
          <w:sz w:val="24"/>
        </w:rPr>
        <w:t>This figure shows Pearson correlations calculated on the model-ready candidate-feature matrix in the development cohort. The heatmap is used to document feature structure before LASSO screening and is provided as supplementary material because it supports model-building transparency rather than a primary clinical result.</w:t>
      </w:r>
    </w:p>
    <w:p>
      <w:pPr>
        <w:spacing w:before="160" w:after="60"/>
      </w:pPr>
      <w:r>
        <w:rPr>
          <w:rFonts w:ascii="Times New Roman" w:hAnsi="Times New Roman" w:eastAsia="SimSun"/>
          <w:b/>
          <w:color w:val="000000"/>
          <w:sz w:val="24"/>
        </w:rPr>
        <w:t>eFigure 5. LASSO coefficient path</w:t>
      </w:r>
    </w:p>
    <w:p>
      <w:pPr>
        <w:spacing w:after="80"/>
      </w:pPr>
      <w:r>
        <w:rPr>
          <w:rFonts w:ascii="Times New Roman" w:hAnsi="Times New Roman" w:eastAsia="SimSun"/>
          <w:b w:val="0"/>
          <w:color w:val="000000"/>
          <w:sz w:val="24"/>
        </w:rPr>
        <w:t>This figure shows the LASSO coefficient path within the development-training subset and documents how candidate predictors behaved across the penalty trajectory.</w:t>
      </w:r>
    </w:p>
    <w:p>
      <w:pPr>
        <w:spacing w:before="160" w:after="60"/>
      </w:pPr>
      <w:r>
        <w:rPr>
          <w:rFonts w:ascii="Times New Roman" w:hAnsi="Times New Roman" w:eastAsia="SimSun"/>
          <w:b/>
          <w:color w:val="000000"/>
          <w:sz w:val="24"/>
        </w:rPr>
        <w:t>eFigure 6. LASSO cross-validation profile</w:t>
      </w:r>
    </w:p>
    <w:p>
      <w:pPr>
        <w:spacing w:after="80"/>
      </w:pPr>
      <w:r>
        <w:rPr>
          <w:rFonts w:ascii="Times New Roman" w:hAnsi="Times New Roman" w:eastAsia="SimSun"/>
          <w:b w:val="0"/>
          <w:color w:val="000000"/>
          <w:sz w:val="24"/>
        </w:rPr>
        <w:t>This figure shows the cross-validation profile used during penalty selection for LASSO screening.</w:t>
      </w:r>
    </w:p>
    <w:p>
      <w:pPr>
        <w:spacing w:before="160" w:after="60"/>
      </w:pPr>
      <w:r>
        <w:rPr>
          <w:rFonts w:ascii="Times New Roman" w:hAnsi="Times New Roman" w:eastAsia="SimSun"/>
          <w:b/>
          <w:color w:val="000000"/>
          <w:sz w:val="24"/>
        </w:rPr>
        <w:t>eFigure 7. Threshold-family operating comparison</w:t>
      </w:r>
    </w:p>
    <w:p>
      <w:pPr>
        <w:spacing w:after="80"/>
      </w:pPr>
      <w:r>
        <w:rPr>
          <w:rFonts w:ascii="Times New Roman" w:hAnsi="Times New Roman" w:eastAsia="SimSun"/>
          <w:b w:val="0"/>
          <w:color w:val="000000"/>
          <w:sz w:val="24"/>
        </w:rPr>
        <w:t>This figure compares the operating behavior of the Youden, high-sensitivity, high-specificity, best-F1, and fixed 0.5 thresholds.</w:t>
      </w:r>
    </w:p>
    <w:p>
      <w:pPr>
        <w:spacing w:before="160" w:after="60"/>
      </w:pPr>
      <w:r>
        <w:rPr>
          <w:rFonts w:ascii="Times New Roman" w:hAnsi="Times New Roman" w:eastAsia="SimSun"/>
          <w:b/>
          <w:color w:val="000000"/>
          <w:sz w:val="24"/>
        </w:rPr>
        <w:t>eFigure 8. Web calculator preview used for translation support</w:t>
      </w:r>
    </w:p>
    <w:p>
      <w:pPr>
        <w:spacing w:after="80"/>
      </w:pPr>
      <w:r>
        <w:rPr>
          <w:rFonts w:ascii="Times New Roman" w:hAnsi="Times New Roman" w:eastAsia="SimSun"/>
          <w:b w:val="0"/>
          <w:color w:val="000000"/>
          <w:sz w:val="24"/>
        </w:rPr>
        <w:t>This figure shows the web-facing calculator preview aligned with the locked deployment model and the manuscript's primary operating threshold. It is a translation aid only and not an external validation analysis.</w:t>
      </w:r>
    </w:p>
    <w:p>
      <w:pPr>
        <w:spacing w:before="160" w:after="60"/>
      </w:pPr>
      <w:r>
        <w:rPr>
          <w:rFonts w:ascii="Times New Roman" w:hAnsi="Times New Roman" w:eastAsia="SimSun"/>
          <w:b/>
          <w:color w:val="000000"/>
          <w:sz w:val="24"/>
        </w:rPr>
        <w:t>eTables</w:t>
      </w:r>
    </w:p>
    <w:p>
      <w:pPr>
        <w:spacing w:before="160" w:after="60"/>
      </w:pPr>
      <w:r>
        <w:rPr>
          <w:rFonts w:ascii="Times New Roman" w:hAnsi="Times New Roman" w:eastAsia="SimSun"/>
          <w:b/>
          <w:color w:val="000000"/>
          <w:sz w:val="24"/>
        </w:rPr>
        <w:t>eTable 1. Variable dictionary for the final SEER analytic dataset</w:t>
      </w:r>
    </w:p>
    <w:p>
      <w:pPr>
        <w:spacing w:after="80"/>
      </w:pPr>
      <w:r>
        <w:rPr>
          <w:rFonts w:ascii="Times New Roman" w:hAnsi="Times New Roman" w:eastAsia="SimSun"/>
          <w:b w:val="0"/>
          <w:color w:val="000000"/>
          <w:sz w:val="24"/>
        </w:rPr>
        <w:t>Harmonized variable dictionary used in the final analytic dataset, including clinical display labels and operational definitions.</w:t>
      </w:r>
    </w:p>
    <w:p>
      <w:pPr>
        <w:spacing w:before="160" w:after="60"/>
      </w:pPr>
      <w:r>
        <w:rPr>
          <w:rFonts w:ascii="Times New Roman" w:hAnsi="Times New Roman" w:eastAsia="SimSun"/>
          <w:b/>
          <w:color w:val="000000"/>
          <w:sz w:val="24"/>
        </w:rPr>
        <w:t>eTable 2. Missingness summary for candidate variables</w:t>
      </w:r>
    </w:p>
    <w:p>
      <w:pPr>
        <w:spacing w:after="80"/>
      </w:pPr>
      <w:r>
        <w:rPr>
          <w:rFonts w:ascii="Times New Roman" w:hAnsi="Times New Roman" w:eastAsia="SimSun"/>
          <w:b w:val="0"/>
          <w:color w:val="000000"/>
          <w:sz w:val="24"/>
        </w:rPr>
        <w:t>Missingness structure for candidate variables in the final analytic cohort.</w:t>
      </w:r>
    </w:p>
    <w:p>
      <w:pPr>
        <w:spacing w:before="160" w:after="60"/>
      </w:pPr>
      <w:r>
        <w:rPr>
          <w:rFonts w:ascii="Times New Roman" w:hAnsi="Times New Roman" w:eastAsia="SimSun"/>
          <w:b/>
          <w:color w:val="000000"/>
          <w:sz w:val="24"/>
        </w:rPr>
        <w:t>eTable 3. LASSO-retained features and coefficient summary</w:t>
      </w:r>
    </w:p>
    <w:p>
      <w:pPr>
        <w:spacing w:after="80"/>
      </w:pPr>
      <w:r>
        <w:rPr>
          <w:rFonts w:ascii="Times New Roman" w:hAnsi="Times New Roman" w:eastAsia="SimSun"/>
          <w:b w:val="0"/>
          <w:color w:val="000000"/>
          <w:sz w:val="24"/>
        </w:rPr>
        <w:t>Retained-variable set and coefficient summary from the LASSO screening stage.</w:t>
      </w:r>
    </w:p>
    <w:p>
      <w:pPr>
        <w:spacing w:before="160" w:after="60"/>
      </w:pPr>
      <w:r>
        <w:rPr>
          <w:rFonts w:ascii="Times New Roman" w:hAnsi="Times New Roman" w:eastAsia="SimSun"/>
          <w:b/>
          <w:color w:val="000000"/>
          <w:sz w:val="24"/>
        </w:rPr>
        <w:t>eTable 4. Best hyperparameters for the machine-learning models</w:t>
      </w:r>
    </w:p>
    <w:p>
      <w:pPr>
        <w:spacing w:after="80"/>
      </w:pPr>
      <w:r>
        <w:rPr>
          <w:rFonts w:ascii="Times New Roman" w:hAnsi="Times New Roman" w:eastAsia="SimSun"/>
          <w:b w:val="0"/>
          <w:color w:val="000000"/>
          <w:sz w:val="24"/>
        </w:rPr>
        <w:t>Selected hyperparameters for the machine-learning models under the locked development workflow.</w:t>
      </w:r>
    </w:p>
    <w:p>
      <w:pPr>
        <w:spacing w:before="160" w:after="60"/>
      </w:pPr>
      <w:r>
        <w:rPr>
          <w:rFonts w:ascii="Times New Roman" w:hAnsi="Times New Roman" w:eastAsia="SimSun"/>
          <w:b/>
          <w:color w:val="000000"/>
          <w:sz w:val="24"/>
        </w:rPr>
        <w:t>eTable 5. Post-calibration comparison of raw, Platt-scaled, and isotonic variants</w:t>
      </w:r>
    </w:p>
    <w:p>
      <w:pPr>
        <w:spacing w:after="80"/>
      </w:pPr>
      <w:r>
        <w:rPr>
          <w:rFonts w:ascii="Times New Roman" w:hAnsi="Times New Roman" w:eastAsia="SimSun"/>
          <w:b w:val="0"/>
          <w:color w:val="000000"/>
          <w:sz w:val="24"/>
        </w:rPr>
        <w:t>Comparative summary used to lock the final calibration strategy.</w:t>
      </w:r>
    </w:p>
    <w:p>
      <w:pPr>
        <w:spacing w:before="160" w:after="60"/>
      </w:pPr>
      <w:r>
        <w:rPr>
          <w:rFonts w:ascii="Times New Roman" w:hAnsi="Times New Roman" w:eastAsia="SimSun"/>
          <w:b/>
          <w:color w:val="000000"/>
          <w:sz w:val="24"/>
        </w:rPr>
        <w:t>eTable 6. Pairwise model comparison against benchmark comparators</w:t>
      </w:r>
    </w:p>
    <w:p>
      <w:pPr>
        <w:spacing w:after="80"/>
      </w:pPr>
      <w:r>
        <w:rPr>
          <w:rFonts w:ascii="Times New Roman" w:hAnsi="Times New Roman" w:eastAsia="SimSun"/>
          <w:b w:val="0"/>
          <w:color w:val="000000"/>
          <w:sz w:val="24"/>
        </w:rPr>
        <w:t>Effect-size comparisons between the selected deployment model and key benchmark comparators.</w:t>
      </w:r>
    </w:p>
    <w:p>
      <w:pPr>
        <w:spacing w:before="160" w:after="60"/>
      </w:pPr>
      <w:r>
        <w:rPr>
          <w:rFonts w:ascii="Times New Roman" w:hAnsi="Times New Roman" w:eastAsia="SimSun"/>
          <w:b/>
          <w:color w:val="000000"/>
          <w:sz w:val="24"/>
        </w:rPr>
        <w:t>eTable 7. Threshold-family operating characteristics</w:t>
      </w:r>
    </w:p>
    <w:p>
      <w:pPr>
        <w:spacing w:after="80"/>
      </w:pPr>
      <w:r>
        <w:rPr>
          <w:rFonts w:ascii="Times New Roman" w:hAnsi="Times New Roman" w:eastAsia="SimSun"/>
          <w:b w:val="0"/>
          <w:color w:val="000000"/>
          <w:sz w:val="24"/>
        </w:rPr>
        <w:t>Operating characteristics across the prespecified threshold family. The main manuscript uses Youden's index as the primary operating threshold.</w:t>
      </w:r>
    </w:p>
    <w:p>
      <w:pPr>
        <w:spacing w:before="160" w:after="60"/>
      </w:pPr>
      <w:r>
        <w:rPr>
          <w:rFonts w:ascii="Times New Roman" w:hAnsi="Times New Roman" w:eastAsia="SimSun"/>
          <w:b/>
          <w:color w:val="000000"/>
          <w:sz w:val="24"/>
        </w:rPr>
        <w:t>eTable 8. Youden-based risk stratification summary</w:t>
      </w:r>
    </w:p>
    <w:p>
      <w:pPr>
        <w:spacing w:after="80"/>
      </w:pPr>
      <w:r>
        <w:rPr>
          <w:rFonts w:ascii="Times New Roman" w:hAnsi="Times New Roman" w:eastAsia="SimSun"/>
          <w:b w:val="0"/>
          <w:color w:val="000000"/>
          <w:sz w:val="24"/>
        </w:rPr>
        <w:t>Observed operating characteristics and event burden for the Youden-anchored risk groups.</w:t>
      </w:r>
    </w:p>
    <w:p>
      <w:pPr>
        <w:spacing w:before="160" w:after="60"/>
      </w:pPr>
      <w:r>
        <w:rPr>
          <w:rFonts w:ascii="Times New Roman" w:hAnsi="Times New Roman" w:eastAsia="SimSun"/>
          <w:b/>
          <w:color w:val="000000"/>
          <w:sz w:val="24"/>
        </w:rPr>
        <w:t>eTable 9. Month-level latency summary for eligible second primary thyroid cancer events</w:t>
      </w:r>
    </w:p>
    <w:p>
      <w:pPr>
        <w:spacing w:after="80"/>
      </w:pPr>
      <w:r>
        <w:rPr>
          <w:rFonts w:ascii="Times New Roman" w:hAnsi="Times New Roman" w:eastAsia="SimSun"/>
          <w:b w:val="0"/>
          <w:color w:val="000000"/>
          <w:sz w:val="24"/>
        </w:rPr>
        <w:t>Month-level timing summary for eligible second primary thyroid cancer events within the fixed 5-year analysis window.</w:t>
      </w:r>
    </w:p>
    <w:p>
      <w:pPr>
        <w:spacing w:before="160" w:after="60"/>
      </w:pPr>
      <w:r>
        <w:rPr>
          <w:rFonts w:ascii="Times New Roman" w:hAnsi="Times New Roman" w:eastAsia="SimSun"/>
          <w:b/>
          <w:color w:val="000000"/>
          <w:sz w:val="24"/>
        </w:rPr>
        <w:t>eTable 10. Main-latency linkage and follow-up eligibility summary</w:t>
      </w:r>
    </w:p>
    <w:p>
      <w:pPr>
        <w:spacing w:after="80"/>
      </w:pPr>
      <w:r>
        <w:rPr>
          <w:rFonts w:ascii="Times New Roman" w:hAnsi="Times New Roman" w:eastAsia="SimSun"/>
          <w:b w:val="0"/>
          <w:color w:val="000000"/>
          <w:sz w:val="24"/>
        </w:rPr>
        <w:t>Patient-level linkage between the main SEER case listing and the independent MP-SIR latency supplement, together with the fixed follow-up eligibility review used to define reliable non-events.</w:t>
      </w:r>
    </w:p>
    <w:p>
      <w:pPr>
        <w:spacing w:before="160" w:after="60"/>
      </w:pPr>
      <w:r>
        <w:rPr>
          <w:rFonts w:ascii="Times New Roman" w:hAnsi="Times New Roman" w:eastAsia="SimSun"/>
          <w:b/>
          <w:color w:val="000000"/>
          <w:sz w:val="24"/>
        </w:rPr>
        <w:t>Exploratory Molecular Context</w:t>
      </w:r>
    </w:p>
    <w:p>
      <w:pPr>
        <w:spacing w:after="80"/>
      </w:pPr>
      <w:r>
        <w:rPr>
          <w:rFonts w:ascii="Times New Roman" w:hAnsi="Times New Roman" w:eastAsia="SimSun"/>
          <w:b w:val="0"/>
          <w:color w:val="000000"/>
          <w:sz w:val="24"/>
        </w:rPr>
        <w:t>The exploratory molecular context remains supplementary to the main SEER prediction analysis. The TCGA-BRCA and TCGA-THCA outputs are presented only as biological plausibility support and not as an external validation cohort. The associated files are provided in the `Exploratory_Molecular_Context` directory of the submission package and include the candidate-gene summary, pathway enrichment summary, and exploratory expression visualizations.</w:t>
      </w:r>
    </w:p>
    <w:p>
      <w:pPr>
        <w:spacing w:before="160" w:after="60"/>
      </w:pPr>
      <w:r>
        <w:rPr>
          <w:rFonts w:ascii="Times New Roman" w:hAnsi="Times New Roman" w:eastAsia="SimSun"/>
          <w:b/>
          <w:color w:val="000000"/>
          <w:sz w:val="24"/>
        </w:rPr>
        <w:t>File Index</w:t>
      </w:r>
    </w:p>
    <w:p>
      <w:pPr>
        <w:spacing w:before="160" w:after="60"/>
      </w:pPr>
      <w:r>
        <w:rPr>
          <w:rFonts w:ascii="Times New Roman" w:hAnsi="Times New Roman" w:eastAsia="SimSun"/>
          <w:b/>
          <w:color w:val="000000"/>
          <w:sz w:val="24"/>
        </w:rPr>
        <w:t>Main manuscript files</w:t>
      </w:r>
    </w:p>
    <w:p>
      <w:pPr>
        <w:pStyle w:val="ListBullet"/>
        <w:spacing w:after="40"/>
      </w:pPr>
      <w:r>
        <w:rPr>
          <w:rFonts w:ascii="Times New Roman" w:hAnsi="Times New Roman" w:eastAsia="SimSun"/>
          <w:b w:val="0"/>
          <w:color w:val="000000"/>
          <w:sz w:val="24"/>
        </w:rPr>
        <w:t>`manuscript.md`</w:t>
      </w:r>
    </w:p>
    <w:p>
      <w:pPr>
        <w:pStyle w:val="ListBullet"/>
        <w:spacing w:after="40"/>
      </w:pPr>
      <w:r>
        <w:rPr>
          <w:rFonts w:ascii="Times New Roman" w:hAnsi="Times New Roman" w:eastAsia="SimSun"/>
          <w:b w:val="0"/>
          <w:color w:val="000000"/>
          <w:sz w:val="24"/>
        </w:rPr>
        <w:t>`manuscript.docx`</w:t>
      </w:r>
    </w:p>
    <w:p>
      <w:pPr>
        <w:pStyle w:val="ListBullet"/>
        <w:spacing w:after="40"/>
      </w:pPr>
      <w:r>
        <w:rPr>
          <w:rFonts w:ascii="Times New Roman" w:hAnsi="Times New Roman" w:eastAsia="SimSun"/>
          <w:b w:val="0"/>
          <w:color w:val="000000"/>
          <w:sz w:val="24"/>
        </w:rPr>
        <w:t>`cover_letter.docx`</w:t>
      </w:r>
    </w:p>
    <w:p>
      <w:pPr>
        <w:spacing w:before="160" w:after="60"/>
      </w:pPr>
      <w:r>
        <w:rPr>
          <w:rFonts w:ascii="Times New Roman" w:hAnsi="Times New Roman" w:eastAsia="SimSun"/>
          <w:b/>
          <w:color w:val="000000"/>
          <w:sz w:val="24"/>
        </w:rPr>
        <w:t>Supplementary figures</w:t>
      </w:r>
    </w:p>
    <w:p>
      <w:pPr>
        <w:pStyle w:val="ListBullet"/>
        <w:spacing w:after="40"/>
      </w:pPr>
      <w:r>
        <w:rPr>
          <w:rFonts w:ascii="Times New Roman" w:hAnsi="Times New Roman" w:eastAsia="SimSun"/>
          <w:b w:val="0"/>
          <w:color w:val="000000"/>
          <w:sz w:val="24"/>
        </w:rPr>
        <w:t>`eFigure_1.tif`</w:t>
      </w:r>
    </w:p>
    <w:p>
      <w:pPr>
        <w:pStyle w:val="ListBullet"/>
        <w:spacing w:after="40"/>
      </w:pPr>
      <w:r>
        <w:rPr>
          <w:rFonts w:ascii="Times New Roman" w:hAnsi="Times New Roman" w:eastAsia="SimSun"/>
          <w:b w:val="0"/>
          <w:color w:val="000000"/>
          <w:sz w:val="24"/>
        </w:rPr>
        <w:t>`eFigure_2.tif`</w:t>
      </w:r>
    </w:p>
    <w:p>
      <w:pPr>
        <w:pStyle w:val="ListBullet"/>
        <w:spacing w:after="40"/>
      </w:pPr>
      <w:r>
        <w:rPr>
          <w:rFonts w:ascii="Times New Roman" w:hAnsi="Times New Roman" w:eastAsia="SimSun"/>
          <w:b w:val="0"/>
          <w:color w:val="000000"/>
          <w:sz w:val="24"/>
        </w:rPr>
        <w:t>`eFigure_3.tif`</w:t>
      </w:r>
    </w:p>
    <w:p>
      <w:pPr>
        <w:pStyle w:val="ListBullet"/>
        <w:spacing w:after="40"/>
      </w:pPr>
      <w:r>
        <w:rPr>
          <w:rFonts w:ascii="Times New Roman" w:hAnsi="Times New Roman" w:eastAsia="SimSun"/>
          <w:b w:val="0"/>
          <w:color w:val="000000"/>
          <w:sz w:val="24"/>
        </w:rPr>
        <w:t>`eFigure_4.tif`</w:t>
      </w:r>
    </w:p>
    <w:p>
      <w:pPr>
        <w:pStyle w:val="ListBullet"/>
        <w:spacing w:after="40"/>
      </w:pPr>
      <w:r>
        <w:rPr>
          <w:rFonts w:ascii="Times New Roman" w:hAnsi="Times New Roman" w:eastAsia="SimSun"/>
          <w:b w:val="0"/>
          <w:color w:val="000000"/>
          <w:sz w:val="24"/>
        </w:rPr>
        <w:t>`eFigure_5.tif`</w:t>
      </w:r>
    </w:p>
    <w:p>
      <w:pPr>
        <w:pStyle w:val="ListBullet"/>
        <w:spacing w:after="40"/>
      </w:pPr>
      <w:r>
        <w:rPr>
          <w:rFonts w:ascii="Times New Roman" w:hAnsi="Times New Roman" w:eastAsia="SimSun"/>
          <w:b w:val="0"/>
          <w:color w:val="000000"/>
          <w:sz w:val="24"/>
        </w:rPr>
        <w:t>`eFigure_6.tif`</w:t>
      </w:r>
    </w:p>
    <w:p>
      <w:pPr>
        <w:pStyle w:val="ListBullet"/>
        <w:spacing w:after="40"/>
      </w:pPr>
      <w:r>
        <w:rPr>
          <w:rFonts w:ascii="Times New Roman" w:hAnsi="Times New Roman" w:eastAsia="SimSun"/>
          <w:b w:val="0"/>
          <w:color w:val="000000"/>
          <w:sz w:val="24"/>
        </w:rPr>
        <w:t>`eFigure_7.tif`</w:t>
      </w:r>
    </w:p>
    <w:p>
      <w:pPr>
        <w:pStyle w:val="ListBullet"/>
        <w:spacing w:after="40"/>
      </w:pPr>
      <w:r>
        <w:rPr>
          <w:rFonts w:ascii="Times New Roman" w:hAnsi="Times New Roman" w:eastAsia="SimSun"/>
          <w:b w:val="0"/>
          <w:color w:val="000000"/>
          <w:sz w:val="24"/>
        </w:rPr>
        <w:t>`eFigure_8.tif`</w:t>
      </w:r>
    </w:p>
    <w:p>
      <w:pPr>
        <w:spacing w:before="160" w:after="60"/>
      </w:pPr>
      <w:r>
        <w:rPr>
          <w:rFonts w:ascii="Times New Roman" w:hAnsi="Times New Roman" w:eastAsia="SimSun"/>
          <w:b/>
          <w:color w:val="000000"/>
          <w:sz w:val="24"/>
        </w:rPr>
        <w:t>Supplementary tables</w:t>
      </w:r>
    </w:p>
    <w:p>
      <w:pPr>
        <w:pStyle w:val="ListBullet"/>
        <w:spacing w:after="40"/>
      </w:pPr>
      <w:r>
        <w:rPr>
          <w:rFonts w:ascii="Times New Roman" w:hAnsi="Times New Roman" w:eastAsia="SimSun"/>
          <w:b w:val="0"/>
          <w:color w:val="000000"/>
          <w:sz w:val="24"/>
        </w:rPr>
        <w:t>`eTable_1.csv`</w:t>
      </w:r>
    </w:p>
    <w:p>
      <w:pPr>
        <w:pStyle w:val="ListBullet"/>
        <w:spacing w:after="40"/>
      </w:pPr>
      <w:r>
        <w:rPr>
          <w:rFonts w:ascii="Times New Roman" w:hAnsi="Times New Roman" w:eastAsia="SimSun"/>
          <w:b w:val="0"/>
          <w:color w:val="000000"/>
          <w:sz w:val="24"/>
        </w:rPr>
        <w:t>`eTable_2.csv`</w:t>
      </w:r>
    </w:p>
    <w:p>
      <w:pPr>
        <w:pStyle w:val="ListBullet"/>
        <w:spacing w:after="40"/>
      </w:pPr>
      <w:r>
        <w:rPr>
          <w:rFonts w:ascii="Times New Roman" w:hAnsi="Times New Roman" w:eastAsia="SimSun"/>
          <w:b w:val="0"/>
          <w:color w:val="000000"/>
          <w:sz w:val="24"/>
        </w:rPr>
        <w:t>`eTable_3.csv`</w:t>
      </w:r>
    </w:p>
    <w:p>
      <w:pPr>
        <w:pStyle w:val="ListBullet"/>
        <w:spacing w:after="40"/>
      </w:pPr>
      <w:r>
        <w:rPr>
          <w:rFonts w:ascii="Times New Roman" w:hAnsi="Times New Roman" w:eastAsia="SimSun"/>
          <w:b w:val="0"/>
          <w:color w:val="000000"/>
          <w:sz w:val="24"/>
        </w:rPr>
        <w:t>`eTable_4.csv`</w:t>
      </w:r>
    </w:p>
    <w:p>
      <w:pPr>
        <w:pStyle w:val="ListBullet"/>
        <w:spacing w:after="40"/>
      </w:pPr>
      <w:r>
        <w:rPr>
          <w:rFonts w:ascii="Times New Roman" w:hAnsi="Times New Roman" w:eastAsia="SimSun"/>
          <w:b w:val="0"/>
          <w:color w:val="000000"/>
          <w:sz w:val="24"/>
        </w:rPr>
        <w:t>`eTable_5.csv`</w:t>
      </w:r>
    </w:p>
    <w:p>
      <w:pPr>
        <w:pStyle w:val="ListBullet"/>
        <w:spacing w:after="40"/>
      </w:pPr>
      <w:r>
        <w:rPr>
          <w:rFonts w:ascii="Times New Roman" w:hAnsi="Times New Roman" w:eastAsia="SimSun"/>
          <w:b w:val="0"/>
          <w:color w:val="000000"/>
          <w:sz w:val="24"/>
        </w:rPr>
        <w:t>`eTable_6.csv`</w:t>
      </w:r>
    </w:p>
    <w:p>
      <w:pPr>
        <w:pStyle w:val="ListBullet"/>
        <w:spacing w:after="40"/>
      </w:pPr>
      <w:r>
        <w:rPr>
          <w:rFonts w:ascii="Times New Roman" w:hAnsi="Times New Roman" w:eastAsia="SimSun"/>
          <w:b w:val="0"/>
          <w:color w:val="000000"/>
          <w:sz w:val="24"/>
        </w:rPr>
        <w:t>`eTable_7.csv`</w:t>
      </w:r>
    </w:p>
    <w:p>
      <w:pPr>
        <w:pStyle w:val="ListBullet"/>
        <w:spacing w:after="40"/>
      </w:pPr>
      <w:r>
        <w:rPr>
          <w:rFonts w:ascii="Times New Roman" w:hAnsi="Times New Roman" w:eastAsia="SimSun"/>
          <w:b w:val="0"/>
          <w:color w:val="000000"/>
          <w:sz w:val="24"/>
        </w:rPr>
        <w:t>`eTable_8.csv`</w:t>
      </w:r>
    </w:p>
    <w:p>
      <w:pPr>
        <w:pStyle w:val="ListBullet"/>
        <w:spacing w:after="40"/>
      </w:pPr>
      <w:r>
        <w:rPr>
          <w:rFonts w:ascii="Times New Roman" w:hAnsi="Times New Roman" w:eastAsia="SimSun"/>
          <w:b w:val="0"/>
          <w:color w:val="000000"/>
          <w:sz w:val="24"/>
        </w:rPr>
        <w:t>`eTable_9.csv`</w:t>
      </w:r>
    </w:p>
    <w:p>
      <w:pPr>
        <w:pStyle w:val="ListBullet"/>
        <w:spacing w:after="40"/>
      </w:pPr>
      <w:r>
        <w:rPr>
          <w:rFonts w:ascii="Times New Roman" w:hAnsi="Times New Roman" w:eastAsia="SimSun"/>
          <w:b w:val="0"/>
          <w:color w:val="000000"/>
          <w:sz w:val="24"/>
        </w:rPr>
        <w:t>`eTable_10.csv`</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