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color w:val="000000"/>
          <w:sz w:val="30"/>
        </w:rPr>
        <w:t>Submission Tables</w:t>
      </w:r>
    </w:p>
    <w:p>
      <w:pPr>
        <w:spacing w:before="160" w:after="60"/>
      </w:pPr>
      <w:r>
        <w:rPr>
          <w:rFonts w:ascii="Times New Roman" w:hAnsi="Times New Roman" w:eastAsia="SimSun"/>
          <w:b/>
          <w:color w:val="000000"/>
          <w:sz w:val="24"/>
        </w:rPr>
        <w:t>Table 1. Baseline characteristics of the development, internal validation, and temporal validation cohorts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Characteristic</w:t>
            </w:r>
          </w:p>
        </w:tc>
        <w:tc>
          <w:tcPr>
            <w:tcW w:type="dxa" w:w="1080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Development training (n=157916)</w:t>
            </w:r>
          </w:p>
        </w:tc>
        <w:tc>
          <w:tcPr>
            <w:tcW w:type="dxa" w:w="194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Internal validation (n=39479)</w:t>
            </w:r>
          </w:p>
        </w:tc>
        <w:tc>
          <w:tcPr>
            <w:tcW w:type="dxa" w:w="194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(n=105153)</w:t>
            </w:r>
          </w:p>
        </w:tc>
        <w:tc>
          <w:tcPr>
            <w:tcW w:type="dxa" w:w="194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P value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Demographics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Age, years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59.0 (50.0-68.0)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59.0 (50.0-68.0)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60.0 (51.0-69.0)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Race or ethnicity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Non-Hispanic White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107645 (68.2%)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26758 (67.8%)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69229 (65.8%)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Non-Hispanic Black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15154 (9.6%)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3776 (9.6%)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10423 (9.9%)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Non-Hispanic Asian or Pacific Islander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14875 (9.4%)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3820 (9.7%)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10881 (10.3%)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Hispanic (All races)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18670 (11.8%)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4705 (11.9%)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13470 (12.8%)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1572 (1.0%)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420 (1.1%)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1150 (1.1%)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Marital status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Married/partnered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91789 (58.1%)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22883 (58.0%)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61537 (58.5%)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Single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22676 (14.4%)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5850 (14.8%)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15843 (15.1%)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Divorced/separated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18372 (11.6%)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4577 (11.6%)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12413 (11.8%)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Widowed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16730 (10.6%)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4105 (10.4%)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10482 (10.0%)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8349 (5.3%)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2064 (5.2%)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4878 (4.6%)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Tumor characteristics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Laterality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0.820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Left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79577 (50.4%)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19998 (50.7%)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53057 (50.5%)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Right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77958 (49.4%)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19395 (49.1%)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51847 (49.3%)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381 (0.2%)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86 (0.2%)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249 (0.2%)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grade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Grade I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36068 (22.8%)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8974 (22.7%)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25073 (23.8%)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Grade II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63443 (40.2%)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15907 (40.3%)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46048 (43.8%)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Grade III-IV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42311 (26.8%)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10585 (26.8%)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27636 (26.3%)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16094 (10.2%)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4013 (10.2%)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6396 (6.1%)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Combined summary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Localized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108345 (68.6%)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27204 (68.9%)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73220 (69.6%)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Regional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45090 (28.6%)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11148 (28.2%)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28666 (27.3%)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Distant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2795 (1.8%)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689 (1.7%)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2109 (2.0%)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Unknown/unstaged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1686 (1.1%)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438 (1.1%)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1158 (1.1%)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AJCC stage group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Stage 0-I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80643 (51.1%)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20178 (51.1%)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21729 (51.5%)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Stage II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55252 (35.0%)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13779 (34.9%)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15076 (35.7%)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Stage III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14203 (9.0%)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3498 (8.9%)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3513 (8.3%)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Stage IV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2594 (1.6%)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639 (1.6%)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762 (1.8%)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Unknown/other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5135 (3.3%)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1363 (3.5%)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1103 (2.6%)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Breast subtype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HR+/HER2-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109639 (69.4%)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27298 (69.1%)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74333 (70.7%)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HR+/HER2+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15771 (10.0%)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4011 (10.2%)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11642 (11.1%)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HR-/HER2+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6498 (4.1%)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1600 (4.1%)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4450 (4.2%)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HR-/HER2-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14165 (9.0%)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3559 (9.0%)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8813 (8.4%)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Unknown/other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11843 (7.5%)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3011 (7.6%)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5915 (5.6%)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size, mm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&lt;=20 mm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96210 (60.9%)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23908 (60.6%)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63638 (60.5%)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21-50 mm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45841 (29.0%)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11486 (29.1%)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30837 (29.3%)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&gt;50 mm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8124 (5.1%)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2048 (5.2%)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5834 (5.5%)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7741 (4.9%)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2037 (5.2%)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4844 (4.6%)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Regional nodes positive, count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0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103151 (65.3%)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25880 (65.6%)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70351 (66.9%)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1-3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30314 (19.2%)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7529 (19.1%)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19008 (18.1%)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&gt;=4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9786 (6.2%)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2347 (5.9%)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4993 (4.7%)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14665 (9.3%)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3723 (9.4%)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10801 (10.3%)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Treatment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Primary breast surgery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Breast-conserving surgery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87465 (55.4%)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21853 (55.4%)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61940 (58.9%)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Mastectomy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63730 (40.4%)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15924 (40.3%)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38092 (36.2%)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 surgery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6277 (4.0%)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1573 (4.0%)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4881 (4.6%)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444 (0.3%)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129 (0.3%)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240 (0.2%)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Radiotherapy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Beam radiation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80846 (51.2%)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20166 (51.1%)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58287 (55.4%)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Brachytherapy/isotope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4710 (3.0%)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1130 (2.9%)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2557 (2.4%)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63895 (40.5%)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16023 (40.6%)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37478 (35.6%)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Refused/recommended 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7661 (4.9%)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1978 (5.0%)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6381 (6.1%)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Other radiation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804 (0.5%)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182 (0.5%)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450 (0.4%)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Chemotherapy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&lt;0.001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Yes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65367 (41.4%)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16273 (41.2%)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42289 (40.2%)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 xml:space="preserve">  No/unknown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92549 (58.6%)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23206 (58.8%)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62864 (59.8%)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Continuous variables are presented as median (IQR); categorical variables are presented as n (%).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P values were calculated using the Kruskal-Wallis test for continuous variables and the chi-square test or Fisher exact test, as appropriate, for categorical variables.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 w:eastAsia="SimSun"/>
          <w:b/>
          <w:color w:val="000000"/>
          <w:sz w:val="24"/>
        </w:rPr>
        <w:t>Table 2. Clinically interpretable predictors retained in the final deployment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8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Domain</w:t>
            </w:r>
          </w:p>
        </w:tc>
        <w:tc>
          <w:tcPr>
            <w:tcW w:type="dxa" w:w="1080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Clinical predictor</w:t>
            </w:r>
          </w:p>
        </w:tc>
        <w:tc>
          <w:tcPr>
            <w:tcW w:type="dxa" w:w="1656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Variable type</w:t>
            </w:r>
          </w:p>
        </w:tc>
        <w:tc>
          <w:tcPr>
            <w:tcW w:type="dxa" w:w="1656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Clinical coding in analysis</w:t>
            </w:r>
          </w:p>
        </w:tc>
        <w:tc>
          <w:tcPr>
            <w:tcW w:type="dxa" w:w="1656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Model entry in final deployment model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Demographics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Continuous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Age at diagnosis in years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continuous numeric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Demographics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Race or ethnicity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Race and ethnicity groups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Demographics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Marital status at diagnosis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Married/partnered, single, divorced/separated, widowed, or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Laterality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Left, right, or other/unknown laterality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grade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Grade I, II, III-IV, or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Combined summary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Localized, regional, distant, or unknown/unstaged disease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Breast subtype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HR/HER2 molecular subtype groups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HER2 status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Positive, negative, or borderline/unknown HER2 status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biology / stage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AJCC stage group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Stage 0-I, II, III, IV, or unknown/other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burden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size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Continuous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Continuous primary tumor size in millimeters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continuous numeric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Tumor burden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Regional nodes examined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Continuous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Continuous count of regional nodes examined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continuous numeric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Treatment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Surgery of primary site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Breast-conserving surgery, mastectomy, no surgery, or other/unknown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Treatment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Radiotherapy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Beam radiation, brachytherapy/isotope, none/unknown, refused/recommended unknown, or other radiation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  <w:tr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Treatment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Chemotherapy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Categorical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Chemotherapy recorded as yes versus no/unknown</w:t>
            </w:r>
          </w:p>
        </w:tc>
        <w:tc>
          <w:tcPr>
            <w:tcW w:type="dxa" w:w="1930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Entered as a multicategory clinical predictor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The final deployment model was CatBoost; Table 2 summarizes the retained clinical predictors only.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Categorical predictors were entered as multicategory clinical variables, whereas age, tumor size, and nodal counts entered the deployment model as continuous numeric predictors.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 w:eastAsia="SimSun"/>
          <w:b/>
          <w:color w:val="000000"/>
          <w:sz w:val="24"/>
        </w:rPr>
        <w:t>Table 3. Comparative performance of six machine-learning models and three benchmark comparators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194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Calibration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Internal AUROC (95% CI)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AUROC (95% CI)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AUPRC (95% CI)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Brier score (95% CI)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Sensitivity / specificity (Youden)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PPV / NPV (Youden)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F1 score (Youden)</w:t>
            </w:r>
          </w:p>
        </w:tc>
        <w:tc>
          <w:tcPr>
            <w:tcW w:type="dxa" w:w="1555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validation AUROC delta vs clinicopathologic baseline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Logistic regression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0.586 [0.531, 0.643]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0.558 [0.532, 0.590]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[0.004, 0.005]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0.003 [0.003, 0.003]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0.740 / 0.298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+0.000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Support vector machine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0.536 [0.481, 0.599]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0.586 [0.559, 0.615]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[0.004, 0.005]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0.012 [0.012, 0.012]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0.910 / 0.160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+0.028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0.559 [0.505, 0.606]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0.593 [0.571, 0.620]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[0.004, 0.005]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0.226 [0.226, 0.227]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0.615 / 0.530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0.009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+0.035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XGBoost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0.570 [0.517, 0.619]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0.594 [0.567, 0.623]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[0.004, 0.006]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0.003 [0.003, 0.003]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0.440 / 0.675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0.009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+0.036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LightGBM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0.550 [0.493, 0.605]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0.503 [0.474, 0.533]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0.003 [0.003, 0.004]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[0.004, 0.004]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0.639 / 0.369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-0.054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CatBoost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Platt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0.566 [0.503, 0.623]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0.609 [0.586, 0.636]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0.006 [0.005, 0.007]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0.003 [0.003, 0.003]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0.620 / 0.549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/ 0.998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0.009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+0.052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Age-only benchmark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0.522 [0.469, 0.571]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0.576 [0.548, 0.601]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[0.004, 0.005]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0.246 [0.246, 0.247]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0.571 / 0.523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+0.018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AJCC/stage-only benchmark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0.560 [0.507, 0.602]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0.495 [0.473, 0.516]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[0.003, 0.004]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0.143 [0.142, 0.144]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0.221 / 0.806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-0.063</w:t>
            </w:r>
          </w:p>
        </w:tc>
      </w:tr>
      <w:tr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Clinicopathologic baseline model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Raw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0.544 [0.497, 0.595]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0.558 [0.520, 0.584]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0.005 [0.004, 0.005]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0.226 [0.225, 0.227]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0.634 / 0.425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0.004 / 0.997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0.008</w:t>
            </w:r>
          </w:p>
        </w:tc>
        <w:tc>
          <w:tcPr>
            <w:tcW w:type="dxa" w:w="965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Reference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Internal validation was performed within the SEER 2010-2014 development cohort after patient-level splitting.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The locked model set was then evaluated in the SEER temporal validation cohort (2015-2017) without retuning.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The primary operating threshold was defined by Youden's index in internal validation; alternate threshold families are reported in the supplementary operating-characteristics table.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The calibration column identifies the selected post-calibration strategy, and AUROC deltas are referenced against the clinicopathologic baseline in temporal validation.</w:t>
      </w:r>
    </w:p>
    <w:p>
      <w:r>
        <w:br w:type="page"/>
      </w:r>
    </w:p>
    <w:p>
      <w:pPr>
        <w:spacing w:before="160" w:after="60"/>
      </w:pPr>
      <w:r>
        <w:rPr>
          <w:rFonts w:ascii="Times New Roman" w:hAnsi="Times New Roman" w:eastAsia="SimSun"/>
          <w:b/>
          <w:color w:val="000000"/>
          <w:sz w:val="24"/>
        </w:rPr>
        <w:t>Table 4. Clinical interpretation of the final model and Youden-based risk groups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338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Risk group</w:t>
            </w:r>
          </w:p>
        </w:tc>
        <w:tc>
          <w:tcPr>
            <w:tcW w:type="dxa" w:w="1080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Probability range</w:t>
            </w:r>
          </w:p>
        </w:tc>
        <w:tc>
          <w:tcPr>
            <w:tcW w:type="dxa" w:w="2088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cohort n</w:t>
            </w:r>
          </w:p>
        </w:tc>
        <w:tc>
          <w:tcPr>
            <w:tcW w:type="dxa" w:w="1728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Temporal events</w:t>
            </w:r>
          </w:p>
        </w:tc>
        <w:tc>
          <w:tcPr>
            <w:tcW w:type="dxa" w:w="1584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Mean predicted 5-year risk (%)</w:t>
            </w:r>
          </w:p>
        </w:tc>
        <w:tc>
          <w:tcPr>
            <w:tcW w:type="dxa" w:w="1378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Observed 5-year event rate (%)</w:t>
            </w:r>
          </w:p>
        </w:tc>
        <w:tc>
          <w:tcPr>
            <w:tcW w:type="dxa" w:w="1378"/>
            <w:tcBorders>
              <w:left w:val="nil"/>
              <w:top w:val="single" w:sz="10" w:space="0" w:color="000000"/>
              <w:right w:val="nil"/>
              <w:bottom w:val="single" w:sz="6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Clinical interpretation</w:t>
            </w:r>
          </w:p>
        </w:tc>
      </w:tr>
      <w:tr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Low risk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&lt; 0.0022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21,715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0.18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0.23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Lowest observed event rate after applying the primary Youden-based operating rule.</w:t>
            </w:r>
          </w:p>
        </w:tc>
      </w:tr>
      <w:tr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Intermediate risk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0.0022 to &lt; 0.0028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34,190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82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0.25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0.24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Intermediate event burden between the low- and high-risk strata.</w:t>
            </w:r>
          </w:p>
        </w:tc>
      </w:tr>
      <w:tr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High risk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&gt;= 0.0028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49,248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235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0.36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0.48</w:t>
            </w:r>
          </w:p>
        </w:tc>
        <w:tc>
          <w:tcPr>
            <w:tcW w:type="dxa" w:w="1378"/>
            <w:tcBorders>
              <w:left w:val="nil"/>
              <w:top w:val="nil"/>
              <w:right w:val="nil"/>
              <w:bottom w:val="single" w:sz="10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Highest observed event rate and the principal high-risk surveillance stratum.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Risk groups were defined with the primary Youden-derived operating threshold selected in internal validation.</w:t>
      </w:r>
    </w:p>
    <w:p>
      <w:pPr>
        <w:spacing w:after="20"/>
      </w:pPr>
      <w:r>
        <w:rPr>
          <w:rFonts w:ascii="Times New Roman" w:hAnsi="Times New Roman" w:eastAsia="SimSun"/>
          <w:b w:val="0"/>
          <w:color w:val="000000"/>
          <w:sz w:val="18"/>
        </w:rPr>
        <w:t>Temporal cohort counts and observed 5-year event rates are reported after applying the locked CatBoost model without retuning.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