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盐酸二甲双胍药物信息手册</w:t>
      </w:r>
    </w:p>
    <w:p>
      <w:pPr>
        <w:pStyle w:val="Heading1"/>
      </w:pPr>
      <w:r>
        <w:t>一、药物概述</w:t>
      </w:r>
    </w:p>
    <w:p>
      <w:r>
        <w:rPr>
          <w:sz w:val="22"/>
        </w:rPr>
        <w:t>二甲双胍（Metformin）是双胍类口服降血糖药物，自1957年上市以来一直是2型糖尿病治疗的基石药物。在所有国际和国内糖尿病管理指南中，二甲双胍均被推荐为2型糖尿病的一线首选用药。</w:t>
      </w:r>
    </w:p>
    <w:p>
      <w:r>
        <w:rPr>
          <w:sz w:val="22"/>
        </w:rPr>
        <w:t>通用名称：盐酸二甲双胍</w:t>
      </w:r>
    </w:p>
    <w:p>
      <w:r>
        <w:rPr>
          <w:sz w:val="22"/>
        </w:rPr>
        <w:t>英文名称：Metformin Hydrochloride</w:t>
      </w:r>
    </w:p>
    <w:p>
      <w:r>
        <w:rPr>
          <w:sz w:val="22"/>
        </w:rPr>
        <w:t>化学式：C4H11N5·HCl</w:t>
      </w:r>
    </w:p>
    <w:p>
      <w:r>
        <w:rPr>
          <w:sz w:val="22"/>
        </w:rPr>
        <w:t>分子量：165.63 g/mol</w:t>
      </w:r>
    </w:p>
    <w:p>
      <w:r>
        <w:rPr>
          <w:sz w:val="22"/>
        </w:rPr>
        <w:t>剂型：普通片剂（250mg、500mg、850mg）、缓释片（500mg）、口服溶液</w:t>
      </w:r>
    </w:p>
    <w:p>
      <w:pPr>
        <w:pStyle w:val="Heading1"/>
      </w:pPr>
      <w:r>
        <w:t>二、作用机制</w:t>
      </w:r>
    </w:p>
    <w:p>
      <w:r>
        <w:rPr>
          <w:sz w:val="22"/>
        </w:rPr>
        <w:t>二甲双胍通过多种途径发挥降糖作用：</w:t>
      </w:r>
    </w:p>
    <w:p>
      <w:r>
        <w:rPr>
          <w:sz w:val="22"/>
        </w:rPr>
        <w:t>1. 抑制肝糖输出：激活AMPK（腺苷酸活化蛋白激酶），抑制肝脏糖异生，减少肝糖原分解，降低肝脏葡萄糖输出（主要降糖机制，可减少肝糖输出约25-30%）</w:t>
      </w:r>
    </w:p>
    <w:p>
      <w:r>
        <w:rPr>
          <w:sz w:val="22"/>
        </w:rPr>
        <w:t>2. 增加外周组织对葡萄糖的摄取和利用：改善骨骼肌、脂肪组织的胰岛素敏感性，促进葡萄糖转运体GLUT4转位至细胞膜</w:t>
      </w:r>
    </w:p>
    <w:p>
      <w:r>
        <w:rPr>
          <w:sz w:val="22"/>
        </w:rPr>
        <w:t>3. 抑制肠道葡萄糖吸收：延缓肠道对葡萄糖的吸收</w:t>
      </w:r>
    </w:p>
    <w:p>
      <w:r>
        <w:rPr>
          <w:sz w:val="22"/>
        </w:rPr>
        <w:t>4. 改善脂代谢：降低血浆游离脂肪酸和甘油三酯水平</w:t>
      </w:r>
    </w:p>
    <w:p>
      <w:r>
        <w:rPr>
          <w:sz w:val="22"/>
        </w:rPr>
        <w:t>重要特点：二甲双胍单独使用不会引起低血糖，因为它不刺激胰岛素分泌，而是通过改善胰岛素敏感性发挥作用。</w:t>
      </w:r>
    </w:p>
    <w:p>
      <w:pPr>
        <w:pStyle w:val="Heading1"/>
      </w:pPr>
      <w:r>
        <w:t>三、适应证</w:t>
      </w:r>
    </w:p>
    <w:p>
      <w:r>
        <w:rPr>
          <w:sz w:val="22"/>
        </w:rPr>
        <w:t>1. 2型糖尿病：一线首选药物，可单独使用或与其他降糖药联合使用</w:t>
      </w:r>
    </w:p>
    <w:p>
      <w:r>
        <w:rPr>
          <w:sz w:val="22"/>
        </w:rPr>
        <w:t>2. 糖尿病前期（IFG或IGT）：用于生活方式干预后血糖仍不达标者</w:t>
      </w:r>
    </w:p>
    <w:p>
      <w:r>
        <w:rPr>
          <w:sz w:val="22"/>
        </w:rPr>
        <w:t>3. 多囊卵巢综合征（PCOS）：改善胰岛素抵抗和排卵功能（超说明书用药）</w:t>
      </w:r>
    </w:p>
    <w:p>
      <w:r>
        <w:rPr>
          <w:sz w:val="22"/>
        </w:rPr>
        <w:t>4. 妊娠期糖尿病：部分指南推荐可用于胰岛素替代（需谨慎）</w:t>
      </w:r>
    </w:p>
    <w:p>
      <w:r>
        <w:rPr>
          <w:sz w:val="22"/>
        </w:rPr>
        <w:t>探索中的适应证：</w:t>
      </w:r>
    </w:p>
    <w:p>
      <w:r>
        <w:rPr>
          <w:sz w:val="22"/>
        </w:rPr>
        <w:t>- 抗肿瘤（乳腺癌、结直肠癌等的辅助治疗）</w:t>
      </w:r>
    </w:p>
    <w:p>
      <w:r>
        <w:rPr>
          <w:sz w:val="22"/>
        </w:rPr>
        <w:t>- 抗衰老</w:t>
      </w:r>
    </w:p>
    <w:p>
      <w:r>
        <w:rPr>
          <w:sz w:val="22"/>
        </w:rPr>
        <w:t>- 非酒精性脂肪肝病（NAFLD）</w:t>
      </w:r>
    </w:p>
    <w:p>
      <w:pPr>
        <w:pStyle w:val="Heading1"/>
      </w:pPr>
      <w:r>
        <w:t>四、用法用量</w:t>
      </w:r>
    </w:p>
    <w:p>
      <w:r>
        <w:rPr>
          <w:sz w:val="22"/>
        </w:rPr>
        <w:t>起始剂量与剂量调整：</w:t>
      </w:r>
    </w:p>
    <w:p>
      <w:r>
        <w:rPr>
          <w:sz w:val="22"/>
        </w:rPr>
        <w:t>- 起始剂量：500mg，每日1-2次，随餐服用</w:t>
      </w:r>
    </w:p>
    <w:p>
      <w:r>
        <w:rPr>
          <w:sz w:val="22"/>
        </w:rPr>
        <w:t>- 每1-2周增加500mg，逐步滴定至有效剂量</w:t>
      </w:r>
    </w:p>
    <w:p>
      <w:r>
        <w:rPr>
          <w:sz w:val="22"/>
        </w:rPr>
        <w:t>- 常用维持剂量：1500-2000mg/日，分2-3次</w:t>
      </w:r>
    </w:p>
    <w:p>
      <w:r>
        <w:rPr>
          <w:sz w:val="22"/>
        </w:rPr>
        <w:t>- 最大推荐剂量：2550mg/日</w:t>
      </w:r>
    </w:p>
    <w:p>
      <w:r>
        <w:rPr>
          <w:sz w:val="22"/>
        </w:rPr>
        <w:t>- 缓释片：起始500mg，每日一次（晚餐时），最大2000mg/日</w:t>
      </w:r>
    </w:p>
    <w:p>
      <w:r>
        <w:rPr>
          <w:sz w:val="22"/>
        </w:rPr>
        <w:t>特殊人群剂量调整：</w:t>
      </w:r>
    </w:p>
    <w:p>
      <w:r>
        <w:rPr>
          <w:sz w:val="22"/>
        </w:rPr>
        <w:t>- 老年人（≥65岁）：从最低剂量开始，根据肾功能调整</w:t>
      </w:r>
    </w:p>
    <w:p>
      <w:r>
        <w:rPr>
          <w:sz w:val="22"/>
        </w:rPr>
        <w:t>- 肾功能不全：</w:t>
      </w:r>
    </w:p>
    <w:p>
      <w:r>
        <w:rPr>
          <w:sz w:val="22"/>
        </w:rPr>
        <w:t xml:space="preserve">  eGFR 45-60 ml/min/1.73m²：最大剂量1000mg/日</w:t>
      </w:r>
    </w:p>
    <w:p>
      <w:r>
        <w:rPr>
          <w:sz w:val="22"/>
        </w:rPr>
        <w:t xml:space="preserve">  eGFR 30-45 ml/min/1.73m²：最大剂量500mg/日</w:t>
      </w:r>
    </w:p>
    <w:p>
      <w:r>
        <w:rPr>
          <w:sz w:val="22"/>
        </w:rPr>
        <w:t xml:space="preserve">  eGFR &lt;30 ml/min/1.73m²：禁用</w:t>
      </w:r>
    </w:p>
    <w:p>
      <w:r>
        <w:rPr>
          <w:sz w:val="22"/>
        </w:rPr>
        <w:t>- 肝功能不全：严重肝功能不全禁用</w:t>
      </w:r>
    </w:p>
    <w:p>
      <w:r>
        <w:rPr>
          <w:sz w:val="22"/>
        </w:rPr>
        <w:t>服药提示：</w:t>
      </w:r>
    </w:p>
    <w:p>
      <w:r>
        <w:rPr>
          <w:sz w:val="22"/>
        </w:rPr>
        <w:t>- 随餐或餐后立即服用，减少胃肠道不良反应</w:t>
      </w:r>
    </w:p>
    <w:p>
      <w:r>
        <w:rPr>
          <w:sz w:val="22"/>
        </w:rPr>
        <w:t>- 缓释片应整片吞服，不可掰碎或嚼碎</w:t>
      </w:r>
    </w:p>
    <w:p>
      <w:r>
        <w:rPr>
          <w:sz w:val="22"/>
        </w:rPr>
        <w:t>- 如漏服一次，不要在下次服药时加倍剂量</w:t>
      </w:r>
    </w:p>
    <w:p>
      <w:pPr>
        <w:pStyle w:val="Heading1"/>
      </w:pPr>
      <w:r>
        <w:t>五、不良反应与处理</w:t>
      </w:r>
    </w:p>
    <w:p>
      <w:r>
        <w:rPr>
          <w:sz w:val="22"/>
        </w:rPr>
        <w:t>常见不良反应（发生率&gt;10%）：</w:t>
      </w:r>
    </w:p>
    <w:p>
      <w:r>
        <w:rPr>
          <w:sz w:val="22"/>
        </w:rPr>
        <w:t>1. 胃肠道反应：腹泻（约30%）、恶心呕吐（约25%）、腹胀、腹痛、食欲减退</w:t>
      </w:r>
    </w:p>
    <w:p>
      <w:r>
        <w:rPr>
          <w:sz w:val="22"/>
        </w:rPr>
        <w:t xml:space="preserve">   - 处理：从低剂量开始，逐渐增加；随餐服用；改用缓释片</w:t>
      </w:r>
    </w:p>
    <w:p>
      <w:r>
        <w:rPr>
          <w:sz w:val="22"/>
        </w:rPr>
        <w:t xml:space="preserve">   - 多数患者在使用数周后症状可自行缓解</w:t>
      </w:r>
    </w:p>
    <w:p>
      <w:r>
        <w:rPr>
          <w:sz w:val="22"/>
        </w:rPr>
        <w:t>2. 金属味觉：口中有金属味感</w:t>
      </w:r>
    </w:p>
    <w:p>
      <w:r>
        <w:rPr>
          <w:sz w:val="22"/>
        </w:rPr>
        <w:t>少见但严重不良反应：</w:t>
      </w:r>
    </w:p>
    <w:p>
      <w:r>
        <w:rPr>
          <w:sz w:val="22"/>
        </w:rPr>
        <w:t>1. 乳酸酸中毒（发生率约3-10/100,000人年）</w:t>
      </w:r>
    </w:p>
    <w:p>
      <w:r>
        <w:rPr>
          <w:sz w:val="22"/>
        </w:rPr>
        <w:t xml:space="preserve">   - 表现：恶心呕吐、腹痛、过度换气、嗜睡、低血压</w:t>
      </w:r>
    </w:p>
    <w:p>
      <w:r>
        <w:rPr>
          <w:sz w:val="22"/>
        </w:rPr>
        <w:t xml:space="preserve">   - 危险因素：肾功能不全、肝功能不全、酗酒、脱水、休克、大手术、碘造影剂使用</w:t>
      </w:r>
    </w:p>
    <w:p>
      <w:r>
        <w:rPr>
          <w:sz w:val="22"/>
        </w:rPr>
        <w:t xml:space="preserve">   - 处理：立即停药，对症支持治疗</w:t>
      </w:r>
    </w:p>
    <w:p>
      <w:r>
        <w:rPr>
          <w:sz w:val="22"/>
        </w:rPr>
        <w:t>2. 维生素B12缺乏（长期使用，发生率5-10%）</w:t>
      </w:r>
    </w:p>
    <w:p>
      <w:r>
        <w:rPr>
          <w:sz w:val="22"/>
        </w:rPr>
        <w:t xml:space="preserve">   - 建议长期使用者定期检测维生素B12水平</w:t>
      </w:r>
    </w:p>
    <w:p>
      <w:r>
        <w:rPr>
          <w:sz w:val="22"/>
        </w:rPr>
        <w:t xml:space="preserve">   - 必要时补充维生素B12</w:t>
      </w:r>
    </w:p>
    <w:p>
      <w:pPr>
        <w:pStyle w:val="Heading1"/>
      </w:pPr>
      <w:r>
        <w:t>六、药物相互作用</w:t>
      </w:r>
    </w:p>
    <w:p>
      <w:r>
        <w:rPr>
          <w:sz w:val="22"/>
        </w:rPr>
        <w:t>1. 碘造影剂：使用碘造影剂前48小时和后48小时应停用二甲双胍，以防乳酸酸中毒</w:t>
      </w:r>
    </w:p>
    <w:p>
      <w:r>
        <w:rPr>
          <w:sz w:val="22"/>
        </w:rPr>
        <w:t>2. 酒精：增加乳酸酸中毒风险，应避免大量饮酒</w:t>
      </w:r>
    </w:p>
    <w:p>
      <w:r>
        <w:rPr>
          <w:sz w:val="22"/>
        </w:rPr>
        <w:t>3. 西咪替丁：抑制二甲双胍的肾小管分泌，使其血药浓度升高</w:t>
      </w:r>
    </w:p>
    <w:p>
      <w:r>
        <w:rPr>
          <w:sz w:val="22"/>
        </w:rPr>
        <w:t>4. 糖皮质激素：对抗二甲双胍的降糖作用</w:t>
      </w:r>
    </w:p>
    <w:p>
      <w:r>
        <w:rPr>
          <w:sz w:val="22"/>
        </w:rPr>
        <w:t>5. 利尿剂：可能加重肾功能损害和脱水</w:t>
      </w:r>
    </w:p>
    <w:p>
      <w:r>
        <w:rPr>
          <w:sz w:val="22"/>
        </w:rPr>
        <w:t>6. SGLT2抑制剂、GLP-1受体激动剂：可安全联合使用</w:t>
      </w:r>
    </w:p>
    <w:p>
      <w:r>
        <w:rPr>
          <w:sz w:val="22"/>
        </w:rPr>
        <w:t>7. 胰岛素：联合使用时注意低血糖风险</w:t>
      </w:r>
    </w:p>
    <w:p>
      <w:pPr>
        <w:pStyle w:val="Heading1"/>
      </w:pPr>
      <w:r>
        <w:t>七、临床优势</w:t>
      </w:r>
    </w:p>
    <w:p>
      <w:r>
        <w:rPr>
          <w:sz w:val="22"/>
        </w:rPr>
        <w:t>1. 确切的降糖效果：单药可降低HbA1c 1.0-1.5%</w:t>
      </w:r>
    </w:p>
    <w:p>
      <w:r>
        <w:rPr>
          <w:sz w:val="22"/>
        </w:rPr>
        <w:t>2. 不增加体重，甚至可能减轻体重</w:t>
      </w:r>
    </w:p>
    <w:p>
      <w:r>
        <w:rPr>
          <w:sz w:val="22"/>
        </w:rPr>
        <w:t>3. 单独使用不引起低血糖</w:t>
      </w:r>
    </w:p>
    <w:p>
      <w:r>
        <w:rPr>
          <w:sz w:val="22"/>
        </w:rPr>
        <w:t>4. 心血管获益：UKPDS研究证实可减少心血管事件和死亡率</w:t>
      </w:r>
    </w:p>
    <w:p>
      <w:r>
        <w:rPr>
          <w:sz w:val="22"/>
        </w:rPr>
        <w:t>5. 价格低廉，可及性好</w:t>
      </w:r>
    </w:p>
    <w:p>
      <w:r>
        <w:rPr>
          <w:sz w:val="22"/>
        </w:rPr>
        <w:t>6. 安全性良好，临床使用经验丰富（超过60年）</w:t>
      </w:r>
    </w:p>
    <w:p>
      <w:r>
        <w:rPr>
          <w:sz w:val="22"/>
        </w:rPr>
        <w:t>7. 可能具有潜在的抗肿瘤和抗衰老作用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