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黑体"/>
          <w:b/>
          <w:sz w:val="40"/>
        </w:rPr>
        <w:t>历代中医经典理论溯源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一、《黄帝内经》——中医理论之源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《黄帝内经》是中国现存最早的医学典籍，成书于战国至西汉时期，包括《素问》和《灵枢》两部分，各81篇，共162篇。《黄帝内经》以黄帝与岐伯等臣子对话的形式，系统阐述了中医学的基础理论。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核心理论贡献：（1）阴阳五行学说：以阴阳对立统一和五行生克制化为基本规律，构建了中医认识人体和疾病的基本框架。"阴平阳秘，精神乃治"是健康观的核心。（2）藏象学说：将人体分为五脏（心肝脾肺肾）六腑（胆胃大肠小肠膀胱三焦）等，阐述脏腑功能及相互关系。（3）经络学说：系统描述了十二经脉、奇经八脉的循行路线及功能。（4）病因病机学说：提出"正气存内，邪不可干""邪之所凑，其气必虚"等重要观点。（5）诊法治则：奠定了望闻问切四诊和治未病、因时因地因人制宜等治疗原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经典名句："上古之人，其知道者，法于阴阳，和于术数，食饮有节，起居有常，不妄作劳，故能形与神俱，而尽终其天年，度百岁乃去。"——《素问·上古天真论》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二、《伤寒杂病论》——辨证论治之祖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《伤寒杂病论》由东汉张仲景（约150-219年）所著，后世分为《伤寒论》和《金匮要略》两书。张仲景被尊为"医圣"，其著作确立了辨证论治的临床诊疗体系。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伤寒论》的贡献：（1）六经辨证体系：将外感热病按太阳、阳明、少阳、太阴、少阴、厥阴六经分类，创立了系统的辨证论治方法。（2）方剂学的奠基：载方113首，方药精简、配伍严谨，被誉为"方书之祖"。桂枝汤、麻黄汤、白虎汤、承气汤、小柴胡汤等方剂至今临床广泛使用。（3）治法的系统化：八法（汗、吐、下、和、温、清、消、补）的雏形已在书中体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《金匮要略》的贡献：以脏腑辨证为主线，论述了内科杂病、妇科病等40余种疾病的辨证论治。提出"见肝之病，知肝传脾，当先实脾"等重要治疗思想。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三、《神农本草经》——中药学之基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《神农本草经》是中国最早的中药学专著，约成书于西汉至东汉时期，托名神农所作。该书载药365种，按药物性能和功效分为上、中、下三品。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分类体系：上品120种药物"主养命以应天，无毒，多服久服不伤人"，如人参、灵芝、黄芪等，可作日常保健之用。中品120种药物"主养性以应人，有毒无毒，斟酌其宜"，如百合、当归、黄连等，用于调理体质。下品125种药物"主治病以应地，多毒，不可久服"，如大黄、附子、巴豆等，用于治疗疾病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药学理论贡献：（1）四气五味学说：明确了药物的寒热温凉四气和酸苦甘辛咸五味。（2）七情配伍：提出单行、相须、相使、相畏、相恶、相杀、相反七种药物配伍关系。（3）药物采集和炮制原则。这些理论为后世中药学的发展奠定了基础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四、《温病条辨》——温病学之成熟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《温病条辨》由清代吴鞠通（1758-1836年）撰于1798年。该书在前人温病学说的基础上，系统总结了温热病的辨证论治。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核心贡献：（1）三焦辨证体系：将温病按上焦（肺与心包）、中焦（脾胃）、下焦（肝肾）三焦传变来辨证论治，补充了六经辨证的不足。"温病由口鼻而入，鼻气通于肺，口气通于胃"。（2）卫气营血辨证的发展：在叶天士"卫气营血"辨证基础上进一步完善。（3）经典方剂：创立银翘散、桑菊饮、三仁汤、安宫牛黄丸等名方，至今广泛应用于临床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历史意义：《温病条辨》与叶天士《温热论》、薛雪《湿热条辨》共同构成温病学说的理论体系，弥补了《伤寒论》对温热病论述的不足，使中医外感病学说更加完善。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五、金元四大家——学术争鸣与创新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金元时期（12-14世纪）是中医学术发展的重要时期，出现了四位各具特色的医学家，合称"金元四大家"。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1. 刘完素（河间学派）——寒凉派：主张"六气皆从火化"，认为疾病多由火热邪气引起，治疗善用寒凉药物。代表方如防风通圣散、六一散等。对温病学说的发展有重要影响。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2. 张从正（攻邪学派）——攻下派：主张"病由邪生，邪去正安"，发展了汗、吐、下三法的运用。认为攻邪即是扶正，扩大了三法的治疗范围。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3. 李杲/李东垣（补土学派）——补土派：提出"内伤脾胃，百病由生"的理论，强调脾胃在人体中的重要地位。创制补中益气汤等名方，对内伤病的治疗做出重要贡献。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4. 朱震亨/朱丹溪（滋阴学派）——滋阴派：提出"阳常有余，阴常不足"的论点，主张滋阴降火。创制大补阴丸等方剂，对后世阴虚病证的治疗影响深远。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