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A899E" w14:textId="77777777" w:rsidR="00335DB6" w:rsidRPr="00FD2D59" w:rsidRDefault="00335DB6" w:rsidP="00335D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D59">
        <w:rPr>
          <w:rFonts w:ascii="Times New Roman" w:hAnsi="Times New Roman" w:cs="Times New Roman"/>
          <w:b/>
          <w:bCs/>
          <w:sz w:val="24"/>
          <w:szCs w:val="24"/>
        </w:rPr>
        <w:t>Graph 4. Diagnostic plots for model 1</w:t>
      </w:r>
    </w:p>
    <w:p w14:paraId="41E13D54" w14:textId="77777777" w:rsidR="00335DB6" w:rsidRPr="00FD2D59" w:rsidRDefault="00335DB6">
      <w:pPr>
        <w:rPr>
          <w:rFonts w:ascii="Times New Roman" w:hAnsi="Times New Roman" w:cs="Times New Roman"/>
        </w:rPr>
      </w:pPr>
    </w:p>
    <w:p w14:paraId="12DAA163" w14:textId="1B771159" w:rsidR="006328C6" w:rsidRPr="00FD2D59" w:rsidRDefault="00F433D6">
      <w:pPr>
        <w:rPr>
          <w:rFonts w:ascii="Times New Roman" w:hAnsi="Times New Roman" w:cs="Times New Roman"/>
        </w:rPr>
      </w:pPr>
      <w:r w:rsidRPr="00FD2D59">
        <w:rPr>
          <w:rFonts w:ascii="Times New Roman" w:hAnsi="Times New Roman" w:cs="Times New Roman"/>
          <w:noProof/>
        </w:rPr>
        <w:drawing>
          <wp:inline distT="0" distB="0" distL="0" distR="0" wp14:anchorId="63B163EA" wp14:editId="2752F268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C02F" w14:textId="529A0FA7" w:rsidR="00520F57" w:rsidRDefault="00520F57" w:rsidP="00520F57">
      <w:pPr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</w:pPr>
      <w:r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 xml:space="preserve">* The curves in residuals vs fitted plot are horizontal and bounce around 0 which indicates that constant variance is satisfied in our model. Scale-location plot shows the same thing. No.184 observations deviates from the normal line on the </w:t>
      </w:r>
      <w:proofErr w:type="spellStart"/>
      <w:r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>qq</w:t>
      </w:r>
      <w:proofErr w:type="spellEnd"/>
      <w:r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 xml:space="preserve"> plot means it might be an outlier. Except from this observation, other observations satisfy normality.</w:t>
      </w:r>
      <w:r w:rsidRPr="00FD2D59">
        <w:rPr>
          <w:rStyle w:val="SubtleEmphasis"/>
          <w:rFonts w:ascii="Times New Roman" w:hAnsi="Times New Roman" w:cs="Times New Roman"/>
          <w:sz w:val="20"/>
          <w:szCs w:val="20"/>
        </w:rPr>
        <w:t xml:space="preserve"> </w:t>
      </w:r>
      <w:r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>No. 184 observation is close to the 0.5 cook's distance in residuals vs leverage plot, which means No.184 observation might be influential.</w:t>
      </w:r>
    </w:p>
    <w:p w14:paraId="7B576BDB" w14:textId="63D1A9DE" w:rsidR="00FD2D59" w:rsidRDefault="00FD2D59" w:rsidP="00520F57">
      <w:pPr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</w:pPr>
    </w:p>
    <w:p w14:paraId="7D6E867B" w14:textId="77777777" w:rsidR="00FD2D59" w:rsidRPr="00FD2D59" w:rsidRDefault="00FD2D59" w:rsidP="00520F57">
      <w:pPr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</w:pPr>
      <w:bookmarkStart w:id="0" w:name="_GoBack"/>
      <w:bookmarkEnd w:id="0"/>
    </w:p>
    <w:p w14:paraId="6A838534" w14:textId="77777777" w:rsidR="00FD2D59" w:rsidRPr="00FD2D59" w:rsidRDefault="00FD2D59" w:rsidP="00FD2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D59">
        <w:rPr>
          <w:rFonts w:ascii="Times New Roman" w:hAnsi="Times New Roman" w:cs="Times New Roman"/>
          <w:b/>
          <w:bCs/>
          <w:sz w:val="24"/>
          <w:szCs w:val="24"/>
        </w:rPr>
        <w:t>Graph 5. Diagnostic plots for model 2</w:t>
      </w:r>
    </w:p>
    <w:p w14:paraId="4AA5ADE7" w14:textId="510D552D" w:rsidR="00F433D6" w:rsidRPr="00FD2D59" w:rsidRDefault="00F433D6">
      <w:pPr>
        <w:rPr>
          <w:rFonts w:ascii="Times New Roman" w:hAnsi="Times New Roman" w:cs="Times New Roman"/>
        </w:rPr>
      </w:pPr>
    </w:p>
    <w:p w14:paraId="07898C86" w14:textId="4893C963" w:rsidR="00F433D6" w:rsidRPr="00FD2D59" w:rsidRDefault="00F433D6">
      <w:pPr>
        <w:rPr>
          <w:rFonts w:ascii="Times New Roman" w:hAnsi="Times New Roman" w:cs="Times New Roman"/>
        </w:rPr>
      </w:pPr>
      <w:r w:rsidRPr="00FD2D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6B9C17" wp14:editId="29101374">
            <wp:extent cx="45720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1AE0F" w14:textId="7FE1F7C4" w:rsidR="00520F57" w:rsidRPr="00FD2D59" w:rsidRDefault="00520F57" w:rsidP="00520F57">
      <w:pPr>
        <w:rPr>
          <w:rFonts w:ascii="Times New Roman" w:hAnsi="Times New Roman" w:cs="Times New Roman"/>
          <w:i/>
          <w:iCs/>
          <w:sz w:val="20"/>
          <w:szCs w:val="20"/>
          <w:lang w:eastAsia="en-US"/>
        </w:rPr>
      </w:pPr>
      <w:r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 xml:space="preserve">*The curves in residuals vs fitted plot are horizontal and bounce around 0 which indicates that constant variance is satisfied in our model. Scale-location plot shows the same thing. No.184 observations deviates from the normal line on the </w:t>
      </w:r>
      <w:proofErr w:type="spellStart"/>
      <w:r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>qq</w:t>
      </w:r>
      <w:proofErr w:type="spellEnd"/>
      <w:r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 xml:space="preserve"> plot means it might be a</w:t>
      </w:r>
      <w:r w:rsidR="00DD7C8B"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>n</w:t>
      </w:r>
      <w:r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 xml:space="preserve"> outlier. Except from this observation, other observations satisfy normalit</w:t>
      </w:r>
      <w:r w:rsidR="00DD7C8B"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>y</w:t>
      </w:r>
      <w:r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>.</w:t>
      </w:r>
      <w:r w:rsidR="00DD7C8B"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 xml:space="preserve"> No. 184</w:t>
      </w:r>
      <w:r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 xml:space="preserve"> observation is close to the 0.5 cook's distance in residuals vs leverage plot, which means No.184 observation might be influential.</w:t>
      </w:r>
    </w:p>
    <w:p w14:paraId="06385E76" w14:textId="77777777" w:rsidR="00520F57" w:rsidRPr="00FD2D59" w:rsidRDefault="00520F57">
      <w:pPr>
        <w:rPr>
          <w:rFonts w:ascii="Times New Roman" w:hAnsi="Times New Roman" w:cs="Times New Roman"/>
        </w:rPr>
      </w:pPr>
    </w:p>
    <w:p w14:paraId="3A381E06" w14:textId="7D71487A" w:rsidR="00F433D6" w:rsidRPr="00FD2D59" w:rsidRDefault="00335D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D59">
        <w:rPr>
          <w:rFonts w:ascii="Times New Roman" w:hAnsi="Times New Roman" w:cs="Times New Roman"/>
          <w:b/>
          <w:bCs/>
          <w:sz w:val="24"/>
          <w:szCs w:val="24"/>
        </w:rPr>
        <w:t xml:space="preserve">Graph 6. Scatter plot for experience against </w:t>
      </w:r>
      <w:proofErr w:type="gramStart"/>
      <w:r w:rsidRPr="00FD2D59"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="00C417D9" w:rsidRPr="00FD2D5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C417D9" w:rsidRPr="00FD2D59">
        <w:rPr>
          <w:rFonts w:ascii="Times New Roman" w:hAnsi="Times New Roman" w:cs="Times New Roman"/>
          <w:b/>
          <w:bCs/>
          <w:sz w:val="24"/>
          <w:szCs w:val="24"/>
        </w:rPr>
        <w:t>average of salary in 94 and 95)</w:t>
      </w:r>
    </w:p>
    <w:p w14:paraId="3C280DEE" w14:textId="77777777" w:rsidR="00520F57" w:rsidRPr="00FD2D59" w:rsidRDefault="00520F57">
      <w:pPr>
        <w:rPr>
          <w:rFonts w:ascii="Times New Roman" w:hAnsi="Times New Roman" w:cs="Times New Roman"/>
        </w:rPr>
      </w:pPr>
    </w:p>
    <w:p w14:paraId="7C102A08" w14:textId="4000794A" w:rsidR="00F433D6" w:rsidRPr="00FD2D59" w:rsidRDefault="00C417D9">
      <w:pPr>
        <w:rPr>
          <w:rFonts w:ascii="Times New Roman" w:hAnsi="Times New Roman" w:cs="Times New Roman"/>
        </w:rPr>
      </w:pPr>
      <w:r w:rsidRPr="00FD2D59">
        <w:rPr>
          <w:rFonts w:ascii="Times New Roman" w:hAnsi="Times New Roman" w:cs="Times New Roman"/>
          <w:noProof/>
        </w:rPr>
        <w:drawing>
          <wp:inline distT="0" distB="0" distL="0" distR="0" wp14:anchorId="57F36986" wp14:editId="0E391C54">
            <wp:extent cx="5273040" cy="32994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DED5" w14:textId="28612B28" w:rsidR="00DD7C8B" w:rsidRPr="00FD2D59" w:rsidRDefault="00DD7C8B" w:rsidP="00DD7C8B">
      <w:pPr>
        <w:rPr>
          <w:rFonts w:ascii="Times New Roman" w:hAnsi="Times New Roman" w:cs="Times New Roman"/>
        </w:rPr>
      </w:pPr>
      <w:r w:rsidRPr="00FD2D59">
        <w:rPr>
          <w:rStyle w:val="SubtleEmphasis"/>
          <w:rFonts w:ascii="Times New Roman" w:hAnsi="Times New Roman" w:cs="Times New Roman"/>
          <w:kern w:val="0"/>
          <w:sz w:val="20"/>
          <w:szCs w:val="20"/>
          <w:lang w:eastAsia="en-US"/>
        </w:rPr>
        <w:lastRenderedPageBreak/>
        <w:t xml:space="preserve">*In the scatter plot, experience is the X-axis variable, </w:t>
      </w:r>
      <w:proofErr w:type="spellStart"/>
      <w:r w:rsidRPr="00FD2D59">
        <w:rPr>
          <w:rStyle w:val="SubtleEmphasis"/>
          <w:rFonts w:ascii="Times New Roman" w:hAnsi="Times New Roman" w:cs="Times New Roman"/>
          <w:kern w:val="0"/>
          <w:sz w:val="20"/>
          <w:szCs w:val="20"/>
          <w:lang w:eastAsia="en-US"/>
        </w:rPr>
        <w:t>ln_salavg</w:t>
      </w:r>
      <w:proofErr w:type="spellEnd"/>
      <w:r w:rsidRPr="00FD2D59">
        <w:rPr>
          <w:rStyle w:val="SubtleEmphasis"/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(log transformation for mean salary) is the y-axis variable. This plot shows the potential non-linear relationship between them.</w:t>
      </w:r>
    </w:p>
    <w:p w14:paraId="035028A5" w14:textId="40843C46" w:rsidR="00F433D6" w:rsidRPr="00FD2D59" w:rsidRDefault="00F433D6">
      <w:pPr>
        <w:rPr>
          <w:rFonts w:ascii="Times New Roman" w:hAnsi="Times New Roman" w:cs="Times New Roman"/>
        </w:rPr>
      </w:pPr>
    </w:p>
    <w:p w14:paraId="38CB847F" w14:textId="464A0BE1" w:rsidR="00F433D6" w:rsidRPr="00FD2D59" w:rsidRDefault="00335D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D59">
        <w:rPr>
          <w:rFonts w:ascii="Times New Roman" w:hAnsi="Times New Roman" w:cs="Times New Roman"/>
          <w:b/>
          <w:bCs/>
          <w:sz w:val="24"/>
          <w:szCs w:val="24"/>
        </w:rPr>
        <w:t>Table 9. VIF of predictors after stratification by experience in model 1</w:t>
      </w:r>
    </w:p>
    <w:tbl>
      <w:tblPr>
        <w:tblW w:w="5537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280"/>
        <w:gridCol w:w="1497"/>
        <w:gridCol w:w="1280"/>
      </w:tblGrid>
      <w:tr w:rsidR="00F433D6" w:rsidRPr="00FD2D59" w14:paraId="65992C34" w14:textId="77777777" w:rsidTr="00335DB6">
        <w:trPr>
          <w:trHeight w:val="348"/>
        </w:trPr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EFD74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VIF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EFB4" w14:textId="1B2C3FEB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exper</w:t>
            </w:r>
            <w:proofErr w:type="spellEnd"/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&lt;10</w:t>
            </w:r>
          </w:p>
        </w:tc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BECF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10&lt;</w:t>
            </w:r>
            <w:proofErr w:type="spellStart"/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exper</w:t>
            </w:r>
            <w:proofErr w:type="spellEnd"/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&lt;20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CCC3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exper</w:t>
            </w:r>
            <w:proofErr w:type="spellEnd"/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&lt;20</w:t>
            </w:r>
          </w:p>
        </w:tc>
      </w:tr>
      <w:tr w:rsidR="00F433D6" w:rsidRPr="00FD2D59" w14:paraId="7D89542D" w14:textId="77777777" w:rsidTr="00335DB6">
        <w:trPr>
          <w:trHeight w:val="384"/>
        </w:trPr>
        <w:tc>
          <w:tcPr>
            <w:tcW w:w="14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041BF27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gendermale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54F031A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1.207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336BE4F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1.302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62FA993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1.454</w:t>
            </w:r>
          </w:p>
        </w:tc>
      </w:tr>
      <w:tr w:rsidR="00F433D6" w:rsidRPr="00FD2D59" w14:paraId="7B7DE0BD" w14:textId="77777777" w:rsidTr="00C417D9">
        <w:trPr>
          <w:trHeight w:val="384"/>
        </w:trPr>
        <w:tc>
          <w:tcPr>
            <w:tcW w:w="1480" w:type="dxa"/>
            <w:shd w:val="clear" w:color="auto" w:fill="E7E6E6" w:themeFill="background2"/>
            <w:vAlign w:val="center"/>
            <w:hideMark/>
          </w:tcPr>
          <w:p w14:paraId="186F3225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dept2</w:t>
            </w:r>
          </w:p>
        </w:tc>
        <w:tc>
          <w:tcPr>
            <w:tcW w:w="1280" w:type="dxa"/>
            <w:shd w:val="clear" w:color="auto" w:fill="E7E6E6" w:themeFill="background2"/>
            <w:vAlign w:val="center"/>
            <w:hideMark/>
          </w:tcPr>
          <w:p w14:paraId="7CE36937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1.894</w:t>
            </w:r>
          </w:p>
        </w:tc>
        <w:tc>
          <w:tcPr>
            <w:tcW w:w="1497" w:type="dxa"/>
            <w:shd w:val="clear" w:color="auto" w:fill="E7E6E6" w:themeFill="background2"/>
            <w:vAlign w:val="center"/>
            <w:hideMark/>
          </w:tcPr>
          <w:p w14:paraId="3B485087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1.419</w:t>
            </w:r>
          </w:p>
        </w:tc>
        <w:tc>
          <w:tcPr>
            <w:tcW w:w="1280" w:type="dxa"/>
            <w:shd w:val="clear" w:color="auto" w:fill="E7E6E6" w:themeFill="background2"/>
            <w:vAlign w:val="center"/>
            <w:hideMark/>
          </w:tcPr>
          <w:p w14:paraId="60461419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1.689</w:t>
            </w:r>
          </w:p>
        </w:tc>
      </w:tr>
      <w:tr w:rsidR="00F433D6" w:rsidRPr="00FD2D59" w14:paraId="23326FEC" w14:textId="77777777" w:rsidTr="00335DB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2723B4D0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dept3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FDC56AC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1.775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14:paraId="62F5C66B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1.298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09C9F115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1.287</w:t>
            </w:r>
          </w:p>
        </w:tc>
      </w:tr>
      <w:tr w:rsidR="00F433D6" w:rsidRPr="00FD2D59" w14:paraId="43AE8CBF" w14:textId="77777777" w:rsidTr="00C417D9">
        <w:trPr>
          <w:trHeight w:val="384"/>
        </w:trPr>
        <w:tc>
          <w:tcPr>
            <w:tcW w:w="1480" w:type="dxa"/>
            <w:shd w:val="clear" w:color="auto" w:fill="E7E6E6" w:themeFill="background2"/>
            <w:vAlign w:val="center"/>
            <w:hideMark/>
          </w:tcPr>
          <w:p w14:paraId="60FC7A89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dept4</w:t>
            </w:r>
          </w:p>
        </w:tc>
        <w:tc>
          <w:tcPr>
            <w:tcW w:w="1280" w:type="dxa"/>
            <w:shd w:val="clear" w:color="auto" w:fill="E7E6E6" w:themeFill="background2"/>
            <w:vAlign w:val="center"/>
            <w:hideMark/>
          </w:tcPr>
          <w:p w14:paraId="50F5D6C0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2.749</w:t>
            </w:r>
          </w:p>
        </w:tc>
        <w:tc>
          <w:tcPr>
            <w:tcW w:w="1497" w:type="dxa"/>
            <w:shd w:val="clear" w:color="auto" w:fill="E7E6E6" w:themeFill="background2"/>
            <w:vAlign w:val="center"/>
            <w:hideMark/>
          </w:tcPr>
          <w:p w14:paraId="023C5CB2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1.400</w:t>
            </w:r>
          </w:p>
        </w:tc>
        <w:tc>
          <w:tcPr>
            <w:tcW w:w="1280" w:type="dxa"/>
            <w:shd w:val="clear" w:color="auto" w:fill="E7E6E6" w:themeFill="background2"/>
            <w:noWrap/>
            <w:vAlign w:val="center"/>
            <w:hideMark/>
          </w:tcPr>
          <w:p w14:paraId="60BCBD14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433D6" w:rsidRPr="00FD2D59" w14:paraId="126B9F00" w14:textId="77777777" w:rsidTr="00335DB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1A5A5C1F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dept5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78CD7D9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3.930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14:paraId="1141575B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2.130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2C10864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2.418</w:t>
            </w:r>
          </w:p>
        </w:tc>
      </w:tr>
      <w:tr w:rsidR="00F433D6" w:rsidRPr="00FD2D59" w14:paraId="10CFDDBD" w14:textId="77777777" w:rsidTr="00FD2D59">
        <w:trPr>
          <w:trHeight w:val="384"/>
        </w:trPr>
        <w:tc>
          <w:tcPr>
            <w:tcW w:w="1480" w:type="dxa"/>
            <w:shd w:val="clear" w:color="auto" w:fill="E7E6E6" w:themeFill="background2"/>
            <w:vAlign w:val="center"/>
            <w:hideMark/>
          </w:tcPr>
          <w:p w14:paraId="45BF7F18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dept6</w:t>
            </w:r>
          </w:p>
        </w:tc>
        <w:tc>
          <w:tcPr>
            <w:tcW w:w="1280" w:type="dxa"/>
            <w:shd w:val="clear" w:color="auto" w:fill="E7E6E6" w:themeFill="background2"/>
            <w:vAlign w:val="center"/>
            <w:hideMark/>
          </w:tcPr>
          <w:p w14:paraId="5E7B891E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3.038</w:t>
            </w:r>
          </w:p>
        </w:tc>
        <w:tc>
          <w:tcPr>
            <w:tcW w:w="1497" w:type="dxa"/>
            <w:shd w:val="clear" w:color="auto" w:fill="E7E6E6" w:themeFill="background2"/>
            <w:vAlign w:val="center"/>
            <w:hideMark/>
          </w:tcPr>
          <w:p w14:paraId="44483617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2.058</w:t>
            </w:r>
          </w:p>
        </w:tc>
        <w:tc>
          <w:tcPr>
            <w:tcW w:w="1280" w:type="dxa"/>
            <w:shd w:val="clear" w:color="auto" w:fill="E7E6E6" w:themeFill="background2"/>
            <w:vAlign w:val="center"/>
            <w:hideMark/>
          </w:tcPr>
          <w:p w14:paraId="214FE34E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2.591</w:t>
            </w:r>
          </w:p>
        </w:tc>
      </w:tr>
      <w:tr w:rsidR="00F433D6" w:rsidRPr="00FD2D59" w14:paraId="236E78EC" w14:textId="77777777" w:rsidTr="00335DB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117A4A32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clin1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B7D0BED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1.983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14:paraId="273F3993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1.564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3F9071E7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2.146</w:t>
            </w:r>
          </w:p>
        </w:tc>
      </w:tr>
      <w:tr w:rsidR="00F433D6" w:rsidRPr="00FD2D59" w14:paraId="22EA0964" w14:textId="77777777" w:rsidTr="00FD2D59">
        <w:trPr>
          <w:trHeight w:val="384"/>
        </w:trPr>
        <w:tc>
          <w:tcPr>
            <w:tcW w:w="1480" w:type="dxa"/>
            <w:shd w:val="clear" w:color="auto" w:fill="E7E6E6" w:themeFill="background2"/>
            <w:vAlign w:val="center"/>
            <w:hideMark/>
          </w:tcPr>
          <w:p w14:paraId="6021AC95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cert1</w:t>
            </w:r>
          </w:p>
        </w:tc>
        <w:tc>
          <w:tcPr>
            <w:tcW w:w="1280" w:type="dxa"/>
            <w:shd w:val="clear" w:color="auto" w:fill="E7E6E6" w:themeFill="background2"/>
            <w:vAlign w:val="center"/>
            <w:hideMark/>
          </w:tcPr>
          <w:p w14:paraId="06E6A879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1.396</w:t>
            </w:r>
          </w:p>
        </w:tc>
        <w:tc>
          <w:tcPr>
            <w:tcW w:w="1497" w:type="dxa"/>
            <w:shd w:val="clear" w:color="auto" w:fill="E7E6E6" w:themeFill="background2"/>
            <w:vAlign w:val="center"/>
            <w:hideMark/>
          </w:tcPr>
          <w:p w14:paraId="59D9E35A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1.347</w:t>
            </w:r>
          </w:p>
        </w:tc>
        <w:tc>
          <w:tcPr>
            <w:tcW w:w="1280" w:type="dxa"/>
            <w:shd w:val="clear" w:color="auto" w:fill="E7E6E6" w:themeFill="background2"/>
            <w:vAlign w:val="center"/>
            <w:hideMark/>
          </w:tcPr>
          <w:p w14:paraId="16F3D2C8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1.199</w:t>
            </w:r>
          </w:p>
        </w:tc>
      </w:tr>
      <w:tr w:rsidR="00F433D6" w:rsidRPr="00FD2D59" w14:paraId="1C7DD54F" w14:textId="77777777" w:rsidTr="00335DB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077706CA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rank2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7C4C3577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1.104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14:paraId="12AC1E61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2.616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016245C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433D6" w:rsidRPr="00FD2D59" w14:paraId="0B0C9F85" w14:textId="77777777" w:rsidTr="00FD2D59">
        <w:trPr>
          <w:trHeight w:val="384"/>
        </w:trPr>
        <w:tc>
          <w:tcPr>
            <w:tcW w:w="1480" w:type="dxa"/>
            <w:shd w:val="clear" w:color="auto" w:fill="E7E6E6" w:themeFill="background2"/>
            <w:vAlign w:val="center"/>
            <w:hideMark/>
          </w:tcPr>
          <w:p w14:paraId="226D0327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rank3</w:t>
            </w:r>
          </w:p>
        </w:tc>
        <w:tc>
          <w:tcPr>
            <w:tcW w:w="1280" w:type="dxa"/>
            <w:shd w:val="clear" w:color="auto" w:fill="E7E6E6" w:themeFill="background2"/>
            <w:vAlign w:val="center"/>
            <w:hideMark/>
          </w:tcPr>
          <w:p w14:paraId="4B1EC5A3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1.148</w:t>
            </w:r>
          </w:p>
        </w:tc>
        <w:tc>
          <w:tcPr>
            <w:tcW w:w="1497" w:type="dxa"/>
            <w:shd w:val="clear" w:color="auto" w:fill="E7E6E6" w:themeFill="background2"/>
            <w:vAlign w:val="center"/>
            <w:hideMark/>
          </w:tcPr>
          <w:p w14:paraId="7690C937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2.729</w:t>
            </w:r>
          </w:p>
        </w:tc>
        <w:tc>
          <w:tcPr>
            <w:tcW w:w="1280" w:type="dxa"/>
            <w:shd w:val="clear" w:color="auto" w:fill="E7E6E6" w:themeFill="background2"/>
            <w:vAlign w:val="center"/>
            <w:hideMark/>
          </w:tcPr>
          <w:p w14:paraId="2B843C5E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1.258</w:t>
            </w:r>
          </w:p>
        </w:tc>
      </w:tr>
    </w:tbl>
    <w:p w14:paraId="076D5114" w14:textId="3B14DDBD" w:rsidR="00335DB6" w:rsidRPr="00FD2D59" w:rsidRDefault="00335DB6" w:rsidP="00335DB6">
      <w:pPr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</w:pPr>
      <w:r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 xml:space="preserve">* VIF &gt; 5 was the criteria for deciding multicollinearity in the model; dept stands for department, </w:t>
      </w:r>
    </w:p>
    <w:p w14:paraId="3C3855B7" w14:textId="0F8F4C17" w:rsidR="00335DB6" w:rsidRPr="00FD2D59" w:rsidRDefault="00335DB6" w:rsidP="00335DB6">
      <w:pPr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</w:pPr>
      <w:r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>clin stands for primarily emphasis, cert stands for certified status; rank stands for career rank.</w:t>
      </w:r>
      <w:r w:rsid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 xml:space="preserve"> </w:t>
      </w:r>
    </w:p>
    <w:p w14:paraId="016F3768" w14:textId="15CF4EB9" w:rsidR="00F433D6" w:rsidRPr="00FD2D59" w:rsidRDefault="00F433D6">
      <w:pPr>
        <w:rPr>
          <w:rFonts w:ascii="Times New Roman" w:hAnsi="Times New Roman" w:cs="Times New Roman"/>
        </w:rPr>
      </w:pPr>
    </w:p>
    <w:p w14:paraId="4D0BD5DD" w14:textId="77777777" w:rsidR="00335DB6" w:rsidRPr="00FD2D59" w:rsidRDefault="00335DB6">
      <w:pPr>
        <w:rPr>
          <w:rFonts w:ascii="Times New Roman" w:hAnsi="Times New Roman" w:cs="Times New Roman"/>
        </w:rPr>
      </w:pPr>
    </w:p>
    <w:p w14:paraId="2A8D9D11" w14:textId="77777777" w:rsidR="00335DB6" w:rsidRPr="00FD2D59" w:rsidRDefault="00335DB6" w:rsidP="00335D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D59">
        <w:rPr>
          <w:rFonts w:ascii="Times New Roman" w:hAnsi="Times New Roman" w:cs="Times New Roman"/>
          <w:b/>
          <w:bCs/>
          <w:sz w:val="24"/>
          <w:szCs w:val="24"/>
        </w:rPr>
        <w:t>Table 10. VIF value of predictors after stratification by rank in model 2</w:t>
      </w:r>
    </w:p>
    <w:p w14:paraId="48F0F504" w14:textId="5EF485AD" w:rsidR="00F433D6" w:rsidRPr="00FD2D59" w:rsidRDefault="00F433D6">
      <w:pPr>
        <w:rPr>
          <w:rFonts w:ascii="Times New Roman" w:hAnsi="Times New Roman" w:cs="Times New Roman"/>
        </w:rPr>
      </w:pPr>
    </w:p>
    <w:tbl>
      <w:tblPr>
        <w:tblW w:w="488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160"/>
        <w:gridCol w:w="1120"/>
        <w:gridCol w:w="1120"/>
      </w:tblGrid>
      <w:tr w:rsidR="00F433D6" w:rsidRPr="00FD2D59" w14:paraId="6A8B0A63" w14:textId="77777777" w:rsidTr="00F433D6">
        <w:trPr>
          <w:trHeight w:val="348"/>
        </w:trPr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3B49E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VIF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F0A3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rank = 1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04B85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rank = 2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10E6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rank = 3</w:t>
            </w:r>
          </w:p>
        </w:tc>
      </w:tr>
      <w:tr w:rsidR="00F433D6" w:rsidRPr="00FD2D59" w14:paraId="0E40A304" w14:textId="77777777" w:rsidTr="00F433D6">
        <w:trPr>
          <w:trHeight w:val="384"/>
        </w:trPr>
        <w:tc>
          <w:tcPr>
            <w:tcW w:w="14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31A7910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gendermale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9A359BD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1.389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AB69C79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1.192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A9DAE9C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1.212</w:t>
            </w:r>
          </w:p>
        </w:tc>
      </w:tr>
      <w:tr w:rsidR="00F433D6" w:rsidRPr="00FD2D59" w14:paraId="418E308A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60BA8C2B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dept2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6FA044E8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1.788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728058B6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1.494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0D835A1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1.503</w:t>
            </w:r>
          </w:p>
        </w:tc>
      </w:tr>
      <w:tr w:rsidR="00F433D6" w:rsidRPr="00FD2D59" w14:paraId="6F2CEF3E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06E8E9D0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dept3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305E9593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1.647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79CE70B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1.326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19586525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1.436</w:t>
            </w:r>
          </w:p>
        </w:tc>
      </w:tr>
      <w:tr w:rsidR="00F433D6" w:rsidRPr="00FD2D59" w14:paraId="7E949B9B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29E2FD35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dept4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418B273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2.506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282913C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2.125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60A9220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1.236</w:t>
            </w:r>
          </w:p>
        </w:tc>
      </w:tr>
      <w:tr w:rsidR="00F433D6" w:rsidRPr="00FD2D59" w14:paraId="4930D82B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26227C2D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dept5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14028F5C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3.759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1427B10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2.805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E77E8F5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1.901</w:t>
            </w:r>
          </w:p>
        </w:tc>
      </w:tr>
      <w:tr w:rsidR="00F433D6" w:rsidRPr="00FD2D59" w14:paraId="2E0DDAB0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71E1C94D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dept6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7DF48D73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3.218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9E365FF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2.316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13CCACCC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1.898</w:t>
            </w:r>
          </w:p>
        </w:tc>
      </w:tr>
      <w:tr w:rsidR="00F433D6" w:rsidRPr="00FD2D59" w14:paraId="0207E289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648B5DD7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clin1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19BDB05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1.822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32E2774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2.112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7CAC88C5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1.662</w:t>
            </w:r>
          </w:p>
        </w:tc>
      </w:tr>
      <w:tr w:rsidR="00F433D6" w:rsidRPr="00FD2D59" w14:paraId="7D927F07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038A43B7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cert1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6A5481D2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1.387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7054AEB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1.413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117EAAB" w14:textId="77777777" w:rsidR="00F433D6" w:rsidRPr="00FD2D59" w:rsidRDefault="00F433D6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1.284</w:t>
            </w:r>
          </w:p>
        </w:tc>
      </w:tr>
      <w:tr w:rsidR="00520F57" w:rsidRPr="00FD2D59" w14:paraId="7F6C2131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</w:tcPr>
          <w:p w14:paraId="3E75FDB4" w14:textId="094D2726" w:rsidR="00520F57" w:rsidRPr="00FD2D59" w:rsidRDefault="00520F57" w:rsidP="00335DB6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zh-CN"/>
              </w:rPr>
            </w:pPr>
            <w:proofErr w:type="spellStart"/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zh-CN"/>
              </w:rPr>
              <w:t>exper</w:t>
            </w:r>
            <w:proofErr w:type="spellEnd"/>
          </w:p>
        </w:tc>
        <w:tc>
          <w:tcPr>
            <w:tcW w:w="1160" w:type="dxa"/>
            <w:shd w:val="clear" w:color="auto" w:fill="auto"/>
            <w:vAlign w:val="center"/>
          </w:tcPr>
          <w:p w14:paraId="4F92C838" w14:textId="435B61B5" w:rsidR="00520F57" w:rsidRPr="00FD2D59" w:rsidRDefault="00520F57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1.259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D17E06A" w14:textId="7B095CE6" w:rsidR="00520F57" w:rsidRPr="00FD2D59" w:rsidRDefault="00520F57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1.167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80914B5" w14:textId="6E3C63E0" w:rsidR="00520F57" w:rsidRPr="00FD2D59" w:rsidRDefault="00520F57" w:rsidP="00335DB6">
            <w:pPr>
              <w:pStyle w:val="Compact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1.115</w:t>
            </w:r>
          </w:p>
        </w:tc>
      </w:tr>
    </w:tbl>
    <w:p w14:paraId="37EE2BA3" w14:textId="77777777" w:rsidR="00520F57" w:rsidRPr="00FD2D59" w:rsidRDefault="00520F57" w:rsidP="00520F57">
      <w:pPr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</w:pPr>
      <w:r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 xml:space="preserve">* VIF &gt; 5 was the criteria for deciding multicollinearity in the model; dept stands for department, </w:t>
      </w:r>
    </w:p>
    <w:p w14:paraId="470CD917" w14:textId="346862BB" w:rsidR="00520F57" w:rsidRPr="00FD2D59" w:rsidRDefault="00520F57" w:rsidP="00520F57">
      <w:pPr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</w:pPr>
      <w:r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 xml:space="preserve">clin stands for primarily emphasis, cert stands for certified status; </w:t>
      </w:r>
      <w:proofErr w:type="spellStart"/>
      <w:r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>exper</w:t>
      </w:r>
      <w:proofErr w:type="spellEnd"/>
      <w:r w:rsidRPr="00FD2D59">
        <w:rPr>
          <w:rStyle w:val="SubtleEmphasis"/>
          <w:rFonts w:ascii="Times New Roman" w:hAnsi="Times New Roman" w:cs="Times New Roman"/>
          <w:sz w:val="20"/>
          <w:szCs w:val="20"/>
          <w:lang w:eastAsia="en-US"/>
        </w:rPr>
        <w:t xml:space="preserve"> stands for experience.</w:t>
      </w:r>
    </w:p>
    <w:p w14:paraId="65B914EA" w14:textId="7A45DBDA" w:rsidR="00F433D6" w:rsidRPr="00FD2D59" w:rsidRDefault="00F433D6">
      <w:pPr>
        <w:rPr>
          <w:rFonts w:ascii="Times New Roman" w:hAnsi="Times New Roman" w:cs="Times New Roman"/>
        </w:rPr>
      </w:pPr>
    </w:p>
    <w:p w14:paraId="6510287D" w14:textId="4C9C223C" w:rsidR="00520F57" w:rsidRDefault="00520F57">
      <w:pPr>
        <w:rPr>
          <w:rFonts w:ascii="Times New Roman" w:hAnsi="Times New Roman" w:cs="Times New Roman"/>
        </w:rPr>
      </w:pPr>
    </w:p>
    <w:p w14:paraId="1CDA42A6" w14:textId="7C3B8E87" w:rsidR="00FD2D59" w:rsidRDefault="00FD2D59">
      <w:pPr>
        <w:rPr>
          <w:rFonts w:ascii="Times New Roman" w:hAnsi="Times New Roman" w:cs="Times New Roman"/>
        </w:rPr>
      </w:pPr>
    </w:p>
    <w:p w14:paraId="13D7C20A" w14:textId="573BA9D0" w:rsidR="00FD2D59" w:rsidRDefault="00FD2D59">
      <w:pPr>
        <w:rPr>
          <w:rFonts w:ascii="Times New Roman" w:hAnsi="Times New Roman" w:cs="Times New Roman"/>
        </w:rPr>
      </w:pPr>
    </w:p>
    <w:p w14:paraId="26EE6289" w14:textId="2246F0AC" w:rsidR="00FD2D59" w:rsidRDefault="00FD2D59">
      <w:pPr>
        <w:rPr>
          <w:rFonts w:ascii="Times New Roman" w:hAnsi="Times New Roman" w:cs="Times New Roman"/>
        </w:rPr>
      </w:pPr>
    </w:p>
    <w:p w14:paraId="168BB43A" w14:textId="088DE253" w:rsidR="00FD2D59" w:rsidRDefault="00FD2D59">
      <w:pPr>
        <w:rPr>
          <w:rFonts w:ascii="Times New Roman" w:hAnsi="Times New Roman" w:cs="Times New Roman"/>
        </w:rPr>
      </w:pPr>
    </w:p>
    <w:p w14:paraId="4630480B" w14:textId="77777777" w:rsidR="00FD2D59" w:rsidRPr="00FD2D59" w:rsidRDefault="00FD2D59">
      <w:pPr>
        <w:rPr>
          <w:rFonts w:ascii="Times New Roman" w:hAnsi="Times New Roman" w:cs="Times New Roman" w:hint="eastAsia"/>
        </w:rPr>
      </w:pPr>
    </w:p>
    <w:p w14:paraId="7D0642C3" w14:textId="04FE03E3" w:rsidR="00335DB6" w:rsidRPr="00FD2D59" w:rsidRDefault="00335DB6">
      <w:pPr>
        <w:rPr>
          <w:rFonts w:ascii="Times New Roman" w:hAnsi="Times New Roman" w:cs="Times New Roman"/>
        </w:rPr>
      </w:pPr>
      <w:r w:rsidRPr="00FD2D59">
        <w:rPr>
          <w:rFonts w:ascii="Times New Roman" w:hAnsi="Times New Roman" w:cs="Times New Roman"/>
          <w:b/>
          <w:bCs/>
          <w:sz w:val="24"/>
          <w:szCs w:val="24"/>
        </w:rPr>
        <w:t>Table 11. Potential influential observation in model</w:t>
      </w:r>
      <w:r w:rsidR="00EE64C9" w:rsidRPr="00FD2D59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W w:w="5245" w:type="dxa"/>
        <w:tblLook w:val="04A0" w:firstRow="1" w:lastRow="0" w:firstColumn="1" w:lastColumn="0" w:noHBand="0" w:noVBand="1"/>
      </w:tblPr>
      <w:tblGrid>
        <w:gridCol w:w="1560"/>
        <w:gridCol w:w="1200"/>
        <w:gridCol w:w="1635"/>
        <w:gridCol w:w="850"/>
      </w:tblGrid>
      <w:tr w:rsidR="00EE64C9" w:rsidRPr="00FD2D59" w14:paraId="224FF4EC" w14:textId="0786C4A5" w:rsidTr="00EE64C9">
        <w:trPr>
          <w:trHeight w:val="396"/>
        </w:trPr>
        <w:tc>
          <w:tcPr>
            <w:tcW w:w="276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80065D8" w14:textId="50EA72CB" w:rsidR="00EE64C9" w:rsidRPr="00FD2D59" w:rsidRDefault="00EE64C9" w:rsidP="00EE64C9">
            <w:pPr>
              <w:pStyle w:val="Compac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Model 1</w:t>
            </w:r>
          </w:p>
        </w:tc>
        <w:tc>
          <w:tcPr>
            <w:tcW w:w="248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83295F4" w14:textId="70153392" w:rsidR="00EE64C9" w:rsidRPr="00FD2D59" w:rsidRDefault="00EE64C9" w:rsidP="00EE64C9">
            <w:pPr>
              <w:pStyle w:val="Compac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zh-CN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zh-CN"/>
              </w:rPr>
              <w:t>Model 2</w:t>
            </w:r>
          </w:p>
        </w:tc>
      </w:tr>
      <w:tr w:rsidR="00EE64C9" w:rsidRPr="00FD2D59" w14:paraId="27A9E871" w14:textId="27AF8B55" w:rsidTr="00EE64C9">
        <w:trPr>
          <w:trHeight w:val="396"/>
        </w:trPr>
        <w:tc>
          <w:tcPr>
            <w:tcW w:w="1560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A6E468D" w14:textId="5F6CF75A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case</w:t>
            </w:r>
          </w:p>
        </w:tc>
        <w:tc>
          <w:tcPr>
            <w:tcW w:w="1200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39574AD" w14:textId="725A1C9F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cook.d</w:t>
            </w:r>
            <w:proofErr w:type="spellEnd"/>
            <w:proofErr w:type="gramEnd"/>
          </w:p>
        </w:tc>
        <w:tc>
          <w:tcPr>
            <w:tcW w:w="163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0E268A3" w14:textId="6C5828CC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case</w:t>
            </w:r>
          </w:p>
        </w:tc>
        <w:tc>
          <w:tcPr>
            <w:tcW w:w="850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480FF9E" w14:textId="0D2201BD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FD2D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cook.d</w:t>
            </w:r>
            <w:proofErr w:type="spellEnd"/>
            <w:proofErr w:type="gramEnd"/>
          </w:p>
        </w:tc>
      </w:tr>
      <w:tr w:rsidR="00EE64C9" w:rsidRPr="00FD2D59" w14:paraId="6F541192" w14:textId="33DB0BAB" w:rsidTr="00EE64C9">
        <w:trPr>
          <w:trHeight w:val="38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3D953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52BF5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0.022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9AE93" w14:textId="6CA96B3A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B6C98" w14:textId="3A83796C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0.022</w:t>
            </w:r>
          </w:p>
        </w:tc>
      </w:tr>
      <w:tr w:rsidR="00EE64C9" w:rsidRPr="00FD2D59" w14:paraId="22D218A5" w14:textId="4F61FC61" w:rsidTr="00EE64C9">
        <w:trPr>
          <w:trHeight w:val="38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2F764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979CA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0.040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2BC84" w14:textId="60D5E6B2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BE422" w14:textId="090018ED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0.025</w:t>
            </w:r>
          </w:p>
        </w:tc>
      </w:tr>
      <w:tr w:rsidR="00EE64C9" w:rsidRPr="00FD2D59" w14:paraId="3DA5A4AD" w14:textId="320BF6D2" w:rsidTr="00EE64C9">
        <w:trPr>
          <w:trHeight w:val="38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838BF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5EA2D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0.016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F4A1F" w14:textId="63C902E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8A38B" w14:textId="31814AB6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0.016</w:t>
            </w:r>
          </w:p>
        </w:tc>
      </w:tr>
      <w:tr w:rsidR="00EE64C9" w:rsidRPr="00FD2D59" w14:paraId="0E2A9AEE" w14:textId="3676C963" w:rsidTr="00EE64C9">
        <w:trPr>
          <w:trHeight w:val="38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B6302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1F541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0.017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106CC" w14:textId="481BE615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8B628" w14:textId="715695C8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0.026</w:t>
            </w:r>
          </w:p>
        </w:tc>
      </w:tr>
      <w:tr w:rsidR="00EE64C9" w:rsidRPr="00FD2D59" w14:paraId="688F2C8E" w14:textId="7D10D22D" w:rsidTr="00EE64C9">
        <w:trPr>
          <w:trHeight w:val="38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6478C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38A59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0.022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4B5FF" w14:textId="21BD17EA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C0AA7" w14:textId="6E4B220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0.020</w:t>
            </w:r>
          </w:p>
        </w:tc>
      </w:tr>
      <w:tr w:rsidR="00EE64C9" w:rsidRPr="00FD2D59" w14:paraId="2BCAF0AC" w14:textId="2B11575A" w:rsidTr="00EE64C9">
        <w:trPr>
          <w:trHeight w:val="38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D3494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6E84F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0.021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4DD71" w14:textId="53656552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0D164" w14:textId="73ECE183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0.020</w:t>
            </w:r>
          </w:p>
        </w:tc>
      </w:tr>
      <w:tr w:rsidR="00EE64C9" w:rsidRPr="00FD2D59" w14:paraId="3AC10101" w14:textId="5E7DBDEC" w:rsidTr="00EE64C9">
        <w:trPr>
          <w:trHeight w:val="38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FC563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424B4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0.024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4BD9E" w14:textId="61945FEA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BE359" w14:textId="143081A2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0.246</w:t>
            </w:r>
          </w:p>
        </w:tc>
      </w:tr>
      <w:tr w:rsidR="00EE64C9" w:rsidRPr="00FD2D59" w14:paraId="670B0765" w14:textId="2C7D944A" w:rsidTr="00EE64C9">
        <w:trPr>
          <w:trHeight w:val="38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067B2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6D375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0.016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17356" w14:textId="23E9CD5D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208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EB53F" w14:textId="5B783463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0.016</w:t>
            </w:r>
          </w:p>
        </w:tc>
      </w:tr>
      <w:tr w:rsidR="00EE64C9" w:rsidRPr="00FD2D59" w14:paraId="7679050B" w14:textId="116C0DFA" w:rsidTr="00EE64C9">
        <w:trPr>
          <w:trHeight w:val="38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78A01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184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619CF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0.242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7A7CA1C9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960EC5C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E64C9" w:rsidRPr="00FD2D59" w14:paraId="2E1DCDB2" w14:textId="16587CA3" w:rsidTr="00EE64C9">
        <w:trPr>
          <w:trHeight w:val="38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377F3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216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D6FFB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0.048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2B39C940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BB22C64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E64C9" w:rsidRPr="00FD2D59" w14:paraId="6F2437A6" w14:textId="5D5DD47D" w:rsidTr="00EE64C9">
        <w:trPr>
          <w:trHeight w:val="384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68F384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220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52DE39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D2D59">
              <w:rPr>
                <w:rFonts w:ascii="Times New Roman" w:hAnsi="Times New Roman" w:cs="Times New Roman"/>
                <w:sz w:val="22"/>
                <w:szCs w:val="22"/>
              </w:rPr>
              <w:t>0.023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C6132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DA948" w14:textId="77777777" w:rsidR="00EE64C9" w:rsidRPr="00FD2D59" w:rsidRDefault="00EE64C9" w:rsidP="00EE64C9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B9B3AD7" w14:textId="4548A92F" w:rsidR="00520F57" w:rsidRPr="00FD2D59" w:rsidRDefault="00520F57" w:rsidP="00335DB6">
      <w:pPr>
        <w:pStyle w:val="Compact"/>
        <w:rPr>
          <w:rFonts w:ascii="Times New Roman" w:hAnsi="Times New Roman" w:cs="Times New Roman"/>
          <w:sz w:val="22"/>
          <w:szCs w:val="22"/>
        </w:rPr>
      </w:pPr>
      <w:r w:rsidRPr="00FD2D59">
        <w:rPr>
          <w:rStyle w:val="SubtleEmphasis"/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proofErr w:type="gramStart"/>
      <w:r w:rsidRPr="00FD2D59">
        <w:rPr>
          <w:rStyle w:val="SubtleEmphasis"/>
          <w:rFonts w:ascii="Times New Roman" w:hAnsi="Times New Roman" w:cs="Times New Roman"/>
          <w:sz w:val="20"/>
          <w:szCs w:val="20"/>
        </w:rPr>
        <w:t>cook.d</w:t>
      </w:r>
      <w:proofErr w:type="spellEnd"/>
      <w:proofErr w:type="gramEnd"/>
      <w:r w:rsidRPr="00FD2D59">
        <w:rPr>
          <w:rStyle w:val="SubtleEmphasis"/>
          <w:rFonts w:ascii="Times New Roman" w:hAnsi="Times New Roman" w:cs="Times New Roman"/>
          <w:sz w:val="20"/>
          <w:szCs w:val="20"/>
        </w:rPr>
        <w:t xml:space="preserve"> &gt; 4 / n (n = 261 in our study) was the criteria for selecting potential influential observations in the model</w:t>
      </w:r>
      <w:r w:rsidR="00EE64C9" w:rsidRPr="00FD2D59">
        <w:rPr>
          <w:rStyle w:val="SubtleEmphasis"/>
          <w:rFonts w:ascii="Times New Roman" w:hAnsi="Times New Roman" w:cs="Times New Roman"/>
          <w:sz w:val="20"/>
          <w:szCs w:val="20"/>
        </w:rPr>
        <w:t>s</w:t>
      </w:r>
      <w:r w:rsidR="00FD2D59">
        <w:rPr>
          <w:rStyle w:val="SubtleEmphasis"/>
          <w:rFonts w:ascii="Times New Roman" w:hAnsi="Times New Roman" w:cs="Times New Roman"/>
          <w:sz w:val="20"/>
          <w:szCs w:val="20"/>
        </w:rPr>
        <w:t>.</w:t>
      </w:r>
    </w:p>
    <w:p w14:paraId="675FE319" w14:textId="4993A8FC" w:rsidR="00F433D6" w:rsidRPr="00FD2D59" w:rsidRDefault="00F433D6" w:rsidP="00F433D6">
      <w:pPr>
        <w:rPr>
          <w:rFonts w:ascii="Times New Roman" w:hAnsi="Times New Roman" w:cs="Times New Roman"/>
        </w:rPr>
      </w:pPr>
    </w:p>
    <w:p w14:paraId="5C98A788" w14:textId="77777777" w:rsidR="00F433D6" w:rsidRPr="00FD2D59" w:rsidRDefault="00F433D6">
      <w:pPr>
        <w:rPr>
          <w:rFonts w:ascii="Times New Roman" w:hAnsi="Times New Roman" w:cs="Times New Roman"/>
        </w:rPr>
      </w:pPr>
    </w:p>
    <w:sectPr w:rsidR="00F433D6" w:rsidRPr="00FD2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C1484"/>
    <w:multiLevelType w:val="hybridMultilevel"/>
    <w:tmpl w:val="8F48232C"/>
    <w:lvl w:ilvl="0" w:tplc="7A5811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  <w:i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D6"/>
    <w:rsid w:val="00074A42"/>
    <w:rsid w:val="00335DB6"/>
    <w:rsid w:val="00520F57"/>
    <w:rsid w:val="006328C6"/>
    <w:rsid w:val="00C417D9"/>
    <w:rsid w:val="00D01DE9"/>
    <w:rsid w:val="00DD7C8B"/>
    <w:rsid w:val="00EE64C9"/>
    <w:rsid w:val="00F433D6"/>
    <w:rsid w:val="00FD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2939"/>
  <w15:chartTrackingRefBased/>
  <w15:docId w15:val="{F58C9FC1-1506-488B-B1BB-4FE1A7BB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5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335DB6"/>
    <w:pPr>
      <w:widowControl/>
      <w:spacing w:before="36" w:after="36"/>
      <w:jc w:val="left"/>
    </w:pPr>
    <w:rPr>
      <w:rFonts w:eastAsiaTheme="minorHAnsi"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35D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5DB6"/>
  </w:style>
  <w:style w:type="character" w:styleId="SubtleEmphasis">
    <w:name w:val="Subtle Emphasis"/>
    <w:basedOn w:val="DefaultParagraphFont"/>
    <w:uiPriority w:val="19"/>
    <w:qFormat/>
    <w:rsid w:val="00335DB6"/>
    <w:rPr>
      <w:i/>
      <w:iCs/>
    </w:rPr>
  </w:style>
  <w:style w:type="paragraph" w:styleId="ListParagraph">
    <w:name w:val="List Paragraph"/>
    <w:basedOn w:val="Normal"/>
    <w:uiPriority w:val="34"/>
    <w:qFormat/>
    <w:rsid w:val="00DD7C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晓杨</dc:creator>
  <cp:keywords/>
  <dc:description/>
  <cp:lastModifiedBy>李 晓杨</cp:lastModifiedBy>
  <cp:revision>4</cp:revision>
  <dcterms:created xsi:type="dcterms:W3CDTF">2019-12-13T22:06:00Z</dcterms:created>
  <dcterms:modified xsi:type="dcterms:W3CDTF">2019-12-16T19:12:00Z</dcterms:modified>
</cp:coreProperties>
</file>