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Event Recap</w:t>
      </w:r>
    </w:p>
    <w:p>
      <w:pPr>
        <w:spacing w:after="60"/>
      </w:pPr>
      <w:r>
        <w:rPr>
          <w:rFonts w:ascii="Arial" w:cs="Arial" w:eastAsia="Arial" w:hAnsi="Arial"/>
          <w:color w:val="444444"/>
          <w:sz w:val="26"/>
          <w:szCs w:val="26"/>
        </w:rPr>
        <w:t xml:space="preserve">National Undergraduate Case Championship — Fall 2024</w:t>
      </w:r>
    </w:p>
    <w:p>
      <w:pPr>
        <w:spacing w:after="320"/>
      </w:pPr>
      <w:r>
        <w:rPr>
          <w:rFonts w:ascii="Arial" w:cs="Arial" w:eastAsia="Arial" w:hAnsi="Arial"/>
          <w:i/>
          <w:iCs/>
          <w:color w:val="888888"/>
          <w:sz w:val="20"/>
          <w:szCs w:val="20"/>
        </w:rPr>
        <w:t xml:space="preserve">Prepared by the Apex Consulting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A" w:val="clear"/>
            <w:tcMar>
              <w:top w:type="dxa" w:w="80"/>
              <w:left w:type="dxa" w:w="120"/>
              <w:bottom w:type="dxa" w:w="80"/>
              <w:right w:type="dxa" w:w="120"/>
            </w:tcMar>
          </w:tcPr>
          <w:p>
            <w:r>
              <w:rPr>
                <w:rFonts w:ascii="Arial" w:cs="Arial" w:eastAsia="Arial" w:hAnsi="Arial"/>
                <w:b/>
                <w:bCs/>
                <w:color w:val="2E5EA8"/>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November 9, 2024</w:t>
            </w:r>
          </w:p>
        </w:tc>
      </w:tr>
      <w:tr>
        <w:tc>
          <w:tcPr>
            <w:tcW w:type="dxa" w:w="2200"/>
            <w:tcBorders>
              <w:top w:val="single" w:color="CCCCCC" w:sz="1"/>
              <w:left w:val="single" w:color="CCCCCC" w:sz="1"/>
              <w:bottom w:val="single" w:color="CCCCCC" w:sz="1"/>
              <w:right w:val="single" w:color="CCCCCC" w:sz="1"/>
            </w:tcBorders>
            <w:shd w:fill="EDF2FA" w:val="clear"/>
            <w:tcMar>
              <w:top w:type="dxa" w:w="80"/>
              <w:left w:type="dxa" w:w="120"/>
              <w:bottom w:type="dxa" w:w="80"/>
              <w:right w:type="dxa" w:w="120"/>
            </w:tcMar>
          </w:tcPr>
          <w:p>
            <w:r>
              <w:rPr>
                <w:rFonts w:ascii="Arial" w:cs="Arial" w:eastAsia="Arial" w:hAnsi="Arial"/>
                <w:b/>
                <w:bCs/>
                <w:color w:val="2E5EA8"/>
                <w:sz w:val="20"/>
                <w:szCs w:val="20"/>
              </w:rPr>
              <w:t xml:space="preserve">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Ross School of Business, Ann Arbor, MI</w:t>
            </w:r>
          </w:p>
        </w:tc>
      </w:tr>
      <w:tr>
        <w:tc>
          <w:tcPr>
            <w:tcW w:type="dxa" w:w="2200"/>
            <w:tcBorders>
              <w:top w:val="single" w:color="CCCCCC" w:sz="1"/>
              <w:left w:val="single" w:color="CCCCCC" w:sz="1"/>
              <w:bottom w:val="single" w:color="CCCCCC" w:sz="1"/>
              <w:right w:val="single" w:color="CCCCCC" w:sz="1"/>
            </w:tcBorders>
            <w:shd w:fill="EDF2FA" w:val="clear"/>
            <w:tcMar>
              <w:top w:type="dxa" w:w="80"/>
              <w:left w:type="dxa" w:w="120"/>
              <w:bottom w:type="dxa" w:w="80"/>
              <w:right w:type="dxa" w:w="120"/>
            </w:tcMar>
          </w:tcPr>
          <w:p>
            <w:r>
              <w:rPr>
                <w:rFonts w:ascii="Arial" w:cs="Arial" w:eastAsia="Arial" w:hAnsi="Arial"/>
                <w:b/>
                <w:bCs/>
                <w:color w:val="2E5EA8"/>
                <w:sz w:val="20"/>
                <w:szCs w:val="20"/>
              </w:rPr>
              <w:t xml:space="preserve">Format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20-minute case, 10-minute Q&amp;A, panel of three judges</w:t>
            </w:r>
          </w:p>
        </w:tc>
      </w:tr>
      <w:tr>
        <w:tc>
          <w:tcPr>
            <w:tcW w:type="dxa" w:w="2200"/>
            <w:tcBorders>
              <w:top w:val="single" w:color="CCCCCC" w:sz="1"/>
              <w:left w:val="single" w:color="CCCCCC" w:sz="1"/>
              <w:bottom w:val="single" w:color="CCCCCC" w:sz="1"/>
              <w:right w:val="single" w:color="CCCCCC" w:sz="1"/>
            </w:tcBorders>
            <w:shd w:fill="EDF2FA" w:val="clear"/>
            <w:tcMar>
              <w:top w:type="dxa" w:w="80"/>
              <w:left w:type="dxa" w:w="120"/>
              <w:bottom w:type="dxa" w:w="80"/>
              <w:right w:type="dxa" w:w="120"/>
            </w:tcMar>
          </w:tcPr>
          <w:p>
            <w:r>
              <w:rPr>
                <w:rFonts w:ascii="Arial" w:cs="Arial" w:eastAsia="Arial" w:hAnsi="Arial"/>
                <w:b/>
                <w:bCs/>
                <w:color w:val="2E5EA8"/>
                <w:sz w:val="20"/>
                <w:szCs w:val="20"/>
              </w:rPr>
              <w:t xml:space="preserve">Team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Sofia Reyes, Marcus Tan, Priya Nair, Jordan Webb</w:t>
            </w:r>
          </w:p>
        </w:tc>
      </w:tr>
      <w:tr>
        <w:tc>
          <w:tcPr>
            <w:tcW w:type="dxa" w:w="2200"/>
            <w:tcBorders>
              <w:top w:val="single" w:color="CCCCCC" w:sz="1"/>
              <w:left w:val="single" w:color="CCCCCC" w:sz="1"/>
              <w:bottom w:val="single" w:color="CCCCCC" w:sz="1"/>
              <w:right w:val="single" w:color="CCCCCC" w:sz="1"/>
            </w:tcBorders>
            <w:shd w:fill="EDF2FA" w:val="clear"/>
            <w:tcMar>
              <w:top w:type="dxa" w:w="80"/>
              <w:left w:type="dxa" w:w="120"/>
              <w:bottom w:type="dxa" w:w="80"/>
              <w:right w:type="dxa" w:w="120"/>
            </w:tcMar>
          </w:tcPr>
          <w:p>
            <w:r>
              <w:rPr>
                <w:rFonts w:ascii="Arial" w:cs="Arial" w:eastAsia="Arial" w:hAnsi="Arial"/>
                <w:b/>
                <w:bCs/>
                <w:color w:val="2E5EA8"/>
                <w:sz w:val="20"/>
                <w:szCs w:val="20"/>
              </w:rPr>
              <w:t xml:space="preserve">Competing teams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teams from 11 universities</w:t>
            </w:r>
          </w:p>
        </w:tc>
      </w:tr>
    </w:tbl>
    <w:p>
      <w:pPr>
        <w:spacing w:after="80"/>
      </w:pPr>
      <w:r>
        <w:t xml:space="preserve"/>
      </w:r>
    </w:p>
    <w:p>
      <w:pPr>
        <w:pStyle w:val="Heading1"/>
        <w:spacing w:after="120" w:before="280"/>
      </w:pPr>
      <w:r>
        <w:rPr>
          <w:rFonts w:ascii="Arial" w:cs="Arial" w:eastAsia="Arial" w:hAnsi="Arial"/>
        </w:rPr>
        <w:t xml:space="preserve">Results</w:t>
      </w:r>
    </w:p>
    <w:p>
      <w:pPr>
        <w:spacing w:after="120"/>
      </w:pPr>
      <w:r>
        <w:rPr>
          <w:rFonts w:ascii="Arial" w:cs="Arial" w:eastAsia="Arial" w:hAnsi="Arial"/>
          <w:sz w:val="22"/>
          <w:szCs w:val="22"/>
        </w:rPr>
        <w:t xml:space="preserve">We placed 2nd overall out of 14 teams, with the highest presentation score in the field. This is the club's best finish at this competition since 2021.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Our rank</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2nd of 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since 2021</w:t>
            </w:r>
          </w:p>
        </w:tc>
      </w:tr>
      <w:tr>
        <w:tc>
          <w:tcPr>
            <w:tcW w:type="dxa" w:w="3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1st of 14</w:t>
            </w:r>
          </w:p>
        </w:tc>
        <w:tc>
          <w:tcPr>
            <w:tcW w:type="dxa" w:w="3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Highest in field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3rd of 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 points on market sizing</w:t>
            </w:r>
          </w:p>
        </w:tc>
      </w:tr>
    </w:tbl>
    <w:p>
      <w:pPr>
        <w:spacing w:after="80"/>
      </w:pPr>
      <w:r>
        <w:t xml:space="preserve"/>
      </w:r>
    </w:p>
    <w:p>
      <w:pPr>
        <w:pStyle w:val="Heading1"/>
        <w:spacing w:after="120" w:before="280"/>
      </w:pPr>
      <w:r>
        <w:rPr>
          <w:rFonts w:ascii="Arial" w:cs="Arial" w:eastAsia="Arial" w:hAnsi="Arial"/>
        </w:rPr>
        <w:t xml:space="preserve">Key learnings</w:t>
      </w:r>
    </w:p>
    <w:p>
      <w:pPr>
        <w:spacing w:after="120"/>
      </w:pPr>
      <w:r>
        <w:rPr>
          <w:rFonts w:ascii="Arial" w:cs="Arial" w:eastAsia="Arial" w:hAnsi="Arial"/>
          <w:sz w:val="22"/>
          <w:szCs w:val="22"/>
        </w:rPr>
        <w:t xml:space="preserve">Four takeaways we're carrying into next semester:</w:t>
      </w:r>
    </w:p>
    <w:p>
      <w:pPr>
        <w:pStyle w:val="ListParagraph"/>
        <w:numPr>
          <w:ilvl w:val="0"/>
          <w:numId w:val="2"/>
        </w:numPr>
        <w:spacing w:after="60"/>
      </w:pPr>
      <w:r>
        <w:rPr>
          <w:rFonts w:ascii="Arial" w:cs="Arial" w:eastAsia="Arial" w:hAnsi="Arial"/>
          <w:sz w:val="22"/>
          <w:szCs w:val="22"/>
        </w:rPr>
        <w:t xml:space="preserve">Structure the opening harder. Our framework was strong but judges noted it took too long to land — the team that beat us opened with a crisp two-sentence diagnosis before any slides.</w:t>
      </w:r>
    </w:p>
    <w:p>
      <w:pPr>
        <w:pStyle w:val="ListParagraph"/>
        <w:numPr>
          <w:ilvl w:val="0"/>
          <w:numId w:val="2"/>
        </w:numPr>
        <w:spacing w:after="60"/>
      </w:pPr>
      <w:r>
        <w:rPr>
          <w:rFonts w:ascii="Arial" w:cs="Arial" w:eastAsia="Arial" w:hAnsi="Arial"/>
          <w:sz w:val="22"/>
          <w:szCs w:val="22"/>
        </w:rPr>
        <w:t xml:space="preserve">Market sizing needs a source, not just a number. The judges pushed back on our TAM figure because we couldn't cite it in the room. Next time we'll annotate the slide with the source.</w:t>
      </w:r>
    </w:p>
    <w:p>
      <w:pPr>
        <w:pStyle w:val="ListParagraph"/>
        <w:numPr>
          <w:ilvl w:val="0"/>
          <w:numId w:val="2"/>
        </w:numPr>
        <w:spacing w:after="60"/>
      </w:pPr>
      <w:r>
        <w:rPr>
          <w:rFonts w:ascii="Arial" w:cs="Arial" w:eastAsia="Arial" w:hAnsi="Arial"/>
          <w:sz w:val="22"/>
          <w:szCs w:val="22"/>
        </w:rPr>
        <w:t xml:space="preserve">Q&amp;A is its own skill. Marcus handled a tough financial question well, but we hadn't practiced adversarial Q&amp;A as a team. Worth running a full mock session next prep cycle.</w:t>
      </w:r>
    </w:p>
    <w:p>
      <w:pPr>
        <w:pStyle w:val="ListParagraph"/>
        <w:numPr>
          <w:ilvl w:val="0"/>
          <w:numId w:val="2"/>
        </w:numPr>
        <w:spacing w:after="60"/>
      </w:pPr>
      <w:r>
        <w:rPr>
          <w:rFonts w:ascii="Arial" w:cs="Arial" w:eastAsia="Arial" w:hAnsi="Arial"/>
          <w:sz w:val="22"/>
          <w:szCs w:val="22"/>
        </w:rPr>
        <w:t xml:space="preserve">Prep time allocation matters. We spent 60% of our 20-minute prep on analysis and only 5 minutes on delivery. The winning team later told us they flip that ratio late in prep.</w:t>
      </w:r>
    </w:p>
    <w:p>
      <w:pPr>
        <w:spacing w:after="80"/>
      </w:pPr>
      <w:r>
        <w:t xml:space="preserve"/>
      </w:r>
    </w:p>
    <w:p>
      <w:pPr>
        <w:pStyle w:val="Heading1"/>
        <w:spacing w:after="120" w:before="280"/>
      </w:pPr>
      <w:r>
        <w:rPr>
          <w:rFonts w:ascii="Arial" w:cs="Arial" w:eastAsia="Arial" w:hAnsi="Arial"/>
        </w:rPr>
        <w:t xml:space="preserve">What we’d do differently</w:t>
      </w:r>
    </w:p>
    <w:p>
      <w:pPr>
        <w:pStyle w:val="ListParagraph"/>
        <w:numPr>
          <w:ilvl w:val="0"/>
          <w:numId w:val="2"/>
        </w:numPr>
        <w:spacing w:after="60"/>
      </w:pPr>
      <w:r>
        <w:rPr>
          <w:rFonts w:ascii="Arial" w:cs="Arial" w:eastAsia="Arial" w:hAnsi="Arial"/>
          <w:sz w:val="22"/>
          <w:szCs w:val="22"/>
        </w:rPr>
        <w:t xml:space="preserve">Reserve the last 4 minutes of prep time exclusively for a full run-through with timed transitions.</w:t>
      </w:r>
    </w:p>
    <w:p>
      <w:pPr>
        <w:pStyle w:val="ListParagraph"/>
        <w:numPr>
          <w:ilvl w:val="0"/>
          <w:numId w:val="2"/>
        </w:numPr>
        <w:spacing w:after="60"/>
      </w:pPr>
      <w:r>
        <w:rPr>
          <w:rFonts w:ascii="Arial" w:cs="Arial" w:eastAsia="Arial" w:hAnsi="Arial"/>
          <w:sz w:val="22"/>
          <w:szCs w:val="22"/>
        </w:rPr>
        <w:t xml:space="preserve">Build a one-page market sizing reference sheet before the competition that we can adapt to any case.</w:t>
      </w:r>
    </w:p>
    <w:p>
      <w:pPr>
        <w:pStyle w:val="ListParagraph"/>
        <w:numPr>
          <w:ilvl w:val="0"/>
          <w:numId w:val="2"/>
        </w:numPr>
        <w:spacing w:after="60"/>
      </w:pPr>
      <w:r>
        <w:rPr>
          <w:rFonts w:ascii="Arial" w:cs="Arial" w:eastAsia="Arial" w:hAnsi="Arial"/>
          <w:sz w:val="22"/>
          <w:szCs w:val="22"/>
        </w:rPr>
        <w:t xml:space="preserve">Add a mock Q&amp;A round to every practice session, with one person playing an adversarial judge.</w:t>
      </w:r>
    </w:p>
    <w:p>
      <w:pPr>
        <w:spacing w:after="80"/>
      </w:pPr>
      <w:r>
        <w:t xml:space="preserve"/>
      </w:r>
    </w:p>
    <w:p>
      <w:pPr>
        <w:pStyle w:val="Heading1"/>
        <w:spacing w:after="120" w:before="280"/>
      </w:pPr>
      <w:r>
        <w:rPr>
          <w:rFonts w:ascii="Arial" w:cs="Arial" w:eastAsia="Arial" w:hAnsi="Arial"/>
        </w:rPr>
        <w:t xml:space="preserve">Thank-yous</w:t>
      </w:r>
    </w:p>
    <w:p>
      <w:pPr>
        <w:spacing w:after="120"/>
      </w:pPr>
      <w:r>
        <w:rPr>
          <w:rFonts w:ascii="Arial" w:cs="Arial" w:eastAsia="Arial" w:hAnsi="Arial"/>
          <w:sz w:val="22"/>
          <w:szCs w:val="22"/>
        </w:rPr>
        <w:t xml:space="preserve">Thank you to Professor Linda Ashworth for the pre-competition coaching session and for reviewing our frameworks the week before. Thank you to David Okafor (McKinsey, Class of 2019) and Rachel Sung (Bain, Class of 2021) for hosting the alumni dinner and sharing their case competition experience. Your prep session on structuring under time pressure directly shaped how we opened our case. Finally, thank you to everyone who came to our practice rounds — the feedback made a real difference.</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AAAAAA"/>
        <w:sz w:val="16"/>
        <w:szCs w:val="16"/>
      </w:rPr>
      <w:t xml:space="preserve">Apex Consulting Club · Internal document</w:t>
    </w:r>
    <w:r>
      <w:rPr>
        <w:rFonts w:ascii="Arial" w:cs="Arial" w:eastAsia="Arial" w:hAnsi="Arial"/>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8"/>
        <w:szCs w:val="18"/>
      </w:rPr>
      <w:t xml:space="preserve">Apex Consulting Club</w:t>
    </w:r>
    <w:r>
      <w:rPr>
        <w:rFonts w:ascii="Arial" w:cs="Arial" w:eastAsia="Arial" w:hAnsi="Arial"/>
        <w:color w:val="888888"/>
        <w:sz w:val="18"/>
        <w:szCs w:val="18"/>
      </w:rPr>
      <w:t xml:space="preserve">	Event Recap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E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2026-05-21T15:25:29.011Z</dcterms:created>
  <dcterms:modified xsi:type="dcterms:W3CDTF">2026-05-21T15:25:29.011Z</dcterms:modified>
</cp:coreProperties>
</file>

<file path=docProps/custom.xml><?xml version="1.0" encoding="utf-8"?>
<Properties xmlns="http://schemas.openxmlformats.org/officeDocument/2006/custom-properties" xmlns:vt="http://schemas.openxmlformats.org/officeDocument/2006/docPropsVTypes"/>
</file>