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AiGate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企业级 AI Token 统一管控平台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产品需求文档（PRD）v1.0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 年 4 月  |  内部机密</w:t>
      </w:r>
    </w:p>
    <w:p>
      <w:pPr>
        <w:spacing w:before="720"/>
      </w:pPr>
    </w:p>
    <w:p>
      <w:pPr>
        <w:pBdr>
          <w:top w:val="single" w:color="2E75B6" w:sz="6" w:space="1"/>
          <w:bottom w:val="single" w:color="2E75B6" w:sz="6" w:space="1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让每一个 AI Token 都花在刀刃上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概述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产品背景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2026 年，企业 AI 使用已进入规模化落地阶段，麦肯锡调研显示超过 90% 的企业至少有一个部门常态化使用 AI，但不到三分之一实现了规模化部署。核心障碍不是模型能力，而是管控能力缺失。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当前企业面临三大典型痛点：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费用失控：员工直接持有公司 API Key，Token 消耗对管理层完全不透明，月底账单无法追溯到具体部门或个人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密钥外泄：员工离职或主动泄露 API Key，导致公司付费资源被滥用，已有多起生产级 API Key 流入灰市案例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合规盲区：AI 调用无完整日志，监管审计或内部安全检查时无法举证，合规风险极高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产品定位</w:t>
      </w:r>
    </w:p>
    <w:p>
      <w:pPr>
        <w:pBdr>
          <w:left w:val="single" w:color="2E75B6" w:sz="12" w:space="8"/>
        </w:pBdr>
        <w:shd w:fill="D5E8F0" w:val="clear"/>
        <w:spacing w:after="120" w:before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AiGate 是一个面向中大型企业（含集团型公司）的企业级 AI Token 统一管控平台，通过统一网关代理所有 AI 调用，解决企业 AI 使用中费用失控、密钥外泄、合规缺失三大核心问题。</w:t>
      </w:r>
    </w:p>
    <w:p>
      <w:pPr>
        <w:spacing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目标用户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集团 IT 管理员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统一管理集团下所有分公司 AI 用量，设置总配额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全局可见、一键管控、合规审计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分公司管理员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为本公司员工分配配额、查看部门用量报告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自主管理、费用分摊、异常预警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部门负责人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查看下属员工 Token 用量，申请额度调整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用量透明、成本归因、审批流程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普通员工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使用平台专属密钥调用 AI，查看自己的用量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一键获取密钥、用量实时可见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财务/审计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按部门导出用量报告，用于成本核算和合规审计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报告导出、数据准确、可溯源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成功标准（OKR）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上线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完成网关核心转发 + 配额管理 + 密钥管理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功能跑通，内部自用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 Q3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内部验证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内部团队日均调用次数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500 次/天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 Q3末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首批商业化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签约付费企业客户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家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 Q4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规模化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平台管理 Token 月消耗量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10 亿 Token/月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2027 Q2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产品成熟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企业客户 NPS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45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2027 Q2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用户与场景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核心用例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UC-01  员工申请并使用专属密钥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员工登录员工端门户，在「我的密钥」页面一键生成专属 API Key。该密钥在网关侧绑定员工的 UID、所在部门配额，以及（可选的）允许 IP 白名单或 VPN 出口 IP。员工将此 Key 配置进自己的工具（如 Cursor、ChatGPT 插件、公司内部应用），所有调用经网关转发至真实 AI 服务商，网关透明代理，员工无需感知。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UC-02  管理员设置层级配额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集团管理员在管理后台创建「配额池」并设置总量（如每月 5000 万 Token）。分配给各分公司后，分公司管理员可将自己分到的配额进一步分配给各部门，部门负责人再分配给员工。任意层级用量达到阈值时，该层级管理员收到预警通知。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UC-03  异常检测与自动处置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网关实时分析每个密钥的调用行为。若单密钥在 30 分钟内调用量超过正常值的 5 倍（如平时日均 1000 次，突然 30 分钟内 1000 次），系统触发异常告警。管理员可配置自动处置策略：警告、限速、临时封禁。员工离职时，HR 系统（或管理员手动）吊销密钥，立即生效。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UC-04  月度费用分摊报告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每月 1 日，系统自动生成上月各部门 Token 用量报告，以 Excel 格式发送至财务邮箱和各部门负责人。报告维度：部门 / 员工 / 模型 / 日期，可下钻到单次调用。财务可据此向各部门分摊 AI 成本。</w:t>
      </w:r>
    </w:p>
    <w:p>
      <w:pPr>
        <w:spacing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功能需求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功能优先级（MoSCoW）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200"/>
        <w:gridCol w:w="4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统一网关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/ Claude / 其他模型接入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 AI 调用统一走平台网关，支持 OpenAI 兼容协议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密钥管理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员工专属密钥生成与吊销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一键生成、吊销密钥，密钥绑定员工身份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配额管理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配额设置与实时扣减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支持集团→分公司→部门→员工四级配额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预警通知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邮件超限预警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配额用量到 70%/90%/100% 触发邮件通知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用量看板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管理员实时用量看板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按组织层级展示 Token 用量、费用、模型分布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员工门户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员工用量自助查询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员工查自己的实时用量和历史记录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防滥用检测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异常行为识别与告警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基于调用频率、IP、时段的异常检测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密钥安全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 白名单 / VPN 绑定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密钥限制只能从特定 IP 或 VPN 出口调用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全量调用日志记录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每次 AI 调用的完整日志，支持按用户/时间/模型过滤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费用报告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月度用量报告自动生成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自动生成 Excel 报告，支持按部门/员工/模型维度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SSO 集成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企业微信 / 钉钉 / LDAP 登录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对接企业现有身份系统，无需单独注册账号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短信预警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短信超限预警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在邮件基础上增加短信通知渠道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套餐管理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套餐购买与续费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管理员购买 Token 套餐，到期前自动提醒续费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开放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平台管理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提供 REST API 供企业 IT 系统集成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Won't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模型微调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私有模型训练/微调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超出核心场景，不在当前版本规划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Won't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编排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工作流编排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与本产品定位不符，不做</w:t>
            </w:r>
          </w:p>
        </w:tc>
      </w:tr>
    </w:tbl>
    <w:p>
      <w:pPr>
        <w:spacing w:before="1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各模块详细说明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3.2.1 统一 AI 网关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网关是整个平台的核心基础设施。技术上采用 OpenAI 兼容接口标准，所有接入模型（OpenAI、Claude、Gemini、私有化模型）对外暴露统一的 API 格式，员工无需改变调用方式。网关在每次请求中完成：身份验证（解析专属 Key）→ 配额检查（是否超限）→ 请求转发（到真实服务商）→ 响应回传 → 用量记录（异步写入数据库）。整条链路 P99 延迟增加目标 &lt; 50ms。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接入模型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(GPT-4o / GPT-4.1)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Native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API → OpenAI 兼容转换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Vertex AI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 / 国产模型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兼容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企业私有化部署模型（Ollama / vLLM）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兼容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3.2.2 组织与配额管理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支持四级组织结构：集团 → 分公司 → 部门 → 员工（或项目）。各级管理员只能看到和管理自己权限范围内的数据。配额设置支持两种维度：Token 数量（适合精细管控）和费用金额（适合财务核算）。配额分配遵循守恒原则：父节点已分配配额之和不超过父节点总配额。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集团管理员：可设置全局总配额，向下分配给各分公司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分公司管理员：在分配到的配额内，向各部门分配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部门负责人：在部门配额内，向员工分配（可设置单人上限）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配额周期支持：月度（默认）、季度、年度，周期结束后自动重置</w:t>
      </w:r>
    </w:p>
    <w:p>
      <w:pPr>
        <w:spacing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3.2.3 密钥管理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每个员工最多持有 3 个活跃密钥（防止分发给他人）。密钥由平台生成，格式为 ag-{env}-{32位随机hex}，员工无法获取真实服务商 Key。密钥支持以下属性配置：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有效期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密钥过期时间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永久（管理员可设置为 30/90/365 天）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 白名单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允许调用的来源 IP 列表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不限制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每日调用上限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单密钥每天最大调用次数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继承部门配置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允许模型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该密钥可调用哪些模型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继承部门配置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正常 / 已限速 / 已封禁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正常</w:t>
            </w:r>
          </w:p>
        </w:tc>
      </w:tr>
    </w:tbl>
    <w:p>
      <w:pPr>
        <w:spacing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3.2.4 预警与通知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700"/>
        <w:gridCol w:w="13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通知对象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通知内容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通知渠道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用量达到配额 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该层级管理员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已用 70%，预计 X 天后耗尽，点击申请扩容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邮件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用量达到配额 90%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该层级管理员 + 上级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紧急预警：配额即将耗尽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邮件 + 短信（Could）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用量达到配额 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管理员 + 员工（调用失败）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配额已耗尽，调用已被拦截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邮件 + 系统通知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套餐到期前 14 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套餐将于 X 天后到期，请及时续费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邮件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异常调用告警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分公司管理员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密钥 ag-xxx 出现异常：30 分钟内调用 1000 次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邮件</w:t>
            </w:r>
          </w:p>
        </w:tc>
      </w:tr>
    </w:tbl>
    <w:p>
      <w:pPr>
        <w:spacing w:before="1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非功能需求</w:t>
      </w:r>
    </w:p>
    <w:p>
      <w:pPr>
        <w:pBdr>
          <w:bottom w:val="single" w:color="DDDDDD" w:sz="4" w:space="1"/>
        </w:pBdr>
        <w:spacing w:after="120" w:before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性能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网关转发延迟增加（P99）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性能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系统可用性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99.9%（每月停机 &lt; 44 分钟）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性能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并发处理能力（MVP 阶段）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200 QPS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数据传输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全程 HTTPS/TLS 1.3，真实 API Key 只存网关，加密存储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密钥存储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AES-256 加密，任何日志中不出现明文 Key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权限隔离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各租户数据严格隔离，RBAC 权限模型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合规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日志保留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调用日志保留 180 天，支持导出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合规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数据本地化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支持私有化部署，数据不出企业内网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Compose（MVP）/ Kubernetes（旗舰版）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扩展性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多租户架构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从单租户平滑扩展到多租户 SaaS</w:t>
            </w:r>
          </w:p>
        </w:tc>
      </w:tr>
    </w:tbl>
    <w:p>
      <w:pPr>
        <w:spacing w:before="1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数据埋点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以下事件需在前端和网关层完成埋点，用于产品迭代和运营分析：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关键属性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key_created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员工创建专属密钥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org_id, key_type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key_revoked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管理员或员工吊销密钥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key_id, 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quota_warning_sent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预警通知发送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org_id, level, threshold（70/90/100）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quota_exhausted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某层级配额耗尽，调用被拦截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org_id, user_id,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anomaly_detected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异常调用被检测到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key_id, anomaly_type,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report_exported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用量报告导出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org_id, export_format, date_range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用户登录平台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role, login_method</w:t>
            </w:r>
          </w:p>
        </w:tc>
      </w:tr>
    </w:tbl>
    <w:p>
      <w:pPr>
        <w:spacing w:before="1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开源与商业化策略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版本规划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243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社区开源版（免费）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旗舰版（付费）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统一网关转发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单租户配额管理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基础用量统计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邮件预警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多级组织架构（集团/分公司）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SSO（企微/钉钉/LDAP）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短信预警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 白名单 / VPN 绑定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异常检测与自动处置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月度费用分摊报告（Excel）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私有化部署支持（K8s）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 保障 + 技术支持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开放管理 API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定价策略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套餐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目标客户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价格参考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核心价值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社区版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 人团队 / 开发者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免费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获取口碑与 GitHub Star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专业版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50-500 人企业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¥ 2,000 / 月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多级配额 + SSO + 报告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企业版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500-5000 人大型企业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¥ 8,000 / 月起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全功能 + SLA + 专属支持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集团私有化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5000+ 人集团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¥ 20万+ / 年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私有化部署 + 定制开发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路线图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0 - 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 Q3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网关核心 + 单层配额 + 密钥管理 + 邮件预警，内部自用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1 - 内部验证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 Q3末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员工门户上线，审计日志，费用报告，找 3 家友商免费试用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2 - 商业化启动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 Q4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多级组织 + SSO + 旗舰版功能，签约首批付费客户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3 - 规模化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2027 Q1-Q2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私有化部署包 + 开放 API + 集团版，参加 ISV 认证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4 - 开源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2027 Q2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社区版开源至 GitHub，建立社区生态</w:t>
            </w:r>
          </w:p>
        </w:tc>
      </w:tr>
    </w:tbl>
    <w:p>
      <w:pPr>
        <w:spacing w:before="1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风险与依赖</w:t>
      </w:r>
    </w:p>
    <w:p>
      <w:pPr>
        <w:pBdr>
          <w:bottom w:val="single" w:color="DDDDDD" w:sz="4" w:space="1"/>
        </w:pBdr>
        <w:spacing w:after="120" w:before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9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服务商修改 API 协议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网关需紧急适配，影响所有用户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按服务商维护适配层，版本锁定 + 自动化测试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单人开发，核心功能上线延期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商业化节点延迟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严守 MVP 边界，不提前做 Phase 2 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企业客户要求私有化部署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需要额外工程量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规划中，早期合同注明时间节点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竞品（如 LiteLLM）功能覆盖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差异化受压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聚焦中国企业合规场景 + 本土化（企微/钉钉 SSO）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价格大幅下降导致管控需求降低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产品价值受影响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审计合规需求与价格无关，继续核心定位</w:t>
            </w:r>
          </w:p>
        </w:tc>
      </w:tr>
    </w:tbl>
    <w:p>
      <w:pPr>
        <w:spacing w:before="1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附录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术语表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大模型计费单位，约等于 0.75 个英文单词或 1-2 个中文字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配额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平台为某组织/用户设置的 Token 使用上限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专属密钥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平台为员工生成的 API Key，用于调用 AI 服务，不暴露真实服务商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网关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 AI 请求的统一入口，负责鉴权、配额控制、转发、日志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租户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使用本平台的一个企业客户，各租户数据完全隔离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虚拟私有云，企业内网环境，密钥绑定 VPC 出口 IP 可防外泄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竞品对比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核心差异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LiteLLM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开源多模型代理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无企业级多租户，无中文 SSO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开源免费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可观测性平台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偏开发者工具，无组织层级管控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按请求量计费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TrueFoundry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企业 AI 网关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面向海外市场，无本土化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企业定制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AiGate（本产品）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企业 AI 管控 SaaS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聚焦中国企业合规 + 集团层级管控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见定价策略</w:t>
            </w:r>
          </w:p>
        </w:tc>
      </w:tr>
    </w:tbl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第 </w:t>
    </w:r>
    <w:fldSimple w:instr="[object Object]"/>
    <w:r>
      <w:rPr>
        <w:rFonts w:ascii="Arial" w:cs="Arial" w:eastAsia="Arial" w:hAnsi="Arial"/>
        <w:color w:val="555555"/>
        <w:sz w:val="18"/>
        <w:szCs w:val="18"/>
      </w:rPr>
      <w:t xml:space="preserve"> 页  |  机密文件，禁止外传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AiGate  |  企业 AI 管控平台</w:t>
    </w:r>
    <w:r>
      <w:rPr>
        <w:rFonts w:ascii="Arial" w:cs="Arial" w:eastAsia="Arial" w:hAnsi="Arial"/>
        <w:color w:val="555555"/>
        <w:sz w:val="18"/>
        <w:szCs w:val="18"/>
      </w:rPr>
      <w:t xml:space="preserve">    产品需求文档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2026-04-28T10:25:46.687Z</dcterms:created>
  <dcterms:modified xsi:type="dcterms:W3CDTF">2026-04-28T10:25:46.688Z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