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4F9B"/>
          <w:sz w:val="80"/>
          <w:szCs w:val="80"/>
        </w:rPr>
        <w:t xml:space="preserve">AiGate</w:t>
      </w:r>
    </w:p>
    <w:p>
      <w:pPr>
        <w:spacing w:after="100" w:before="0"/>
        <w:jc w:val="center"/>
      </w:pPr>
      <w:r>
        <w:rPr>
          <w:rFonts w:ascii="Arial" w:cs="Arial" w:eastAsia="Arial" w:hAnsi="Arial"/>
          <w:color w:val="2E75B6"/>
          <w:sz w:val="40"/>
          <w:szCs w:val="40"/>
        </w:rPr>
        <w:t xml:space="preserve">企业级 AI 全栈管控平台</w:t>
      </w:r>
    </w:p>
    <w:p>
      <w:pPr>
        <w:spacing w:after="80" w:before="100"/>
        <w:jc w:val="center"/>
      </w:pPr>
      <w:r>
        <w:rPr>
          <w:rFonts w:ascii="Arial" w:cs="Arial" w:eastAsia="Arial" w:hAnsi="Arial"/>
          <w:color w:val="666666"/>
          <w:sz w:val="30"/>
          <w:szCs w:val="30"/>
        </w:rPr>
        <w:t xml:space="preserve">产品需求文档（PRD）v2.0</w:t>
      </w:r>
    </w:p>
    <w:p>
      <w:pPr>
        <w:spacing w:after="60" w:before="0"/>
        <w:jc w:val="center"/>
      </w:pPr>
      <w:r>
        <w:rPr>
          <w:rFonts w:ascii="Arial" w:cs="Arial" w:eastAsia="Arial" w:hAnsi="Arial"/>
          <w:color w:val="666666"/>
          <w:sz w:val="22"/>
          <w:szCs w:val="22"/>
        </w:rPr>
        <w:t xml:space="preserve">2026年4月  |  内部机密</w:t>
      </w:r>
    </w:p>
    <w:p>
      <w:pPr>
        <w:spacing w:after="0" w:before="120"/>
      </w:pPr>
      <w:r>
        <w:t xml:space="preserve"/>
      </w:r>
    </w:p>
    <w:p>
      <w:pPr>
        <w:spacing w:after="60" w:before="0"/>
        <w:jc w:val="center"/>
      </w:pPr>
      <w:r>
        <w:rPr>
          <w:rFonts w:ascii="Arial" w:cs="Arial" w:eastAsia="Arial" w:hAnsi="Arial"/>
          <w:i/>
          <w:iCs/>
          <w:color w:val="2E75B6"/>
          <w:sz w:val="22"/>
          <w:szCs w:val="22"/>
        </w:rPr>
        <w:t xml:space="preserve">v2.0 新增：MCP 资产市场 · 企业知识库（RAG）· Agent 体系 · 预警体系完善</w:t>
      </w:r>
    </w:p>
    <w:p>
      <w:r>
        <w:br w:type="page"/>
      </w:r>
    </w:p>
    <w:p>
      <w:pPr>
        <w:pStyle w:val="Heading1"/>
        <w:spacing w:after="120" w:before="400"/>
      </w:pPr>
      <w:r>
        <w:rPr>
          <w:rFonts w:ascii="Arial" w:cs="Arial" w:eastAsia="Arial" w:hAnsi="Arial"/>
          <w:b/>
          <w:bCs/>
          <w:color w:val="1B4F9B"/>
          <w:sz w:val="36"/>
          <w:szCs w:val="36"/>
        </w:rPr>
        <w:t xml:space="preserve">1. 概述</w:t>
      </w:r>
    </w:p>
    <w:p>
      <w:pPr>
        <w:pStyle w:val="Heading2"/>
        <w:spacing w:after="80" w:before="280"/>
      </w:pPr>
      <w:r>
        <w:rPr>
          <w:rFonts w:ascii="Arial" w:cs="Arial" w:eastAsia="Arial" w:hAnsi="Arial"/>
          <w:b/>
          <w:bCs/>
          <w:color w:val="2E75B6"/>
          <w:sz w:val="28"/>
          <w:szCs w:val="28"/>
        </w:rPr>
        <w:t xml:space="preserve">1.1 产品背景</w:t>
      </w:r>
    </w:p>
    <w:p>
      <w:pPr>
        <w:spacing w:after="60" w:before="60"/>
      </w:pPr>
      <w:r>
        <w:rPr>
          <w:rFonts w:ascii="Arial" w:cs="Arial" w:eastAsia="Arial" w:hAnsi="Arial"/>
          <w:color w:val="2C2C2C"/>
          <w:sz w:val="22"/>
          <w:szCs w:val="22"/>
        </w:rPr>
        <w:t xml:space="preserve">2026年，企业 AI 使用已进入规模化落地阶段。麦肯锡调研显示超过 90% 的企业至少有一个部门常态化使用 AI，但不到三分之一实现了规模化部署。核心障碍不是模型能力，而是管控能力缺失。</w:t>
      </w:r>
    </w:p>
    <w:p>
      <w:pPr>
        <w:spacing w:after="60" w:before="60"/>
      </w:pPr>
      <w:r>
        <w:rPr>
          <w:rFonts w:ascii="Arial" w:cs="Arial" w:eastAsia="Arial" w:hAnsi="Arial"/>
          <w:color w:val="2C2C2C"/>
          <w:sz w:val="22"/>
          <w:szCs w:val="22"/>
        </w:rPr>
        <w:t xml:space="preserve">v1.0 聚焦"Token统一管控网关"，解决费用失控、密钥外泄、合规盲区三大问题。v2.0 在此基础上向上扩展，新增 MCP 资产市场、企业知识库（RAG）、Agent 体系，并完善预警通知机制，形成"管控 + 资产治理 + 知识沉淀 + 智能赋能"的完整产品形态。</w:t>
      </w:r>
    </w:p>
    <w:p>
      <w:pPr>
        <w:spacing w:after="0" w:before="60"/>
      </w:pPr>
      <w:r>
        <w:t xml:space="preserve"/>
      </w:r>
    </w:p>
    <w:p>
      <w:pPr>
        <w:pStyle w:val="Heading2"/>
        <w:spacing w:after="80" w:before="280"/>
      </w:pPr>
      <w:r>
        <w:rPr>
          <w:rFonts w:ascii="Arial" w:cs="Arial" w:eastAsia="Arial" w:hAnsi="Arial"/>
          <w:b/>
          <w:bCs/>
          <w:color w:val="2E75B6"/>
          <w:sz w:val="28"/>
          <w:szCs w:val="28"/>
        </w:rPr>
        <w:t xml:space="preserve">1.2 产品定位</w:t>
      </w:r>
    </w:p>
    <w:p>
      <w:pPr>
        <w:spacing w:after="60" w:before="60"/>
      </w:pPr>
      <w:r>
        <w:rPr>
          <w:rFonts w:ascii="Arial" w:cs="Arial" w:eastAsia="Arial" w:hAnsi="Arial"/>
          <w:color w:val="2C2C2C"/>
          <w:sz w:val="22"/>
          <w:szCs w:val="22"/>
        </w:rPr>
        <w:t xml:space="preserve">AiGate 是面向中大型企业（含集团型公司）的企业级 AI 全栈管控平台，通过统一 AI 网关代理所有模型调用，统一管理企业 MCP 工具资产，沉淀企业知识库并提供 RAG 语义检索，以及提供项目级和管理级 AI Agent，解决企业 AI 使用中费用失控、密钥外泄、合规缺失、知识外流、工具滥用五大核心问题。</w:t>
      </w:r>
    </w:p>
    <w:p>
      <w:pPr>
        <w:spacing w:after="60" w:before="60"/>
      </w:pPr>
      <w:r>
        <w:rPr>
          <w:rFonts w:ascii="Arial" w:cs="Arial" w:eastAsia="Arial" w:hAnsi="Arial"/>
          <w:color w:val="2C2C2C"/>
          <w:sz w:val="22"/>
          <w:szCs w:val="22"/>
        </w:rPr>
        <w:t xml:space="preserve">一句话定位：让企业 AI 调用可管、可控、可追溯，同时让每个项目团队拥有专属 AI 能力。</w:t>
      </w:r>
    </w:p>
    <w:p>
      <w:pPr>
        <w:spacing w:after="0" w:before="60"/>
      </w:pPr>
      <w:r>
        <w:t xml:space="preserve"/>
      </w:r>
    </w:p>
    <w:p>
      <w:pPr>
        <w:pStyle w:val="Heading2"/>
        <w:spacing w:after="80" w:before="280"/>
      </w:pPr>
      <w:r>
        <w:rPr>
          <w:rFonts w:ascii="Arial" w:cs="Arial" w:eastAsia="Arial" w:hAnsi="Arial"/>
          <w:b/>
          <w:bCs/>
          <w:color w:val="2E75B6"/>
          <w:sz w:val="28"/>
          <w:szCs w:val="28"/>
        </w:rPr>
        <w:t xml:space="preserve">1.3 目标用户</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560"/>
      </w:tblGrid>
      <w:tr>
        <w:trPr>
          <w:tblHeader/>
        </w:trPr>
        <w:tc>
          <w:tcPr>
            <w:tcW w:type="dxa" w:w="18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用户角色</w:t>
            </w:r>
          </w:p>
        </w:tc>
        <w:tc>
          <w:tcPr>
            <w:tcW w:type="dxa" w:w="3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典型场景</w:t>
            </w:r>
          </w:p>
        </w:tc>
        <w:tc>
          <w:tcPr>
            <w:tcW w:type="dxa" w:w="35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核心诉求</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集团 IT 管理员</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统一管理集团下所有分公司 AI 用量，管理 MCP 资产目录，设置全局配额和安全策略</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全局可见、一键管控、合规审计</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分公司管理员</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为本公司员工分配配额、查看部门用量报告、开通 MCP 工具权限</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自主管理、费用分摊、异常预警</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部门负责人</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查看下属员工 Token 用量，申请额度调整，跨项目知识库查询</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用量透明、成本归因、知识复用</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项目负责人</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创建项目知识库，上传项目文档，创建项目 Agent，配置团队成员访问权限</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知识沉淀、Agent 赋能、权限精控</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普通员工</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使用专属密钥调用 AI，查看自己的用量，使用项目 Agent 查询信息</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一键获取密钥、用量实时可见、问答便捷</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财务 / 审计</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按部门导出用量报告，用于成本核算和合规审计</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报告导出、数据准确、可溯源</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1.4 成功标准（OKR）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1760"/>
      </w:tblGrid>
      <w:tr>
        <w:trPr>
          <w:tblHeader/>
        </w:trPr>
        <w:tc>
          <w:tcPr>
            <w:tcW w:type="dxa" w:w="22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阶段</w:t>
            </w:r>
          </w:p>
        </w:tc>
        <w:tc>
          <w:tcPr>
            <w:tcW w:type="dxa" w:w="28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指标</w:t>
            </w:r>
          </w:p>
        </w:tc>
        <w:tc>
          <w:tcPr>
            <w:tcW w:type="dxa" w:w="20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目标值</w:t>
            </w:r>
          </w:p>
        </w:tc>
        <w:tc>
          <w:tcPr>
            <w:tcW w:type="dxa" w:w="17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时间节点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MVP 上线</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完成网关核心转发 + 配额管理 + 密钥管理 + 基础预警</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功能跑通，内部自用</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2026 Q3</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内部验证</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内部团队日均调用次数</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&gt; 500 次 / 天</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2026 Q3末</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首批商业化</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签约付费企业客户</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 家</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2026 Q4</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规模化</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平台管理 Token 月消耗量</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&gt; 10 亿 Token / 月</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2027 Q2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产品成熟</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企业客户 NPS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&gt; 45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2027 Q2</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开源社区</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GitHub Star</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&gt; 2,000</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2027 Q2</w:t>
            </w:r>
          </w:p>
        </w:tc>
      </w:tr>
    </w:tbl>
    <w:p>
      <w:r>
        <w:br w:type="page"/>
      </w:r>
    </w:p>
    <w:p>
      <w:pPr>
        <w:pStyle w:val="Heading1"/>
        <w:spacing w:after="120" w:before="400"/>
      </w:pPr>
      <w:r>
        <w:rPr>
          <w:rFonts w:ascii="Arial" w:cs="Arial" w:eastAsia="Arial" w:hAnsi="Arial"/>
          <w:b/>
          <w:bCs/>
          <w:color w:val="1B4F9B"/>
          <w:sz w:val="36"/>
          <w:szCs w:val="36"/>
        </w:rPr>
        <w:t xml:space="preserve">2. 用户与场景</w:t>
      </w:r>
    </w:p>
    <w:p>
      <w:pPr>
        <w:pStyle w:val="Heading2"/>
        <w:spacing w:after="80" w:before="280"/>
      </w:pPr>
      <w:r>
        <w:rPr>
          <w:rFonts w:ascii="Arial" w:cs="Arial" w:eastAsia="Arial" w:hAnsi="Arial"/>
          <w:b/>
          <w:bCs/>
          <w:color w:val="2E75B6"/>
          <w:sz w:val="28"/>
          <w:szCs w:val="28"/>
        </w:rPr>
        <w:t xml:space="preserve">2.1 核心用例</w:t>
      </w:r>
    </w:p>
    <w:p>
      <w:pPr>
        <w:pStyle w:val="Heading3"/>
        <w:spacing w:after="60" w:before="200"/>
      </w:pPr>
      <w:r>
        <w:rPr>
          <w:rFonts w:ascii="Arial" w:cs="Arial" w:eastAsia="Arial" w:hAnsi="Arial"/>
          <w:b/>
          <w:bCs/>
          <w:color w:val="2E75B6"/>
          <w:sz w:val="24"/>
          <w:szCs w:val="24"/>
        </w:rPr>
        <w:t xml:space="preserve">UC-01  员工申请并使用专属密钥</w:t>
      </w:r>
    </w:p>
    <w:p>
      <w:pPr>
        <w:spacing w:after="60" w:before="60"/>
      </w:pPr>
      <w:r>
        <w:rPr>
          <w:rFonts w:ascii="Arial" w:cs="Arial" w:eastAsia="Arial" w:hAnsi="Arial"/>
          <w:color w:val="2C2C2C"/>
          <w:sz w:val="22"/>
          <w:szCs w:val="22"/>
        </w:rPr>
        <w:t xml:space="preserve">员工登录员工端门户，在「我的密钥」页面一键生成专属 API Key。该密钥在网关侧绑定员工的 UID、所在部门配额，以及（可选的）允许 IP 白名单或 VPN 出口 IP。员工将此 Key 配置进自己的工具（如 Cursor、Cherry Studio、公司内部应用），所有调用经网关转发至真实 AI 服务商，网关透明代理，员工无需感知底层逻辑。</w:t>
      </w:r>
    </w:p>
    <w:p>
      <w:pPr>
        <w:pStyle w:val="Heading3"/>
        <w:spacing w:after="60" w:before="200"/>
      </w:pPr>
      <w:r>
        <w:rPr>
          <w:rFonts w:ascii="Arial" w:cs="Arial" w:eastAsia="Arial" w:hAnsi="Arial"/>
          <w:b/>
          <w:bCs/>
          <w:color w:val="2E75B6"/>
          <w:sz w:val="24"/>
          <w:szCs w:val="24"/>
        </w:rPr>
        <w:t xml:space="preserve">UC-02  管理员设置层级配额</w:t>
      </w:r>
    </w:p>
    <w:p>
      <w:pPr>
        <w:spacing w:after="60" w:before="60"/>
      </w:pPr>
      <w:r>
        <w:rPr>
          <w:rFonts w:ascii="Arial" w:cs="Arial" w:eastAsia="Arial" w:hAnsi="Arial"/>
          <w:color w:val="2C2C2C"/>
          <w:sz w:val="22"/>
          <w:szCs w:val="22"/>
        </w:rPr>
        <w:t xml:space="preserve">集团管理员在管理后台创建「配额池」并设置总量（如每月 5,000 万 Token）。分配给各分公司后，分公司管理员可将分到的配额进一步分配给各部门，部门负责人再分配给员工。任意层级用量达到阈值时，该层级管理员收到预警通知。配额遵循守恒原则：子级已分配之和不超过父级总量。</w:t>
      </w:r>
    </w:p>
    <w:p>
      <w:pPr>
        <w:pStyle w:val="Heading3"/>
        <w:spacing w:after="60" w:before="200"/>
      </w:pPr>
      <w:r>
        <w:rPr>
          <w:rFonts w:ascii="Arial" w:cs="Arial" w:eastAsia="Arial" w:hAnsi="Arial"/>
          <w:b/>
          <w:bCs/>
          <w:color w:val="2E75B6"/>
          <w:sz w:val="24"/>
          <w:szCs w:val="24"/>
        </w:rPr>
        <w:t xml:space="preserve">UC-03  项目负责人搭建项目知识库与 Agent</w:t>
      </w:r>
    </w:p>
    <w:p>
      <w:pPr>
        <w:spacing w:after="60" w:before="60"/>
      </w:pPr>
      <w:r>
        <w:rPr>
          <w:rFonts w:ascii="Arial" w:cs="Arial" w:eastAsia="Arial" w:hAnsi="Arial"/>
          <w:color w:val="2C2C2C"/>
          <w:sz w:val="22"/>
          <w:szCs w:val="22"/>
        </w:rPr>
        <w:t xml:space="preserve">项目负责人在 AiGate 创建项目知识库，上传项目文档（需求文档、技术方案、会议纪要、API 文档等），系统自动完成文档解析与向量化。随后在「Agent 中心」创建项目 Agent，绑定项目知识库，配置可调用的 MCP 工具（如 GitHub、飞书文档），设置 Agent 可访问的成员范围。项目成员通过 Agent 对话入口，用自然语言查询项目信息，Agent 回答时标注引用来源。</w:t>
      </w:r>
    </w:p>
    <w:p>
      <w:pPr>
        <w:pStyle w:val="Heading3"/>
        <w:spacing w:after="60" w:before="200"/>
      </w:pPr>
      <w:r>
        <w:rPr>
          <w:rFonts w:ascii="Arial" w:cs="Arial" w:eastAsia="Arial" w:hAnsi="Arial"/>
          <w:b/>
          <w:bCs/>
          <w:color w:val="2E75B6"/>
          <w:sz w:val="24"/>
          <w:szCs w:val="24"/>
        </w:rPr>
        <w:t xml:space="preserve">UC-04  管理员使用 AiGate Bot 快速查询运营数据</w:t>
      </w:r>
    </w:p>
    <w:p>
      <w:pPr>
        <w:spacing w:after="60" w:before="60"/>
      </w:pPr>
      <w:r>
        <w:rPr>
          <w:rFonts w:ascii="Arial" w:cs="Arial" w:eastAsia="Arial" w:hAnsi="Arial"/>
          <w:color w:val="2C2C2C"/>
          <w:sz w:val="22"/>
          <w:szCs w:val="22"/>
        </w:rPr>
        <w:t xml:space="preserve">管理员打开 AiGate Bot 对话框，用自然语言提问，如「上周用量最多的 3 个部门是哪些」「当前有多少个密钥处于异常状态」「本月预计什么时候配额用尽」。AiGate Bot 实时查询平台数据库，以自然语言 + 数据表格的形式回答，无需手动翻看报表。AiGate Bot 仅访问管理员权限范围内的数据，集团管理员可查全局，分公司管理员只能查本公司。</w:t>
      </w:r>
    </w:p>
    <w:p>
      <w:pPr>
        <w:pStyle w:val="Heading3"/>
        <w:spacing w:after="60" w:before="200"/>
      </w:pPr>
      <w:r>
        <w:rPr>
          <w:rFonts w:ascii="Arial" w:cs="Arial" w:eastAsia="Arial" w:hAnsi="Arial"/>
          <w:b/>
          <w:bCs/>
          <w:color w:val="2E75B6"/>
          <w:sz w:val="24"/>
          <w:szCs w:val="24"/>
        </w:rPr>
        <w:t xml:space="preserve">UC-05  异常检测与自动处置</w:t>
      </w:r>
    </w:p>
    <w:p>
      <w:pPr>
        <w:spacing w:after="60" w:before="60"/>
      </w:pPr>
      <w:r>
        <w:rPr>
          <w:rFonts w:ascii="Arial" w:cs="Arial" w:eastAsia="Arial" w:hAnsi="Arial"/>
          <w:color w:val="2C2C2C"/>
          <w:sz w:val="22"/>
          <w:szCs w:val="22"/>
        </w:rPr>
        <w:t xml:space="preserve">网关实时分析每个密钥的调用行为。若单密钥在 30 分钟内调用量超过正常值的 5 倍（如平时日均 200 次，突然 30 分钟内 200 次），系统触发异常告警。管理员可配置自动处置策略：警告、限速（降至正常上限的 20%）、临时封禁（需管理员手动解封）。密钥到期前 7 天和 1 天，系统分别发送提醒给员工及其直属管理员。员工离职时，HR 系统（或管理员手动）吊销密钥，立即生效。</w:t>
      </w:r>
    </w:p>
    <w:p>
      <w:pPr>
        <w:pStyle w:val="Heading3"/>
        <w:spacing w:after="60" w:before="200"/>
      </w:pPr>
      <w:r>
        <w:rPr>
          <w:rFonts w:ascii="Arial" w:cs="Arial" w:eastAsia="Arial" w:hAnsi="Arial"/>
          <w:b/>
          <w:bCs/>
          <w:color w:val="2E75B6"/>
          <w:sz w:val="24"/>
          <w:szCs w:val="24"/>
        </w:rPr>
        <w:t xml:space="preserve">UC-06  月度费用分摊报告</w:t>
      </w:r>
    </w:p>
    <w:p>
      <w:pPr>
        <w:spacing w:after="60" w:before="60"/>
      </w:pPr>
      <w:r>
        <w:rPr>
          <w:rFonts w:ascii="Arial" w:cs="Arial" w:eastAsia="Arial" w:hAnsi="Arial"/>
          <w:color w:val="2C2C2C"/>
          <w:sz w:val="22"/>
          <w:szCs w:val="22"/>
        </w:rPr>
        <w:t xml:space="preserve">每月 1 日，系统自动生成上月各部门 Token 用量报告，以 Excel 格式发送至财务邮箱和各部门负责人。报告维度：部门 / 员工 / 模型 / MCP 工具 / 日期，可下钻到单次调用。财务可据此向各部门分摊 AI 成本。</w:t>
      </w:r>
    </w:p>
    <w:p>
      <w:pPr>
        <w:spacing w:after="0" w:before="60"/>
      </w:pPr>
      <w:r>
        <w:t xml:space="preserve"/>
      </w:r>
    </w:p>
    <w:p>
      <w:pPr>
        <w:pStyle w:val="Heading1"/>
        <w:spacing w:after="120" w:before="400"/>
      </w:pPr>
      <w:r>
        <w:rPr>
          <w:rFonts w:ascii="Arial" w:cs="Arial" w:eastAsia="Arial" w:hAnsi="Arial"/>
          <w:b/>
          <w:bCs/>
          <w:color w:val="1B4F9B"/>
          <w:sz w:val="36"/>
          <w:szCs w:val="36"/>
        </w:rPr>
        <w:t xml:space="preserve">3. 功能需求</w:t>
      </w:r>
    </w:p>
    <w:p>
      <w:pPr>
        <w:pStyle w:val="Heading2"/>
        <w:spacing w:after="80" w:before="280"/>
      </w:pPr>
      <w:r>
        <w:rPr>
          <w:rFonts w:ascii="Arial" w:cs="Arial" w:eastAsia="Arial" w:hAnsi="Arial"/>
          <w:b/>
          <w:bCs/>
          <w:color w:val="2E75B6"/>
          <w:sz w:val="28"/>
          <w:szCs w:val="28"/>
        </w:rPr>
        <w:t xml:space="preserve">3.1 功能优先级（MoSCoW）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600"/>
        <w:gridCol w:w="3660"/>
      </w:tblGrid>
      <w:tr>
        <w:trPr>
          <w:tblHeader/>
        </w:trPr>
        <w:tc>
          <w:tcPr>
            <w:tcW w:type="dxa" w:w="9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优先级</w:t>
            </w:r>
          </w:p>
        </w:tc>
        <w:tc>
          <w:tcPr>
            <w:tcW w:type="dxa" w:w="1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功能模块</w:t>
            </w:r>
          </w:p>
        </w:tc>
        <w:tc>
          <w:tcPr>
            <w:tcW w:type="dxa" w:w="2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功能名称</w:t>
            </w:r>
          </w:p>
        </w:tc>
        <w:tc>
          <w:tcPr>
            <w:tcW w:type="dxa" w:w="36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说明</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统一网关</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OpenAI / Claude / 其他模型接入</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所有 AI 调用统一走平台网关，支持 OpenAI 兼容协议</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密钥管理</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员工专属密钥生成与吊销</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一键生成、吊销密钥，密钥绑定员工身份，支持有效期设置</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配额管理</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 配额设置与实时扣减</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支持集团→分公司→部门→员工四级配额，守恒分配</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预警通知</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多场景预警（配额/密钥到期/异常/MCP/知识库）</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配额70%/90%/100%、密钥到期前7天/1天、MCP异常、Agent异常等</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用量看板</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管理员实时用量看板</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按组织层级展示 Token 用量、费用、模型分布</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 资产市场</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 工具注册与公共市场</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企业内部 MCP 注册，外部精选 MCP 目录，项目/部门级权限分配</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企业知识库</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项目知识库创建与文档管理</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按项目维度创建知识库，上传文档，自动向量化，权限隔离</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Agent 体系</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AiGate Bot（管理 Agent）</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平台内置管理 Agent，自然语言查询运营数据</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员工门户</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员工用量自助查询</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员工查自己的实时用量、历史记录、密钥状态</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防滥用检测</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异常行为识别与告警</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基于调用频率、IP、时段的异常检测，支持自动限速/封禁</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密钥安全</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IP 白名单 / VPN 绑定</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密钥限制只能从特定 IP 或 VPN 出口调用</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审计日志</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全量调用日志记录</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每次 AI 调用 + MCP 调用的完整日志，支持多维度过滤导出</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费用报告</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月度用量报告自动生成</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自动生成 Excel 报告，支持按部门/员工/模型/工具维度下钻</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知识库 RAG</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语义检索与 Agent 绑定</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向量检索，支持中英文，回答标注引用来源，与项目 Agent 深度绑定</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体系</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项目级 Agent 创建与管理</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项目负责人创建对话 Agent，绑定知识库 + MCP 权限</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 管理</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 调用计量与健康监控</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 Token 消耗计入配额，工具可用性实时监控，连续失败自动告警</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SSO 集成</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企业微信 / 钉钉 / LDAP 登录</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对接企业现有身份系统，无需单独注册账号</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Could</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短信预警</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短信超限预警</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在邮件基础上增加短信通知渠道（旗舰版）</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套餐管理</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 套餐购买与续费</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管理员购买 Token 套餐，到期前自动提醒续费</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Could</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开放 API</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平台管理 REST API</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提供 REST API 供企业 IT 系统集成，含 Webhook 支持</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管理</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版本管理与回滚</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内部 MCP 工具支持版本发布与回滚，保障服务稳定性</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Could</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知识库</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跨知识库联合搜索</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部门负责人可跨本部门多个项目知识库联合语义搜索</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体系</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部门级 Agent（规划中）</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部门负责人创建跨项目 Agent，可访问本部门所有授权知识库</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Won't</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模型微调</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私有模型训练 / 微调</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超出核心场景，不在当前版本规划</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编排</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工作流编排</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与本产品定位不符，不做</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3.2 各模块详细说明</w:t>
      </w:r>
    </w:p>
    <w:p>
      <w:pPr>
        <w:pStyle w:val="Heading3"/>
        <w:spacing w:after="60" w:before="200"/>
      </w:pPr>
      <w:r>
        <w:rPr>
          <w:rFonts w:ascii="Arial" w:cs="Arial" w:eastAsia="Arial" w:hAnsi="Arial"/>
          <w:b/>
          <w:bCs/>
          <w:color w:val="2E75B6"/>
          <w:sz w:val="24"/>
          <w:szCs w:val="24"/>
        </w:rPr>
        <w:t xml:space="preserve">3.2.1 统一 AI 网关</w:t>
      </w:r>
    </w:p>
    <w:p>
      <w:pPr>
        <w:spacing w:after="60" w:before="60"/>
      </w:pPr>
      <w:r>
        <w:rPr>
          <w:rFonts w:ascii="Arial" w:cs="Arial" w:eastAsia="Arial" w:hAnsi="Arial"/>
          <w:color w:val="2C2C2C"/>
          <w:sz w:val="22"/>
          <w:szCs w:val="22"/>
        </w:rPr>
        <w:t xml:space="preserve">网关是整个平台的核心基础设施，技术上采用 OpenAI 兼容接口标准，所有接入模型对外暴露统一的 API 格式，员工无需改变调用方式。网关在每次请求中完成完整的处理链路：</w:t>
      </w:r>
    </w:p>
    <w:p>
      <w:pPr>
        <w:pStyle w:val="ListParagraph"/>
        <w:numPr>
          <w:ilvl w:val="0"/>
          <w:numId w:val="2"/>
        </w:numPr>
        <w:spacing w:after="40" w:before="40"/>
      </w:pPr>
      <w:r>
        <w:rPr>
          <w:rFonts w:ascii="Arial" w:cs="Arial" w:eastAsia="Arial" w:hAnsi="Arial"/>
          <w:color w:val="2C2C2C"/>
          <w:sz w:val="22"/>
          <w:szCs w:val="22"/>
        </w:rPr>
        <w:t xml:space="preserve">身份验证：解析请求头中的 ag-xxx Key，查询绑定的员工 UID 和部门</w:t>
      </w:r>
    </w:p>
    <w:p>
      <w:pPr>
        <w:pStyle w:val="ListParagraph"/>
        <w:numPr>
          <w:ilvl w:val="0"/>
          <w:numId w:val="2"/>
        </w:numPr>
        <w:spacing w:after="40" w:before="40"/>
      </w:pPr>
      <w:r>
        <w:rPr>
          <w:rFonts w:ascii="Arial" w:cs="Arial" w:eastAsia="Arial" w:hAnsi="Arial"/>
          <w:color w:val="2C2C2C"/>
          <w:sz w:val="22"/>
          <w:szCs w:val="22"/>
        </w:rPr>
        <w:t xml:space="preserve">配额检查：校验员工 → 部门 → 分公司 → 集团四级配额是否充足，任一层超限即拦截</w:t>
      </w:r>
    </w:p>
    <w:p>
      <w:pPr>
        <w:pStyle w:val="ListParagraph"/>
        <w:numPr>
          <w:ilvl w:val="0"/>
          <w:numId w:val="2"/>
        </w:numPr>
        <w:spacing w:after="40" w:before="40"/>
      </w:pPr>
      <w:r>
        <w:rPr>
          <w:rFonts w:ascii="Arial" w:cs="Arial" w:eastAsia="Arial" w:hAnsi="Arial"/>
          <w:color w:val="2C2C2C"/>
          <w:sz w:val="22"/>
          <w:szCs w:val="22"/>
        </w:rPr>
        <w:t xml:space="preserve">安全校验：验证来源 IP 是否在白名单内（如已配置）</w:t>
      </w:r>
    </w:p>
    <w:p>
      <w:pPr>
        <w:pStyle w:val="ListParagraph"/>
        <w:numPr>
          <w:ilvl w:val="0"/>
          <w:numId w:val="2"/>
        </w:numPr>
        <w:spacing w:after="40" w:before="40"/>
      </w:pPr>
      <w:r>
        <w:rPr>
          <w:rFonts w:ascii="Arial" w:cs="Arial" w:eastAsia="Arial" w:hAnsi="Arial"/>
          <w:color w:val="2C2C2C"/>
          <w:sz w:val="22"/>
          <w:szCs w:val="22"/>
        </w:rPr>
        <w:t xml:space="preserve">MCP 权限校验：如请求中包含 MCP 工具调用，验证该员工/项目是否有对应工具权限</w:t>
      </w:r>
    </w:p>
    <w:p>
      <w:pPr>
        <w:pStyle w:val="ListParagraph"/>
        <w:numPr>
          <w:ilvl w:val="0"/>
          <w:numId w:val="2"/>
        </w:numPr>
        <w:spacing w:after="40" w:before="40"/>
      </w:pPr>
      <w:r>
        <w:rPr>
          <w:rFonts w:ascii="Arial" w:cs="Arial" w:eastAsia="Arial" w:hAnsi="Arial"/>
          <w:color w:val="2C2C2C"/>
          <w:sz w:val="22"/>
          <w:szCs w:val="22"/>
        </w:rPr>
        <w:t xml:space="preserve">请求转发：将请求转发至真实服务商，对员工透明</w:t>
      </w:r>
    </w:p>
    <w:p>
      <w:pPr>
        <w:pStyle w:val="ListParagraph"/>
        <w:numPr>
          <w:ilvl w:val="0"/>
          <w:numId w:val="2"/>
        </w:numPr>
        <w:spacing w:after="40" w:before="40"/>
      </w:pPr>
      <w:r>
        <w:rPr>
          <w:rFonts w:ascii="Arial" w:cs="Arial" w:eastAsia="Arial" w:hAnsi="Arial"/>
          <w:color w:val="2C2C2C"/>
          <w:sz w:val="22"/>
          <w:szCs w:val="22"/>
        </w:rPr>
        <w:t xml:space="preserve">响应回传：将服务商响应原样返回给调用方</w:t>
      </w:r>
    </w:p>
    <w:p>
      <w:pPr>
        <w:pStyle w:val="ListParagraph"/>
        <w:numPr>
          <w:ilvl w:val="0"/>
          <w:numId w:val="2"/>
        </w:numPr>
        <w:spacing w:after="40" w:before="40"/>
      </w:pPr>
      <w:r>
        <w:rPr>
          <w:rFonts w:ascii="Arial" w:cs="Arial" w:eastAsia="Arial" w:hAnsi="Arial"/>
          <w:color w:val="2C2C2C"/>
          <w:sz w:val="22"/>
          <w:szCs w:val="22"/>
        </w:rPr>
        <w:t xml:space="preserve">用量记录：异步写入数据库，包含 Token 数量、模型、调用时间、来源 IP 等完整信息</w:t>
      </w:r>
    </w:p>
    <w:p>
      <w:pPr>
        <w:spacing w:after="60" w:before="60"/>
      </w:pPr>
      <w:r>
        <w:rPr>
          <w:rFonts w:ascii="Arial" w:cs="Arial" w:eastAsia="Arial" w:hAnsi="Arial"/>
          <w:color w:val="2C2C2C"/>
          <w:sz w:val="22"/>
          <w:szCs w:val="22"/>
        </w:rPr>
        <w:t xml:space="preserve">整条链路 P99 延迟增加目标 &lt; 50ms。</w:t>
      </w:r>
    </w:p>
    <w:p>
      <w:pPr>
        <w:spacing w:after="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260"/>
      </w:tblGrid>
      <w:tr>
        <w:trPr>
          <w:tblHeader/>
        </w:trPr>
        <w:tc>
          <w:tcPr>
            <w:tcW w:type="dxa" w:w="30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接入模型</w:t>
            </w:r>
          </w:p>
        </w:tc>
        <w:tc>
          <w:tcPr>
            <w:tcW w:type="dxa" w:w="35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协议</w:t>
            </w:r>
          </w:p>
        </w:tc>
        <w:tc>
          <w:tcPr>
            <w:tcW w:type="dxa" w:w="22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优先级</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OpenAI (GPT-4o / GPT-4.1)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OpenAI Native API</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Anthropic Claude (Sonnet 4 / Opus 4)</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Anthropic API → OpenAI 兼容转换层</w:t>
            </w:r>
          </w:p>
        </w:tc>
        <w:tc>
          <w:tcPr>
            <w:tcW w:type="dxa" w:w="2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Gemini (1.5 Pro / Flash)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Vertex AI API</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P1</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DeepSeek / 国产大模型</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OpenAI 兼容</w:t>
            </w:r>
          </w:p>
        </w:tc>
        <w:tc>
          <w:tcPr>
            <w:tcW w:type="dxa" w:w="2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P1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企业私有化部署模型（Ollama / vLLM）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OpenAI 兼容</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P2</w:t>
            </w:r>
          </w:p>
        </w:tc>
      </w:tr>
    </w:tbl>
    <w:p>
      <w:pPr>
        <w:spacing w:after="0" w:before="60"/>
      </w:pPr>
      <w:r>
        <w:t xml:space="preserve"/>
      </w:r>
    </w:p>
    <w:p>
      <w:pPr>
        <w:pStyle w:val="Heading3"/>
        <w:spacing w:after="60" w:before="200"/>
      </w:pPr>
      <w:r>
        <w:rPr>
          <w:rFonts w:ascii="Arial" w:cs="Arial" w:eastAsia="Arial" w:hAnsi="Arial"/>
          <w:b/>
          <w:bCs/>
          <w:color w:val="2E75B6"/>
          <w:sz w:val="24"/>
          <w:szCs w:val="24"/>
        </w:rPr>
        <w:t xml:space="preserve">3.2.2 组织与配额管理</w:t>
      </w:r>
    </w:p>
    <w:p>
      <w:pPr>
        <w:spacing w:after="60" w:before="60"/>
      </w:pPr>
      <w:r>
        <w:rPr>
          <w:rFonts w:ascii="Arial" w:cs="Arial" w:eastAsia="Arial" w:hAnsi="Arial"/>
          <w:color w:val="2C2C2C"/>
          <w:sz w:val="22"/>
          <w:szCs w:val="22"/>
        </w:rPr>
        <w:t xml:space="preserve">支持四级组织结构：集团 → 分公司 → 部门 → 员工（或项目）。各级管理员只能看到和管理自己权限范围内的数据。</w:t>
      </w:r>
    </w:p>
    <w:p>
      <w:pPr>
        <w:spacing w:after="60" w:before="60"/>
      </w:pPr>
      <w:r>
        <w:rPr>
          <w:rFonts w:ascii="Arial" w:cs="Arial" w:eastAsia="Arial" w:hAnsi="Arial"/>
          <w:color w:val="2C2C2C"/>
          <w:sz w:val="22"/>
          <w:szCs w:val="22"/>
        </w:rPr>
        <w:t xml:space="preserve">配额设置支持两种维度：Token 数量（适合精细管控）和费用金额（适合财务核算）。配额分配遵循守恒原则：父节点已分配配额之和不超过父节点总配额。</w:t>
      </w:r>
    </w:p>
    <w:p>
      <w:pPr>
        <w:pStyle w:val="ListParagraph"/>
        <w:numPr>
          <w:ilvl w:val="0"/>
          <w:numId w:val="2"/>
        </w:numPr>
        <w:spacing w:after="40" w:before="40"/>
      </w:pPr>
      <w:r>
        <w:rPr>
          <w:rFonts w:ascii="Arial" w:cs="Arial" w:eastAsia="Arial" w:hAnsi="Arial"/>
          <w:color w:val="2C2C2C"/>
          <w:sz w:val="22"/>
          <w:szCs w:val="22"/>
        </w:rPr>
        <w:t xml:space="preserve">集团管理员：可设置全局总配额，向下分配给各分公司</w:t>
      </w:r>
    </w:p>
    <w:p>
      <w:pPr>
        <w:pStyle w:val="ListParagraph"/>
        <w:numPr>
          <w:ilvl w:val="0"/>
          <w:numId w:val="2"/>
        </w:numPr>
        <w:spacing w:after="40" w:before="40"/>
      </w:pPr>
      <w:r>
        <w:rPr>
          <w:rFonts w:ascii="Arial" w:cs="Arial" w:eastAsia="Arial" w:hAnsi="Arial"/>
          <w:color w:val="2C2C2C"/>
          <w:sz w:val="22"/>
          <w:szCs w:val="22"/>
        </w:rPr>
        <w:t xml:space="preserve">分公司管理员：在分配到的配额内，向各部门分配</w:t>
      </w:r>
    </w:p>
    <w:p>
      <w:pPr>
        <w:pStyle w:val="ListParagraph"/>
        <w:numPr>
          <w:ilvl w:val="0"/>
          <w:numId w:val="2"/>
        </w:numPr>
        <w:spacing w:after="40" w:before="40"/>
      </w:pPr>
      <w:r>
        <w:rPr>
          <w:rFonts w:ascii="Arial" w:cs="Arial" w:eastAsia="Arial" w:hAnsi="Arial"/>
          <w:color w:val="2C2C2C"/>
          <w:sz w:val="22"/>
          <w:szCs w:val="22"/>
        </w:rPr>
        <w:t xml:space="preserve">部门负责人：在部门配额内，向员工分配（可设置单人上限）</w:t>
      </w:r>
    </w:p>
    <w:p>
      <w:pPr>
        <w:pStyle w:val="ListParagraph"/>
        <w:numPr>
          <w:ilvl w:val="0"/>
          <w:numId w:val="2"/>
        </w:numPr>
        <w:spacing w:after="40" w:before="40"/>
      </w:pPr>
      <w:r>
        <w:rPr>
          <w:rFonts w:ascii="Arial" w:cs="Arial" w:eastAsia="Arial" w:hAnsi="Arial"/>
          <w:color w:val="2C2C2C"/>
          <w:sz w:val="22"/>
          <w:szCs w:val="22"/>
        </w:rPr>
        <w:t xml:space="preserve">配额周期支持：月度（默认）、季度、年度，周期结束后自动重置并归零</w:t>
      </w:r>
    </w:p>
    <w:p>
      <w:pPr>
        <w:pStyle w:val="ListParagraph"/>
        <w:numPr>
          <w:ilvl w:val="0"/>
          <w:numId w:val="2"/>
        </w:numPr>
        <w:spacing w:after="40" w:before="40"/>
      </w:pPr>
      <w:r>
        <w:rPr>
          <w:rFonts w:ascii="Arial" w:cs="Arial" w:eastAsia="Arial" w:hAnsi="Arial"/>
          <w:color w:val="2C2C2C"/>
          <w:sz w:val="22"/>
          <w:szCs w:val="22"/>
        </w:rPr>
        <w:t xml:space="preserve">超额申请流程：员工/部门可在平台发起配额扩容申请，上级管理员在线审批</w:t>
      </w:r>
    </w:p>
    <w:p>
      <w:pPr>
        <w:spacing w:after="0" w:before="60"/>
      </w:pPr>
      <w:r>
        <w:t xml:space="preserve"/>
      </w:r>
    </w:p>
    <w:p>
      <w:pPr>
        <w:pStyle w:val="Heading3"/>
        <w:spacing w:after="60" w:before="200"/>
      </w:pPr>
      <w:r>
        <w:rPr>
          <w:rFonts w:ascii="Arial" w:cs="Arial" w:eastAsia="Arial" w:hAnsi="Arial"/>
          <w:b/>
          <w:bCs/>
          <w:color w:val="2E75B6"/>
          <w:sz w:val="24"/>
          <w:szCs w:val="24"/>
        </w:rPr>
        <w:t xml:space="preserve">3.2.3 密钥管理</w:t>
      </w:r>
    </w:p>
    <w:p>
      <w:pPr>
        <w:spacing w:after="60" w:before="60"/>
      </w:pPr>
      <w:r>
        <w:rPr>
          <w:rFonts w:ascii="Arial" w:cs="Arial" w:eastAsia="Arial" w:hAnsi="Arial"/>
          <w:color w:val="2C2C2C"/>
          <w:sz w:val="22"/>
          <w:szCs w:val="22"/>
        </w:rPr>
        <w:t xml:space="preserve">每个员工最多持有 3 个活跃密钥（防止分发给他人）。密钥由平台生成，格式为 ag-{env}-{32位随机hex}，员工无法获取真实服务商 Key。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960"/>
      </w:tblGrid>
      <w:tr>
        <w:trPr>
          <w:tblHeader/>
        </w:trPr>
        <w:tc>
          <w:tcPr>
            <w:tcW w:type="dxa" w:w="1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属性</w:t>
            </w:r>
          </w:p>
        </w:tc>
        <w:tc>
          <w:tcPr>
            <w:tcW w:type="dxa" w:w="42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说明</w:t>
            </w:r>
          </w:p>
        </w:tc>
        <w:tc>
          <w:tcPr>
            <w:tcW w:type="dxa" w:w="29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默认值</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有效期</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密钥过期时间；到期前 7 天和 1 天自动发送通知邮件给员工及其直属管理员</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永久（管理员可设置为 30 / 90 / 365 天）</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IP 白名单</w:t>
            </w:r>
          </w:p>
        </w:tc>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允许调用的来源 IP 列表，支持 CIDR 格式</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不限制</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每日调用上限</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单密钥每天最大调用次数，超限后当日不可再调用</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继承部门配置</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允许模型</w:t>
            </w:r>
          </w:p>
        </w:tc>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该密钥可调用哪些模型，支持多选</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继承部门配置</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状态</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正常 / 已限速 / 已封禁 / 已过期</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正常</w:t>
            </w:r>
          </w:p>
        </w:tc>
      </w:tr>
    </w:tbl>
    <w:p>
      <w:pPr>
        <w:spacing w:after="0" w:before="60"/>
      </w:pPr>
      <w:r>
        <w:t xml:space="preserve"/>
      </w:r>
    </w:p>
    <w:p>
      <w:pPr>
        <w:pStyle w:val="Heading3"/>
        <w:spacing w:after="60" w:before="200"/>
      </w:pPr>
      <w:r>
        <w:rPr>
          <w:rFonts w:ascii="Arial" w:cs="Arial" w:eastAsia="Arial" w:hAnsi="Arial"/>
          <w:b/>
          <w:bCs/>
          <w:color w:val="2E75B6"/>
          <w:sz w:val="24"/>
          <w:szCs w:val="24"/>
        </w:rPr>
        <w:t xml:space="preserve">3.2.4 MCP 资产市场</w:t>
      </w:r>
    </w:p>
    <w:p>
      <w:pPr>
        <w:spacing w:after="60" w:before="60"/>
      </w:pPr>
      <w:r>
        <w:rPr>
          <w:rFonts w:ascii="Arial" w:cs="Arial" w:eastAsia="Arial" w:hAnsi="Arial"/>
          <w:color w:val="2C2C2C"/>
          <w:sz w:val="22"/>
          <w:szCs w:val="22"/>
        </w:rPr>
        <w:t xml:space="preserve">MCP 资产市场是企业 AI 工具资产的统一管理中心，分为两类：</w:t>
      </w:r>
    </w:p>
    <w:p>
      <w:pPr>
        <w:pStyle w:val="ListParagraph"/>
        <w:numPr>
          <w:ilvl w:val="0"/>
          <w:numId w:val="2"/>
        </w:numPr>
        <w:spacing w:after="40" w:before="40"/>
      </w:pPr>
      <w:r>
        <w:rPr>
          <w:rFonts w:ascii="Arial" w:cs="Arial" w:eastAsia="Arial" w:hAnsi="Arial"/>
          <w:color w:val="2C2C2C"/>
          <w:sz w:val="22"/>
          <w:szCs w:val="22"/>
        </w:rPr>
        <w:t xml:space="preserve">公共市场：平台官方维护的外部优质 MCP 工具目录（如飞书、GitHub、钉钉、Jira 等），企业管理员按需一键开通，开通后可按项目/部门授权给具体成员使用</w:t>
      </w:r>
    </w:p>
    <w:p>
      <w:pPr>
        <w:pStyle w:val="ListParagraph"/>
        <w:numPr>
          <w:ilvl w:val="0"/>
          <w:numId w:val="2"/>
        </w:numPr>
        <w:spacing w:after="40" w:before="40"/>
      </w:pPr>
      <w:r>
        <w:rPr>
          <w:rFonts w:ascii="Arial" w:cs="Arial" w:eastAsia="Arial" w:hAnsi="Arial"/>
          <w:color w:val="2C2C2C"/>
          <w:sz w:val="22"/>
          <w:szCs w:val="22"/>
        </w:rPr>
        <w:t xml:space="preserve">企业私有工具库：企业 IT 管理员注册的内部自研 MCP 工具（如对接公司 ERP、CRM、代码搜索、文档检索等），仅本企业可见和使用</w:t>
      </w:r>
    </w:p>
    <w:p>
      <w:pPr>
        <w:spacing w:after="60" w:before="60"/>
      </w:pPr>
      <w:r>
        <w:rPr>
          <w:rFonts w:ascii="Arial" w:cs="Arial" w:eastAsia="Arial" w:hAnsi="Arial"/>
          <w:color w:val="2C2C2C"/>
          <w:sz w:val="22"/>
          <w:szCs w:val="22"/>
        </w:rPr>
        <w:t xml:space="preserve">所有 MCP 调用经 AiGate 网关转发，Token 消耗计入调用方的配额，调用记录纳入完整审计日志。企业内部 MCP 工具的真实服务 URL 由网关代持，员工无法直接访问。</w:t>
      </w:r>
    </w:p>
    <w:p>
      <w:pPr>
        <w:spacing w:after="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800"/>
        <w:gridCol w:w="3360"/>
      </w:tblGrid>
      <w:tr>
        <w:trPr>
          <w:tblHeader/>
        </w:trPr>
        <w:tc>
          <w:tcPr>
            <w:tcW w:type="dxa" w:w="12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功能</w:t>
            </w:r>
          </w:p>
        </w:tc>
        <w:tc>
          <w:tcPr>
            <w:tcW w:type="dxa" w:w="3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描述</w:t>
            </w:r>
          </w:p>
        </w:tc>
        <w:tc>
          <w:tcPr>
            <w:tcW w:type="dxa" w:w="8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优先级</w:t>
            </w:r>
          </w:p>
        </w:tc>
        <w:tc>
          <w:tcPr>
            <w:tcW w:type="dxa" w:w="33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验收标准</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注册</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管理员填写工具名称、服务 URL、认证方式（Bearer / OAuth2 / API Key）、描述、工具分类，完成内部工具注册</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注册后出现在私有工具库，管理员可点击「测试连通性」验证</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公共市场浏览</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展示平台精选外部 MCP 目录，含工具描述、调用成本估算、已开通/未开通状态</w:t>
            </w:r>
          </w:p>
        </w:tc>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管理员可浏览目录，一键申请开通，开通后自动加入企业私有工具库</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权限控制</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管理员可将 MCP 工具授权给特定项目/部门/成员，未授权方在 Agent 中无法调用该工具</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权限变更实时生效（&lt; 30s），未授权调用返回 403 错误</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 调用计量</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每次 MCP 工具调用产生的 Token 消耗计入调用方（员工/Agent）配额，支持按工具维度查看用量统计</w:t>
            </w:r>
          </w:p>
        </w:tc>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用量统计与网关调用日志一致，统计延迟 &lt; 5 分钟</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健康监控</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定时检测已注册内部 MCP 工具的可用性（GET /health 或自定义检测端点），连续失败 3 次触发告警</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检测间隔可配置（默认 5 分钟），告警发送至 IT 管理员邮箱</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 版本管理</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内部 MCP 工具支持版本号发布与回滚，切换版本时记录操作日志</w:t>
            </w:r>
          </w:p>
        </w:tc>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Could</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版本切换不影响正在进行中的调用，回滚操作在 30s 内生效</w:t>
            </w:r>
          </w:p>
        </w:tc>
      </w:tr>
    </w:tbl>
    <w:p>
      <w:pPr>
        <w:spacing w:after="0" w:before="60"/>
      </w:pPr>
      <w:r>
        <w:t xml:space="preserve"/>
      </w:r>
    </w:p>
    <w:p>
      <w:pPr>
        <w:spacing w:after="60" w:before="60"/>
      </w:pPr>
      <w:r>
        <w:rPr>
          <w:rFonts w:ascii="Arial" w:cs="Arial" w:eastAsia="Arial" w:hAnsi="Arial"/>
          <w:b/>
          <w:bCs/>
          <w:color w:val="2C2C2C"/>
          <w:sz w:val="22"/>
          <w:szCs w:val="22"/>
        </w:rPr>
        <w:t xml:space="preserve">MCP 权限矩阵（谁可以做什么）：</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280"/>
        <w:gridCol w:w="1280"/>
        <w:gridCol w:w="1280"/>
        <w:gridCol w:w="1280"/>
        <w:gridCol w:w="1240"/>
      </w:tblGrid>
      <w:tr>
        <w:trPr>
          <w:tblHeader/>
        </w:trPr>
        <w:tc>
          <w:tcPr>
            <w:tcW w:type="dxa" w:w="2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操作</w:t>
            </w:r>
          </w:p>
        </w:tc>
        <w:tc>
          <w:tcPr>
            <w:tcW w:type="dxa" w:w="128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集团 IT 管理员</w:t>
            </w:r>
          </w:p>
        </w:tc>
        <w:tc>
          <w:tcPr>
            <w:tcW w:type="dxa" w:w="128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分公司管理员</w:t>
            </w:r>
          </w:p>
        </w:tc>
        <w:tc>
          <w:tcPr>
            <w:tcW w:type="dxa" w:w="128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部门负责人</w:t>
            </w:r>
          </w:p>
        </w:tc>
        <w:tc>
          <w:tcPr>
            <w:tcW w:type="dxa" w:w="128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项目负责人</w:t>
            </w:r>
          </w:p>
        </w:tc>
        <w:tc>
          <w:tcPr>
            <w:tcW w:type="dxa" w:w="124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普通员工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注册内部 MCP 工具</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✅（本公司）</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开通公共市场 MCP</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✅（本公司）</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授权 MCP 给部门/项目</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✅（本公司）</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✅（本部门）</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在 Agent 中调用 MCP</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✅（已授权）</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✅（已授权）</w:t>
            </w:r>
          </w:p>
        </w:tc>
        <w:tc>
          <w:tcPr>
            <w:tcW w:type="dxa" w:w="1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✅（已授权）</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查看 MCP 调用统计</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✅（全局）</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✅（本公司）</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✅（本部门）</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✅（本项目）</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✅（仅自己）</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下线/删除 MCP 工具</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✅（本公司自建）</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bl>
    <w:p>
      <w:pPr>
        <w:spacing w:after="0" w:before="60"/>
      </w:pPr>
      <w:r>
        <w:t xml:space="preserve"/>
      </w:r>
    </w:p>
    <w:p>
      <w:pPr>
        <w:pStyle w:val="Heading3"/>
        <w:spacing w:after="60" w:before="200"/>
      </w:pPr>
      <w:r>
        <w:rPr>
          <w:rFonts w:ascii="Arial" w:cs="Arial" w:eastAsia="Arial" w:hAnsi="Arial"/>
          <w:b/>
          <w:bCs/>
          <w:color w:val="2E75B6"/>
          <w:sz w:val="24"/>
          <w:szCs w:val="24"/>
        </w:rPr>
        <w:t xml:space="preserve">3.2.5 企业知识库（RAG）</w:t>
      </w:r>
    </w:p>
    <w:p>
      <w:pPr>
        <w:spacing w:after="60" w:before="60"/>
      </w:pPr>
      <w:r>
        <w:rPr>
          <w:rFonts w:ascii="Arial" w:cs="Arial" w:eastAsia="Arial" w:hAnsi="Arial"/>
          <w:color w:val="2C2C2C"/>
          <w:sz w:val="22"/>
          <w:szCs w:val="22"/>
        </w:rPr>
        <w:t xml:space="preserve">企业知识库是项目知识资产的沉淀载体，采用向量数据库（支持 Milvus / Qdrant，可私有化替换）存储文档向量，支持中英文混合语义检索。知识库按项目维度隔离，权限体系与组织架构对齐。</w:t>
      </w:r>
    </w:p>
    <w:p>
      <w:pPr>
        <w:spacing w:after="60" w:before="60"/>
      </w:pPr>
      <w:r>
        <w:rPr>
          <w:rFonts w:ascii="Arial" w:cs="Arial" w:eastAsia="Arial" w:hAnsi="Arial"/>
          <w:color w:val="2C2C2C"/>
          <w:sz w:val="22"/>
          <w:szCs w:val="22"/>
        </w:rPr>
        <w:t xml:space="preserve">技术实现方案：</w:t>
      </w:r>
    </w:p>
    <w:p>
      <w:pPr>
        <w:pStyle w:val="ListParagraph"/>
        <w:numPr>
          <w:ilvl w:val="0"/>
          <w:numId w:val="2"/>
        </w:numPr>
        <w:spacing w:after="40" w:before="40"/>
      </w:pPr>
      <w:r>
        <w:rPr>
          <w:rFonts w:ascii="Arial" w:cs="Arial" w:eastAsia="Arial" w:hAnsi="Arial"/>
          <w:color w:val="2C2C2C"/>
          <w:sz w:val="22"/>
          <w:szCs w:val="22"/>
        </w:rPr>
        <w:t xml:space="preserve">文档解析：PDF 使用 PyMuPDF，DOCX 使用 python-docx，其余格式使用相应解析库</w:t>
      </w:r>
    </w:p>
    <w:p>
      <w:pPr>
        <w:pStyle w:val="ListParagraph"/>
        <w:numPr>
          <w:ilvl w:val="0"/>
          <w:numId w:val="2"/>
        </w:numPr>
        <w:spacing w:after="40" w:before="40"/>
      </w:pPr>
      <w:r>
        <w:rPr>
          <w:rFonts w:ascii="Arial" w:cs="Arial" w:eastAsia="Arial" w:hAnsi="Arial"/>
          <w:color w:val="2C2C2C"/>
          <w:sz w:val="22"/>
          <w:szCs w:val="22"/>
        </w:rPr>
        <w:t xml:space="preserve">分块策略：默认按 512 Token 分块，相邻块保留 50 Token 重叠，保证上下文连续性</w:t>
      </w:r>
    </w:p>
    <w:p>
      <w:pPr>
        <w:pStyle w:val="ListParagraph"/>
        <w:numPr>
          <w:ilvl w:val="0"/>
          <w:numId w:val="2"/>
        </w:numPr>
        <w:spacing w:after="40" w:before="40"/>
      </w:pPr>
      <w:r>
        <w:rPr>
          <w:rFonts w:ascii="Arial" w:cs="Arial" w:eastAsia="Arial" w:hAnsi="Arial"/>
          <w:color w:val="2C2C2C"/>
          <w:sz w:val="22"/>
          <w:szCs w:val="22"/>
        </w:rPr>
        <w:t xml:space="preserve">向量模型：默认使用 text-embedding-3-large（1536 维），私有化部署可替换为 BCE / BGE 等本地模型</w:t>
      </w:r>
    </w:p>
    <w:p>
      <w:pPr>
        <w:pStyle w:val="ListParagraph"/>
        <w:numPr>
          <w:ilvl w:val="0"/>
          <w:numId w:val="2"/>
        </w:numPr>
        <w:spacing w:after="40" w:before="40"/>
      </w:pPr>
      <w:r>
        <w:rPr>
          <w:rFonts w:ascii="Arial" w:cs="Arial" w:eastAsia="Arial" w:hAnsi="Arial"/>
          <w:color w:val="2C2C2C"/>
          <w:sz w:val="22"/>
          <w:szCs w:val="22"/>
        </w:rPr>
        <w:t xml:space="preserve">检索策略：混合检索（向量相似度 + BM25 关键词检索），Rerank 后返回 Top-K 相关段落（默认 K=5）</w:t>
      </w:r>
    </w:p>
    <w:p>
      <w:pPr>
        <w:pStyle w:val="ListParagraph"/>
        <w:numPr>
          <w:ilvl w:val="0"/>
          <w:numId w:val="2"/>
        </w:numPr>
        <w:spacing w:after="40" w:before="40"/>
      </w:pPr>
      <w:r>
        <w:rPr>
          <w:rFonts w:ascii="Arial" w:cs="Arial" w:eastAsia="Arial" w:hAnsi="Arial"/>
          <w:color w:val="2C2C2C"/>
          <w:sz w:val="22"/>
          <w:szCs w:val="22"/>
        </w:rPr>
        <w:t xml:space="preserve">引用标注：Agent 回答中自动标注「来源：[文档名] 第 X 页 / 第 Y 章节」</w:t>
      </w:r>
    </w:p>
    <w:p>
      <w:pPr>
        <w:spacing w:after="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800"/>
        <w:gridCol w:w="2960"/>
      </w:tblGrid>
      <w:tr>
        <w:trPr>
          <w:tblHeader/>
        </w:trPr>
        <w:tc>
          <w:tcPr>
            <w:tcW w:type="dxa" w:w="18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功能</w:t>
            </w:r>
          </w:p>
        </w:tc>
        <w:tc>
          <w:tcPr>
            <w:tcW w:type="dxa" w:w="32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描述</w:t>
            </w:r>
          </w:p>
        </w:tc>
        <w:tc>
          <w:tcPr>
            <w:tcW w:type="dxa" w:w="8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优先级</w:t>
            </w:r>
          </w:p>
        </w:tc>
        <w:tc>
          <w:tcPr>
            <w:tcW w:type="dxa" w:w="29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验收标准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知识库创建</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项目负责人（或被授权成员）创建项目知识库，设置名称、描述、可见成员列表（初始继承项目成员）</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创建后出现在项目知识库列表，权限配置立即生效</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文档上传与解析</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支持 PDF / DOCX / MD / TXT / HTML，单文件最大 50MB，支持批量上传，自动分块并向量化，状态显示「处理中」→「已就绪」</w:t>
            </w:r>
          </w:p>
        </w:tc>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100 页以内文档 3 分钟内完成向量化，状态变为「已就绪」后可检索</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文档权限控制</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文档默认继承知识库权限，负责人可对单文档单独设置可见成员（比知识库权限更细粒度）</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无权限成员无法通过 Agent 或搜索检索到该文档任何内容</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语义搜索</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基于混合检索（向量 + BM25）进行语义检索，支持中英文及混合查询，返回 Top-K 相关段落及来源信息</w:t>
            </w:r>
          </w:p>
        </w:tc>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检索延迟 P99 &lt; 2s，Top-5 准确率人工评估 &gt; 80%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绑定</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创建项目 Agent 时可选择绑定本项目知识库，Agent 自动使用 RAG 增强回答，回答中标注引用来源文档名和页码</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每次回答均显示「参考来源」列表，可点击跳转到文档页面</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文档版本管理</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支持文档更新上传（同名覆盖或新版本并存），更新后自动触发重新向量化，旧版本向量保留至新版本就绪后替换</w:t>
            </w:r>
          </w:p>
        </w:tc>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重新向量化完成前仍使用旧版本内容，切换时无中断</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知识库用量统计</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统计各项目知识库的文档数量、存储大小（MB）、向量数量、月度检索次数、相关 Token 消耗</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Should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统计数据每日更新，管理员可在控制台查看趋势图</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跨项目联合搜索</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部门负责人可在本部门权限范围内跨多个项目知识库进行联合语义搜索，结果标注来源项目</w:t>
            </w:r>
          </w:p>
        </w:tc>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Could</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联合搜索响应 P99 &lt; 5s，结果集合并后按相关度排序</w:t>
            </w:r>
          </w:p>
        </w:tc>
      </w:tr>
    </w:tbl>
    <w:p>
      <w:pPr>
        <w:spacing w:after="0" w:before="60"/>
      </w:pPr>
      <w:r>
        <w:t xml:space="preserve"/>
      </w:r>
    </w:p>
    <w:p>
      <w:pPr>
        <w:spacing w:after="60" w:before="60"/>
      </w:pPr>
      <w:r>
        <w:rPr>
          <w:rFonts w:ascii="Arial" w:cs="Arial" w:eastAsia="Arial" w:hAnsi="Arial"/>
          <w:b/>
          <w:bCs/>
          <w:color w:val="2C2C2C"/>
          <w:sz w:val="22"/>
          <w:szCs w:val="22"/>
        </w:rPr>
        <w:t xml:space="preserve">知识库权限矩阵：</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460"/>
        <w:gridCol w:w="1280"/>
        <w:gridCol w:w="1280"/>
        <w:gridCol w:w="1280"/>
        <w:gridCol w:w="1060"/>
      </w:tblGrid>
      <w:tr>
        <w:trPr>
          <w:tblHeader/>
        </w:trPr>
        <w:tc>
          <w:tcPr>
            <w:tcW w:type="dxa" w:w="2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操作</w:t>
            </w:r>
          </w:p>
        </w:tc>
        <w:tc>
          <w:tcPr>
            <w:tcW w:type="dxa" w:w="14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集团 IT 管理员</w:t>
            </w:r>
          </w:p>
        </w:tc>
        <w:tc>
          <w:tcPr>
            <w:tcW w:type="dxa" w:w="128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部门负责人</w:t>
            </w:r>
          </w:p>
        </w:tc>
        <w:tc>
          <w:tcPr>
            <w:tcW w:type="dxa" w:w="128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项目负责人</w:t>
            </w:r>
          </w:p>
        </w:tc>
        <w:tc>
          <w:tcPr>
            <w:tcW w:type="dxa" w:w="128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项目成员</w:t>
            </w:r>
          </w:p>
        </w:tc>
        <w:tc>
          <w:tcPr>
            <w:tcW w:type="dxa" w:w="10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非项目成员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创建知识库</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✅（本部门项目）</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✅（本项目）</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上传 / 删除文档</w:t>
            </w:r>
          </w:p>
        </w:tc>
        <w:tc>
          <w:tcPr>
            <w:tcW w:type="dxa" w:w="1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✅（有权限的项目）</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✅（若被授权）</w:t>
            </w:r>
          </w:p>
        </w:tc>
        <w:tc>
          <w:tcPr>
            <w:tcW w:type="dxa" w:w="1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配置文档可见范围</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✅（有权限的项目）</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语义检索</w:t>
            </w:r>
          </w:p>
        </w:tc>
        <w:tc>
          <w:tcPr>
            <w:tcW w:type="dxa" w:w="1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✅（有权限）</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✅（有权限）</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✅（有权限文档）</w:t>
            </w:r>
          </w:p>
        </w:tc>
        <w:tc>
          <w:tcPr>
            <w:tcW w:type="dxa" w:w="1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通过 Agent 检索</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✅（有权限）</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✅（有权限）</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查看用量统计</w:t>
            </w:r>
          </w:p>
        </w:tc>
        <w:tc>
          <w:tcPr>
            <w:tcW w:type="dxa" w:w="1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✅（全局）</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✅（本部门）</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✅（本项目）</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bl>
    <w:p>
      <w:pPr>
        <w:spacing w:after="0" w:before="60"/>
      </w:pPr>
      <w:r>
        <w:t xml:space="preserve"/>
      </w:r>
    </w:p>
    <w:p>
      <w:pPr>
        <w:pStyle w:val="Heading3"/>
        <w:spacing w:after="60" w:before="200"/>
      </w:pPr>
      <w:r>
        <w:rPr>
          <w:rFonts w:ascii="Arial" w:cs="Arial" w:eastAsia="Arial" w:hAnsi="Arial"/>
          <w:b/>
          <w:bCs/>
          <w:color w:val="2E75B6"/>
          <w:sz w:val="24"/>
          <w:szCs w:val="24"/>
        </w:rPr>
        <w:t xml:space="preserve">3.2.6 Agent 体系</w:t>
      </w:r>
    </w:p>
    <w:p>
      <w:pPr>
        <w:spacing w:after="60" w:before="60"/>
      </w:pPr>
      <w:r>
        <w:rPr>
          <w:rFonts w:ascii="Arial" w:cs="Arial" w:eastAsia="Arial" w:hAnsi="Arial"/>
          <w:color w:val="2C2C2C"/>
          <w:sz w:val="22"/>
          <w:szCs w:val="22"/>
        </w:rPr>
        <w:t xml:space="preserve">Agent 体系分为两个层次：平台内置的 AiGate Bot（管理 Agent）和用户自建的项目级 Agent。两类 Agent 均通过 AiGate 统一网关调用大模型，Token 消耗纳入正常配额管理，调用记录纳入审计日志。</w:t>
      </w:r>
    </w:p>
    <w:p>
      <w:pPr>
        <w:spacing w:after="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1560"/>
      </w:tblGrid>
      <w:tr>
        <w:trPr>
          <w:tblHeader/>
        </w:trPr>
        <w:tc>
          <w:tcPr>
            <w:tcW w:type="dxa" w:w="1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维度</w:t>
            </w:r>
          </w:p>
        </w:tc>
        <w:tc>
          <w:tcPr>
            <w:tcW w:type="dxa" w:w="28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AiGate Bot（管理 Agent）</w:t>
            </w:r>
          </w:p>
        </w:tc>
        <w:tc>
          <w:tcPr>
            <w:tcW w:type="dxa" w:w="28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项目级 Agent</w:t>
            </w:r>
          </w:p>
        </w:tc>
        <w:tc>
          <w:tcPr>
            <w:tcW w:type="dxa" w:w="15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部门级 Agent（规划中）</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创建方式</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平台内置，无需创建，所有管理员账号默认开启</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项目负责人在「Agent 中心」页面创建，可设置 Agent 名称、人设描述、系统提示词</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部门负责人创建，Phase 3 规划</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使用者</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各层级管理员（集团 / 分公司 / 部门）</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被项目负责人授权的项目成员（可设置白名单）</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部门及所有子项目成员</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数据来源</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AiGate 平台运营数据：Token 用量、配额状态、密钥列表、异常日志、费用报告（仅权限范围内数据）</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本项目知识库（RAG 检索）+ 项目负责人授权的 MCP 工具</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本部门所有有权限的项目知识库 + 授权 MCP 工具</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交互方式</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对话式，自然语言查询，结果以文字 + 数据表格形式展示，支持快捷问题模板</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对话式，自然语言提问，回答中标注引用来源文档名和页码，支持追问</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对话式，支持跨项目知识查询</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典型问题</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「上周哪个部门用量最多」「当前有多少异常密钥」「本月预计何时配额用尽」「销售部本月费用明细」</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「这个项目的技术架构是什么」「第三期需求中关于权限的设计在哪」「这个接口的参数格式和限制」</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「我们部门所有项目中有没有关于 XX 的设计文档」</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权限边界</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严格按管理员层级隔离，集团管理员可查全局，分公司管理员只能查本公司，无法越权查询</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Agent 只能访问被授权的知识库文档和 MCP 工具，不可访问其他项目数据，不可查询配额/密钥信息</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只能访问本部门范围内有权限的数据</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 消耗计入</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调用管理员所属组织/部门的配额</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调用者所属部门的配额</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调用者所属部门的配额</w:t>
            </w:r>
          </w:p>
        </w:tc>
      </w:tr>
    </w:tbl>
    <w:p>
      <w:pPr>
        <w:spacing w:after="0" w:before="60"/>
      </w:pPr>
      <w:r>
        <w:t xml:space="preserve"/>
      </w:r>
    </w:p>
    <w:p>
      <w:pPr>
        <w:pStyle w:val="Heading3"/>
        <w:spacing w:after="60" w:before="200"/>
      </w:pPr>
      <w:r>
        <w:rPr>
          <w:rFonts w:ascii="Arial" w:cs="Arial" w:eastAsia="Arial" w:hAnsi="Arial"/>
          <w:b/>
          <w:bCs/>
          <w:color w:val="2E75B6"/>
          <w:sz w:val="24"/>
          <w:szCs w:val="24"/>
        </w:rPr>
        <w:t xml:space="preserve">3.2.7 预警与通知体系（完整版）</w:t>
      </w:r>
    </w:p>
    <w:p>
      <w:pPr>
        <w:spacing w:after="60" w:before="60"/>
      </w:pPr>
      <w:r>
        <w:rPr>
          <w:rFonts w:ascii="Arial" w:cs="Arial" w:eastAsia="Arial" w:hAnsi="Arial"/>
          <w:color w:val="2C2C2C"/>
          <w:sz w:val="22"/>
          <w:szCs w:val="22"/>
        </w:rPr>
        <w:t xml:space="preserve">v2.0 预警体系在 v1.0 配额预警基础上，新增密钥到期预警、MCP 工具异常预警、知识库存储告警、Agent 调用异常预警，形成全场景预警覆盖。所有预警事件同时记录到「预警中心」页面，管理员可统一查看处理。</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2200"/>
        <w:gridCol w:w="1200"/>
        <w:gridCol w:w="1560"/>
      </w:tblGrid>
      <w:tr>
        <w:trPr>
          <w:tblHeader/>
        </w:trPr>
        <w:tc>
          <w:tcPr>
            <w:tcW w:type="dxa" w:w="1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预警类型</w:t>
            </w:r>
          </w:p>
        </w:tc>
        <w:tc>
          <w:tcPr>
            <w:tcW w:type="dxa" w:w="18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触发条件</w:t>
            </w:r>
          </w:p>
        </w:tc>
        <w:tc>
          <w:tcPr>
            <w:tcW w:type="dxa" w:w="1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通知对象</w:t>
            </w:r>
          </w:p>
        </w:tc>
        <w:tc>
          <w:tcPr>
            <w:tcW w:type="dxa" w:w="22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通知内容</w:t>
            </w:r>
          </w:p>
        </w:tc>
        <w:tc>
          <w:tcPr>
            <w:tcW w:type="dxa" w:w="12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通知渠道</w:t>
            </w:r>
          </w:p>
        </w:tc>
        <w:tc>
          <w:tcPr>
            <w:tcW w:type="dxa" w:w="15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自动处置</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配额预警 - 70%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某层级用量达到配额 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该层级管理员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已用 70%，预计 X 天后耗尽，点击申请扩容</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邮件</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无</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配额预警 - 90%</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某层级用量达到配额 90%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该层级管理员 + 上级管理员</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紧急：配额即将耗尽，预计 X 天内用完</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邮件 + 短信（旗舰版）</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无</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配额已耗尽 - 100%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配额耗尽，调用被拦截</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管理员 + 被拦截员工</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配额已耗尽，调用已被拦截，请联系管理员扩容</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邮件 + 系统通知</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自动拦截后续调用</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套餐到期 - 14天</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付费套餐到期前 14 天</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集团管理员</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套餐将于 14 天后到期，请及时续费，否则超出部分将被限速</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邮件</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无</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套餐到期 - 7天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付费套餐到期前 7 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集团管理员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套餐将于 7 天后到期，请立即续费</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邮件 + 短信（旗舰版）</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无</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套餐已到期</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套餐到期当日</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集团管理员</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套餐已到期，服务已降级为免费版限制</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邮件 + 系统通知</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降级为免费版限制</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密钥到期 - 7天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员工密钥到期前 7 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员工本人 + 直属管理员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您的密钥 ag-xxx 将于 7 天后过期，请及时续期</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邮件 + 系统通知</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无</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密钥到期 - 1天</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员工密钥到期前 1 天</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员工本人</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密钥 ag-xxx 明天到期，请立即续期或申请新密钥</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邮件</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无</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密钥已过期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密钥超过有效期</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员工本人</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密钥 ag-xxx 已过期，调用将返回 401 错误，请申请新密钥</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系统通知</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拦截该密钥所有调用</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异常调用</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单密钥 30 分钟内调用量超正常值 5 倍</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分公司管理员</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密钥 ag-xxx 出现异常：30 分钟内调用 X 次，超出正常值 5 倍</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邮件</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自动限速（可配置为封禁）</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工具不可用</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内部 MCP 健康检查连续失败 3 次（默认间隔 5 分钟）</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IT 管理员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工具 [工具名] 已连续 3 次健康检查失败，请检查服务状态</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邮件 + 系统通知</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标记工具为「不可用」状态，Agent 调用该工具将收到错误提示</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知识库存储告警</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项目知识库存储量达到配额 80%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项目负责人</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项目 [项目名] 知识库存储已用 80%，请及时清理旧文档或申请扩容</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系统通知</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无</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调用异常</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项目 Agent 在 1 小时内被调用超过日均值 5 倍</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项目负责人 + IT 管理员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[Agent 名] 出现异常高频调用（1小时内 X 次），请核实是否为正常使用</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邮件</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无（人工判断处理）</w:t>
            </w:r>
          </w:p>
        </w:tc>
      </w:tr>
    </w:tbl>
    <w:p>
      <w:pPr>
        <w:spacing w:after="0" w:before="60"/>
      </w:pPr>
      <w:r>
        <w:t xml:space="preserve"/>
      </w:r>
    </w:p>
    <w:p>
      <w:pPr>
        <w:pStyle w:val="Heading1"/>
        <w:spacing w:after="120" w:before="400"/>
      </w:pPr>
      <w:r>
        <w:rPr>
          <w:rFonts w:ascii="Arial" w:cs="Arial" w:eastAsia="Arial" w:hAnsi="Arial"/>
          <w:b/>
          <w:bCs/>
          <w:color w:val="1B4F9B"/>
          <w:sz w:val="36"/>
          <w:szCs w:val="36"/>
        </w:rPr>
        <w:t xml:space="preserve">4. 系统架构说明</w:t>
      </w:r>
    </w:p>
    <w:p>
      <w:pPr>
        <w:pStyle w:val="Heading2"/>
        <w:spacing w:after="80" w:before="280"/>
      </w:pPr>
      <w:r>
        <w:rPr>
          <w:rFonts w:ascii="Arial" w:cs="Arial" w:eastAsia="Arial" w:hAnsi="Arial"/>
          <w:b/>
          <w:bCs/>
          <w:color w:val="2E75B6"/>
          <w:sz w:val="28"/>
          <w:szCs w:val="28"/>
        </w:rPr>
        <w:t xml:space="preserve">4.1 整体架构分层</w:t>
      </w:r>
    </w:p>
    <w:p>
      <w:pPr>
        <w:spacing w:after="60" w:before="60"/>
      </w:pPr>
      <w:r>
        <w:rPr>
          <w:rFonts w:ascii="Arial" w:cs="Arial" w:eastAsia="Arial" w:hAnsi="Arial"/>
          <w:color w:val="2C2C2C"/>
          <w:sz w:val="22"/>
          <w:szCs w:val="22"/>
        </w:rPr>
        <w:t xml:space="preserve">AiGate 采用四层架构，从下到上依次为：</w:t>
      </w:r>
    </w:p>
    <w:p>
      <w:pPr>
        <w:pStyle w:val="ListParagraph"/>
        <w:numPr>
          <w:ilvl w:val="0"/>
          <w:numId w:val="2"/>
        </w:numPr>
        <w:spacing w:after="40" w:before="40"/>
      </w:pPr>
      <w:r>
        <w:rPr>
          <w:rFonts w:ascii="Arial" w:cs="Arial" w:eastAsia="Arial" w:hAnsi="Arial"/>
          <w:color w:val="2C2C2C"/>
          <w:sz w:val="22"/>
          <w:szCs w:val="22"/>
        </w:rPr>
        <w:t xml:space="preserve">基础设施层：统一 AI 网关（核心转发、鉴权、配额控制、日志）+ 向量数据库（Milvus / Qdrant）+ 关系型数据库（PostgreSQL）+ 消息队列（Redis / Kafka）</w:t>
      </w:r>
    </w:p>
    <w:p>
      <w:pPr>
        <w:pStyle w:val="ListParagraph"/>
        <w:numPr>
          <w:ilvl w:val="0"/>
          <w:numId w:val="2"/>
        </w:numPr>
        <w:spacing w:after="40" w:before="40"/>
      </w:pPr>
      <w:r>
        <w:rPr>
          <w:rFonts w:ascii="Arial" w:cs="Arial" w:eastAsia="Arial" w:hAnsi="Arial"/>
          <w:color w:val="2C2C2C"/>
          <w:sz w:val="22"/>
          <w:szCs w:val="22"/>
        </w:rPr>
        <w:t xml:space="preserve">管控层：配额管理服务、密钥管理服务、组织管理服务、预警通知服务、审计日志服务</w:t>
      </w:r>
    </w:p>
    <w:p>
      <w:pPr>
        <w:pStyle w:val="ListParagraph"/>
        <w:numPr>
          <w:ilvl w:val="0"/>
          <w:numId w:val="2"/>
        </w:numPr>
        <w:spacing w:after="40" w:before="40"/>
      </w:pPr>
      <w:r>
        <w:rPr>
          <w:rFonts w:ascii="Arial" w:cs="Arial" w:eastAsia="Arial" w:hAnsi="Arial"/>
          <w:color w:val="2C2C2C"/>
          <w:sz w:val="22"/>
          <w:szCs w:val="22"/>
        </w:rPr>
        <w:t xml:space="preserve">资产层：MCP 资产注册与代理服务、知识库管理服务（文档解析、分块、向量化、语义检索）</w:t>
      </w:r>
    </w:p>
    <w:p>
      <w:pPr>
        <w:pStyle w:val="ListParagraph"/>
        <w:numPr>
          <w:ilvl w:val="0"/>
          <w:numId w:val="2"/>
        </w:numPr>
        <w:spacing w:after="40" w:before="40"/>
      </w:pPr>
      <w:r>
        <w:rPr>
          <w:rFonts w:ascii="Arial" w:cs="Arial" w:eastAsia="Arial" w:hAnsi="Arial"/>
          <w:color w:val="2C2C2C"/>
          <w:sz w:val="22"/>
          <w:szCs w:val="22"/>
        </w:rPr>
        <w:t xml:space="preserve">智能层：AiGate Bot 服务（管理 Agent 推理引擎）、项目 Agent 管理服务（Agent 创建、权限绑定、对话引擎）</w:t>
      </w:r>
    </w:p>
    <w:p>
      <w:pPr>
        <w:spacing w:after="0" w:before="60"/>
      </w:pPr>
      <w:r>
        <w:t xml:space="preserve"/>
      </w:r>
    </w:p>
    <w:p>
      <w:pPr>
        <w:pStyle w:val="Heading2"/>
        <w:spacing w:after="80" w:before="280"/>
      </w:pPr>
      <w:r>
        <w:rPr>
          <w:rFonts w:ascii="Arial" w:cs="Arial" w:eastAsia="Arial" w:hAnsi="Arial"/>
          <w:b/>
          <w:bCs/>
          <w:color w:val="2E75B6"/>
          <w:sz w:val="28"/>
          <w:szCs w:val="28"/>
        </w:rPr>
        <w:t xml:space="preserve">4.2 关键数据流</w:t>
      </w:r>
    </w:p>
    <w:p>
      <w:pPr>
        <w:spacing w:after="60" w:before="60"/>
      </w:pPr>
      <w:r>
        <w:rPr>
          <w:rFonts w:ascii="Arial" w:cs="Arial" w:eastAsia="Arial" w:hAnsi="Arial"/>
          <w:color w:val="2C2C2C"/>
          <w:sz w:val="22"/>
          <w:szCs w:val="22"/>
        </w:rPr>
        <w:t xml:space="preserve">普通 AI 调用流：用户工具（Cursor 等）→ AiGate 网关 → 鉴权 → 配额校验 → 真实 AI 服务商 → 响应回传 → 异步记录用量日志</w:t>
      </w:r>
    </w:p>
    <w:p>
      <w:pPr>
        <w:spacing w:after="60" w:before="60"/>
      </w:pPr>
      <w:r>
        <w:rPr>
          <w:rFonts w:ascii="Arial" w:cs="Arial" w:eastAsia="Arial" w:hAnsi="Arial"/>
          <w:color w:val="2C2C2C"/>
          <w:sz w:val="22"/>
          <w:szCs w:val="22"/>
        </w:rPr>
        <w:t xml:space="preserve">Agent + RAG 调用流：用户 → Agent 对话界面 → AiGate Bot 服务 → 向量检索（知识库）→ 组装 Prompt + 上下文 → AiGate 网关 → 真实 AI 服务商 → 生成回答（含引用标注）→ 返回用户</w:t>
      </w:r>
    </w:p>
    <w:p>
      <w:pPr>
        <w:spacing w:after="60" w:before="60"/>
      </w:pPr>
      <w:r>
        <w:rPr>
          <w:rFonts w:ascii="Arial" w:cs="Arial" w:eastAsia="Arial" w:hAnsi="Arial"/>
          <w:color w:val="2C2C2C"/>
          <w:sz w:val="22"/>
          <w:szCs w:val="22"/>
        </w:rPr>
        <w:t xml:space="preserve">MCP 调用流：Agent 推理引擎 → 判断需要调用工具 → MCP 权限校验 → AiGate 代理转发至 MCP 服务 → 返回工具结果 → Agent 继续推理 → 最终回答</w:t>
      </w:r>
    </w:p>
    <w:p>
      <w:pPr>
        <w:spacing w:after="0" w:before="60"/>
      </w:pPr>
      <w:r>
        <w:t xml:space="preserve"/>
      </w:r>
    </w:p>
    <w:p>
      <w:pPr>
        <w:pStyle w:val="Heading2"/>
        <w:spacing w:after="80" w:before="280"/>
      </w:pPr>
      <w:r>
        <w:rPr>
          <w:rFonts w:ascii="Arial" w:cs="Arial" w:eastAsia="Arial" w:hAnsi="Arial"/>
          <w:b/>
          <w:bCs/>
          <w:color w:val="2E75B6"/>
          <w:sz w:val="28"/>
          <w:szCs w:val="28"/>
        </w:rPr>
        <w:t xml:space="preserve">4.3 多租户隔离</w:t>
      </w:r>
    </w:p>
    <w:p>
      <w:pPr>
        <w:spacing w:after="60" w:before="60"/>
      </w:pPr>
      <w:r>
        <w:rPr>
          <w:rFonts w:ascii="Arial" w:cs="Arial" w:eastAsia="Arial" w:hAnsi="Arial"/>
          <w:color w:val="2C2C2C"/>
          <w:sz w:val="22"/>
          <w:szCs w:val="22"/>
        </w:rPr>
        <w:t xml:space="preserve">平台采用共享数据库 + 租户 ID 隔离的多租户架构（MVP 阶段），每条数据均带有 org_id 字段，所有查询强制附加租户过滤条件。知识库向量数据在向量数据库中以 collection 为单位隔离，每个企业独立 collection。旗舰私有化版本支持完全独立的数据库实例。</w:t>
      </w:r>
    </w:p>
    <w:p>
      <w:pPr>
        <w:spacing w:after="0" w:before="60"/>
      </w:pPr>
      <w:r>
        <w:t xml:space="preserve"/>
      </w:r>
    </w:p>
    <w:p>
      <w:pPr>
        <w:pStyle w:val="Heading1"/>
        <w:spacing w:after="120" w:before="400"/>
      </w:pPr>
      <w:r>
        <w:rPr>
          <w:rFonts w:ascii="Arial" w:cs="Arial" w:eastAsia="Arial" w:hAnsi="Arial"/>
          <w:b/>
          <w:bCs/>
          <w:color w:val="1B4F9B"/>
          <w:sz w:val="36"/>
          <w:szCs w:val="36"/>
        </w:rPr>
        <w:t xml:space="preserve">5. 非功能需求</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560"/>
      </w:tblGrid>
      <w:tr>
        <w:trPr>
          <w:tblHeader/>
        </w:trPr>
        <w:tc>
          <w:tcPr>
            <w:tcW w:type="dxa" w:w="1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类别</w:t>
            </w:r>
          </w:p>
        </w:tc>
        <w:tc>
          <w:tcPr>
            <w:tcW w:type="dxa" w:w="28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需求</w:t>
            </w:r>
          </w:p>
        </w:tc>
        <w:tc>
          <w:tcPr>
            <w:tcW w:type="dxa" w:w="45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指标</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性能</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网关转发延迟增加（P99）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50ms</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性能</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系统可用性（网关）</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99.9%（每月停机 &lt; 44 分钟）</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性能</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并发处理能力（MVP 阶段）</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&gt; 200 QPS（网关）</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性能</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RAG 知识库检索延迟（P99）</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&lt; 2s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性能</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对话首 Token 延迟（P99）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3s（含 RAG 检索时间）</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安全</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数据传输</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全程 HTTPS / TLS 1.3，真实 API Key 只存网关，AES-256 加密存储</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安全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密钥存储</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AES-256 加密，任何日志中不出现明文 Key，员工只能看到密钥前 8 位</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安全</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权限隔离</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各租户数据严格隔离，RBAC 权限模型，知识库按项目隔离，MCP 服务 URL 不暴露给员工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安全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调用安全</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工具调用均经 AiGate 网关鉴权和代理，内部 MCP 服务地址对员工不可见</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合规</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调用日志保留</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AI 调用 + MCP 调用 + Agent 对话日志保留 180 天，支持导出（JSON / CSV）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合规</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数据本地化</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支持私有化部署，知识库向量数据本地存储，不上传原文到第三方</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合规</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操作审计</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管理员的所有配置操作（配额调整、密钥吊销、权限变更）记录操作日志，保留 365 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可维护性</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MVP 部署方式</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Docker Compose，一键启动，含所有依赖服务</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可维护性</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旗舰版部署方式</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Helm Chart for Kubernetes，支持 HA 部署</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扩展性</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多租户架构</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从单租户平滑扩展到多租户 SaaS，租户 ID 贯穿所有数据模型</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知识库</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支持文档格式</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PDF / DOCX / MD / TXT / HTML，单文件最大 50MB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知识库</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向量数据库</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支持 Milvus / Qdrant（可配置），私有化部署可替换为本地向量库</w:t>
            </w:r>
          </w:p>
        </w:tc>
      </w:tr>
    </w:tbl>
    <w:p>
      <w:pPr>
        <w:spacing w:after="0" w:before="60"/>
      </w:pPr>
      <w:r>
        <w:t xml:space="preserve"/>
      </w:r>
    </w:p>
    <w:p>
      <w:pPr>
        <w:pStyle w:val="Heading1"/>
        <w:spacing w:after="120" w:before="400"/>
      </w:pPr>
      <w:r>
        <w:rPr>
          <w:rFonts w:ascii="Arial" w:cs="Arial" w:eastAsia="Arial" w:hAnsi="Arial"/>
          <w:b/>
          <w:bCs/>
          <w:color w:val="1B4F9B"/>
          <w:sz w:val="36"/>
          <w:szCs w:val="36"/>
        </w:rPr>
        <w:t xml:space="preserve">6. 数据埋点</w:t>
      </w:r>
    </w:p>
    <w:p>
      <w:pPr>
        <w:spacing w:after="60" w:before="60"/>
      </w:pPr>
      <w:r>
        <w:rPr>
          <w:rFonts w:ascii="Arial" w:cs="Arial" w:eastAsia="Arial" w:hAnsi="Arial"/>
          <w:color w:val="2C2C2C"/>
          <w:sz w:val="22"/>
          <w:szCs w:val="22"/>
        </w:rPr>
        <w:t xml:space="preserve">以下事件需在前端和服务层完成埋点，用于产品迭代和运营分析：</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rPr>
          <w:tblHeader/>
        </w:trPr>
        <w:tc>
          <w:tcPr>
            <w:tcW w:type="dxa" w:w="2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事件名</w:t>
            </w:r>
          </w:p>
        </w:tc>
        <w:tc>
          <w:tcPr>
            <w:tcW w:type="dxa" w:w="2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触发时机</w:t>
            </w:r>
          </w:p>
        </w:tc>
        <w:tc>
          <w:tcPr>
            <w:tcW w:type="dxa" w:w="39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关键属性</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用户登录平台</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user_id, role, login_method（sso/pwd）, org_id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key_created</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员工创建专属密钥</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user_id, org_id, key_type, expiry_days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key_revoked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管理员或员工吊销密钥</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user_id, key_id, reason（manual/expired/anomaly）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key_expired</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密钥超过有效期自动失效</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key_id, user_id, expired_at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quota_adjusted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管理员调整某层级配额</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operator_id, target_org_id, old_quota, new_quota</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quota_warning_sent</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预警通知发送</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org_id, level（dept/company/group）, threshold（70/90/100）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quota_exhausted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某层级配额耗尽，调用被拦截</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org_id, user_id, model, request_tokens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anomaly_detected</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异常调用被检测到</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key_id, anomaly_type, count, window_minutes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mcp_registered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管理员注册内部 MCP 工具</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org_id, admin_id, mcp_name, mcp_type（internal/external）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mcp_activated</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管理员开通公共 MCP 工具</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org_id, mcp_id, mcp_name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mcp_permission_assigned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工具权限被分配</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org_id, mcp_id, target_type（project/dept）, target_id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mcp_unavailable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 工具健康检查失败</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org_id, mcp_id, failure_count, last_checked_at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kb_created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项目知识库被创建</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org_id, project_id, creator_id, kb_name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doc_uploaded</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文档上传到知识库</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org_id, kb_id, doc_type, doc_size_kb, doc_pages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doc_vectorized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文档完成向量化</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org_id, kb_id, doc_id, duration_seconds, chunk_count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kb_search</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知识库语义检索（含 Agent RAG）</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org_id, kb_id, user_id, query_length, result_count, latency_ms, source（direct/agent）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agent_created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被创建</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org_id, project_id, creator_id, agent_type（platform/project/dept）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agent_chat</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用户与 Agent 对话</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org_id, agent_id, user_id, msg_tokens, has_rag（bool）, rag_docs_count, has_mcp（bool）, mcp_tools_called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report_exported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用量报告导出</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org_id, export_format（xlsx/csv）, date_range, dimensions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alert_handled</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管理员处理预警事件</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org_id, alert_id, alert_type, handler_id, action（扩容/封禁/忽略）</w:t>
            </w:r>
          </w:p>
        </w:tc>
      </w:tr>
    </w:tbl>
    <w:p>
      <w:pPr>
        <w:spacing w:after="0" w:before="60"/>
      </w:pPr>
      <w:r>
        <w:t xml:space="preserve"/>
      </w:r>
    </w:p>
    <w:p>
      <w:pPr>
        <w:pStyle w:val="Heading1"/>
        <w:spacing w:after="120" w:before="400"/>
      </w:pPr>
      <w:r>
        <w:rPr>
          <w:rFonts w:ascii="Arial" w:cs="Arial" w:eastAsia="Arial" w:hAnsi="Arial"/>
          <w:b/>
          <w:bCs/>
          <w:color w:val="1B4F9B"/>
          <w:sz w:val="36"/>
          <w:szCs w:val="36"/>
        </w:rPr>
        <w:t xml:space="preserve">7. 开源与商业化策略</w:t>
      </w:r>
    </w:p>
    <w:p>
      <w:pPr>
        <w:pStyle w:val="Heading2"/>
        <w:spacing w:after="80" w:before="280"/>
      </w:pPr>
      <w:r>
        <w:rPr>
          <w:rFonts w:ascii="Arial" w:cs="Arial" w:eastAsia="Arial" w:hAnsi="Arial"/>
          <w:b/>
          <w:bCs/>
          <w:color w:val="2E75B6"/>
          <w:sz w:val="28"/>
          <w:szCs w:val="28"/>
        </w:rPr>
        <w:t xml:space="preserve">7.1 版本功能对比</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gridCol w:w="2360"/>
      </w:tblGrid>
      <w:tr>
        <w:trPr>
          <w:tblHeader/>
        </w:trPr>
        <w:tc>
          <w:tcPr>
            <w:tcW w:type="dxa" w:w="4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功能</w:t>
            </w:r>
          </w:p>
        </w:tc>
        <w:tc>
          <w:tcPr>
            <w:tcW w:type="dxa" w:w="20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社区开源版（免费）</w:t>
            </w:r>
          </w:p>
        </w:tc>
        <w:tc>
          <w:tcPr>
            <w:tcW w:type="dxa" w:w="23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旗舰版（付费）</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统一网关转发（OpenAI / Claude / 国产模型）</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单租户配额管理（部门→员工两级）</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员工专属密钥管理</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基础用量统计与看板</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邮件预警（配额 70%/90%/100% + 密钥到期）</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审计日志（基础，保留 30 天）</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多级组织架构（集团 → 分公司 → 部门 → 员工）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SSO 集成（企业微信 / 钉钉 / LDAP）</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短信预警通知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IP 白名单 / VPN 绑定</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异常检测与自动处置（限速 / 封禁）</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月度费用分摊报告（Excel）</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审计日志（完整，保留 180 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 资产市场（公共市场 + 私有工具库）</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调用计量与健康监控</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企业知识库（RAG 语义检索）</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项目级 Agent（绑定知识库 + MCP）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AiGate Bot（管理 Agent）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私有化部署支持（Kubernetes + Helm）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SLA 保障（99.9%）+ 技术支持（工作日）</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开放管理 REST API + Webhook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7.2 定价策略</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3560"/>
      </w:tblGrid>
      <w:tr>
        <w:trPr>
          <w:tblHeader/>
        </w:trPr>
        <w:tc>
          <w:tcPr>
            <w:tcW w:type="dxa" w:w="1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套餐</w:t>
            </w:r>
          </w:p>
        </w:tc>
        <w:tc>
          <w:tcPr>
            <w:tcW w:type="dxa" w:w="20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目标客户</w:t>
            </w:r>
          </w:p>
        </w:tc>
        <w:tc>
          <w:tcPr>
            <w:tcW w:type="dxa" w:w="1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价格参考</w:t>
            </w:r>
          </w:p>
        </w:tc>
        <w:tc>
          <w:tcPr>
            <w:tcW w:type="dxa" w:w="35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核心价值</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社区版</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50 人团队 / 开发者 / 个人项目</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免费</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基础网关 + 两级配额 + 密钥管理，获取口碑与 GitHub Star</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专业版</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50 - 500 人企业</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¥2,000 / 月</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多级配额 + SSO + 月报 + 基础知识库（不含 Agent）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企业版</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500 - 5,000 人大型企业</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¥8,000 / 月起</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全功能 + MCP 市场 + 知识库 RAG + 项目 Agent + AiGate Bot + SLA</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集团私有化版</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5,000 + 人集团企业</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¥20万 + / 年</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私有化部署 + 数据本地化 + 定制开发 + 专属技术支持</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7.3 产品路线图</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160"/>
      </w:tblGrid>
      <w:tr>
        <w:trPr>
          <w:tblHeader/>
        </w:trPr>
        <w:tc>
          <w:tcPr>
            <w:tcW w:type="dxa" w:w="1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阶段</w:t>
            </w:r>
          </w:p>
        </w:tc>
        <w:tc>
          <w:tcPr>
            <w:tcW w:type="dxa" w:w="12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时间</w:t>
            </w:r>
          </w:p>
        </w:tc>
        <w:tc>
          <w:tcPr>
            <w:tcW w:type="dxa" w:w="61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里程碑与核心交付物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0 - 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2026 Q3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统一网关（OpenAI + Claude）+ 单层配额管理 + 密钥管理 + 多场景预警（含密钥到期）+ 基础用量看板，内部自用验证</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Phase 1 - 内部验证</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2026 Q3末</w:t>
            </w:r>
          </w:p>
        </w:tc>
        <w:tc>
          <w:tcPr>
            <w:tcW w:type="dxa" w:w="6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员工端门户（用量自助查询）+ 全量审计日志 + 月度费用报告 + AiGate Bot 基础版（查用量/配额）+ 异常检测，找 3 家友商免费试用</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2 - 商业化启动</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2026 Q4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多级组织架构 + SSO（企微/钉钉/LDAP）+ MCP 资产市场 + 企业知识库基础版（上传+向量化+检索）+ 项目 Agent（绑定知识库），签约首批付费客户</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Phase 3 - 规模化</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2027 Q1-Q2</w:t>
            </w:r>
          </w:p>
        </w:tc>
        <w:tc>
          <w:tcPr>
            <w:tcW w:type="dxa" w:w="6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跨知识库搜索 + 部门级 Agent + 私有化部署包（K8s Helm）+ 开放管理 REST API + Webhook + 集团版功能强化，参加 ISV 认证</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4 - 开源</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2027 Q2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社区版（网关 + 基础配额 + 密钥管理）开源至 GitHub，建立开源社区生态，吸引贡献者和企业用户</w:t>
            </w:r>
          </w:p>
        </w:tc>
      </w:tr>
    </w:tbl>
    <w:p>
      <w:pPr>
        <w:spacing w:after="0" w:before="60"/>
      </w:pPr>
      <w:r>
        <w:t xml:space="preserve"/>
      </w:r>
    </w:p>
    <w:p>
      <w:pPr>
        <w:pStyle w:val="Heading1"/>
        <w:spacing w:after="120" w:before="400"/>
      </w:pPr>
      <w:r>
        <w:rPr>
          <w:rFonts w:ascii="Arial" w:cs="Arial" w:eastAsia="Arial" w:hAnsi="Arial"/>
          <w:b/>
          <w:bCs/>
          <w:color w:val="1B4F9B"/>
          <w:sz w:val="36"/>
          <w:szCs w:val="36"/>
        </w:rPr>
        <w:t xml:space="preserve">8. 风险与依赖</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3960"/>
      </w:tblGrid>
      <w:tr>
        <w:trPr>
          <w:tblHeader/>
        </w:trPr>
        <w:tc>
          <w:tcPr>
            <w:tcW w:type="dxa" w:w="20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风险</w:t>
            </w:r>
          </w:p>
        </w:tc>
        <w:tc>
          <w:tcPr>
            <w:tcW w:type="dxa" w:w="1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影响</w:t>
            </w:r>
          </w:p>
        </w:tc>
        <w:tc>
          <w:tcPr>
            <w:tcW w:type="dxa" w:w="12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可能性</w:t>
            </w:r>
          </w:p>
        </w:tc>
        <w:tc>
          <w:tcPr>
            <w:tcW w:type="dxa" w:w="39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应对策略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服务商修改 API 协议</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网关需紧急适配，影响所有用户</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中</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按服务商维护独立适配层，版本锁定 + 自动化回归测试，监控服务商变更公告</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单人开发，核心功能上线延期</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商业化节点延迟，错过首批客户窗口</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高</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严守 MVP 边界，Phase 1 之前绝不开发 Phase 2 功能，每两周做优先级复盘</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企业客户坚持私有化部署</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需要额外工程量，且提前交付压力大</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高</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3 重点规划，早期合同中注明私有化交付时间节点（2027 Q1）</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知识库数据隐私顾虑阻碍销售</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客户担心企业文档上云，拒绝采购</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高</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强调向量化存储而非原文存储，私有化版本优先开发，提供数据隔离白皮书</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协议标准尚未完全稳定</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适配层需持续维护，增加工程负担</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中</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抽象 MCP 适配层，与具体协议版本解耦，紧跟 MCP 社区（Anthropic 主导）进展</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竞品（LiteLLM / Dify）快速迭代</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部分功能被竞品覆盖，差异化受压</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中</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聚焦中国企业合规场景 + 本土化 SSO + 知识库管控，这是竞品的短板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向量数据库运维复杂度高</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私有化部署时，客户 IT 运维门槛高</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中</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提供 Docker Compose 一键部署方案，内置 Qdrant（轻量），K8s 版本用 Helm 封装</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Token 价格持续下降</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管控成本节省空间缩小，产品价值受影响</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低</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审计合规需求与 Token 价格无关，转移价值叙事到合规 + 数据安全维度</w:t>
            </w:r>
          </w:p>
        </w:tc>
      </w:tr>
    </w:tbl>
    <w:p>
      <w:pPr>
        <w:spacing w:after="0" w:before="60"/>
      </w:pPr>
      <w:r>
        <w:t xml:space="preserve"/>
      </w:r>
    </w:p>
    <w:p>
      <w:pPr>
        <w:pStyle w:val="Heading1"/>
        <w:spacing w:after="120" w:before="400"/>
      </w:pPr>
      <w:r>
        <w:rPr>
          <w:rFonts w:ascii="Arial" w:cs="Arial" w:eastAsia="Arial" w:hAnsi="Arial"/>
          <w:b/>
          <w:bCs/>
          <w:color w:val="1B4F9B"/>
          <w:sz w:val="36"/>
          <w:szCs w:val="36"/>
        </w:rPr>
        <w:t xml:space="preserve">9. 附录</w:t>
      </w:r>
    </w:p>
    <w:p>
      <w:pPr>
        <w:pStyle w:val="Heading2"/>
        <w:spacing w:after="80" w:before="280"/>
      </w:pPr>
      <w:r>
        <w:rPr>
          <w:rFonts w:ascii="Arial" w:cs="Arial" w:eastAsia="Arial" w:hAnsi="Arial"/>
          <w:b/>
          <w:bCs/>
          <w:color w:val="2E75B6"/>
          <w:sz w:val="28"/>
          <w:szCs w:val="28"/>
        </w:rPr>
        <w:t xml:space="preserve">9.1 术语表</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6760"/>
      </w:tblGrid>
      <w:tr>
        <w:trPr>
          <w:tblHeader/>
        </w:trPr>
        <w:tc>
          <w:tcPr>
            <w:tcW w:type="dxa" w:w="20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术语</w:t>
            </w:r>
          </w:p>
        </w:tc>
        <w:tc>
          <w:tcPr>
            <w:tcW w:type="dxa" w:w="67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定义</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大模型计费单位，约等于 0.75 个英文单词或 1-2 个中文字</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配额</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平台为某组织/用户设置的 Token 使用上限</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专属密钥</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平台为员工生成的 API Key，用于调用 AI 服务，不暴露真实服务商 Key，格式为 ag-{env}-{32位随机hex}</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网关</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所有 AI 请求的统一入口，负责鉴权、配额控制、MCP 权限校验、转发、日志记录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 Context Protocol，AI 模型与外部工具/数据源交互的开放协议标准，由 Anthropic 主导</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MCP 工具</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实现了 MCP 协议的工具服务，可被 AI Agent 调用以执行特定操作（如查文档、查数据库、发消息）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知识库</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企业文档的结构化存储空间，文档经向量化后支持语义检索，按项目维度隔离</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RAG</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Retrieval-Augmented Generation，检索增强生成，AI 回答前先从知识库检索相关内容作为上下文，提高回答准确性和可溯源性</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向量化</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将文档内容转换为高维向量（浮点数数组），使其可进行语义相似度计算，用于检索时找到语义相近的内容</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分块（Chunk）</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将长文档切分为若干语义连贯的片段，每个片段独立向量化存储，检索时以片段为单位返回</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混合检索</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结合向量相似度检索（语义匹配）和 BM25 关键词检索，取二者排名加权融合，提高检索准确率</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Agent</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能够自主完成复杂任务的 AI 助手，可调用工具（MCP）、访问知识库、多步推理，最终给出答案</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AiGate Bot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AiGate 平台内置的管理 Agent，供各层级管理员用自然语言查询平台运营数据</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租户</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使用本平台的一个企业客户，各租户数据完全隔离，每条数据均带有 org_id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VPC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虚拟私有云，企业内网环境，密钥绑定 VPC 出口 IP 可防止密钥被带出公司使用</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SSO</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Single Sign-On，单点登录，通过企业微信/钉钉/LDAP等身份提供商统一登录，无需在 AiGate 单独注册账号</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9.2 竞品对比</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200"/>
        <w:gridCol w:w="1960"/>
      </w:tblGrid>
      <w:tr>
        <w:trPr>
          <w:tblHeader/>
        </w:trPr>
        <w:tc>
          <w:tcPr>
            <w:tcW w:type="dxa" w:w="14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产品</w:t>
            </w:r>
          </w:p>
        </w:tc>
        <w:tc>
          <w:tcPr>
            <w:tcW w:type="dxa" w:w="1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定位</w:t>
            </w:r>
          </w:p>
        </w:tc>
        <w:tc>
          <w:tcPr>
            <w:tcW w:type="dxa" w:w="1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优势</w:t>
            </w:r>
          </w:p>
        </w:tc>
        <w:tc>
          <w:tcPr>
            <w:tcW w:type="dxa" w:w="22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劣势（相比 AiGate）</w:t>
            </w:r>
          </w:p>
        </w:tc>
        <w:tc>
          <w:tcPr>
            <w:tcW w:type="dxa" w:w="19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定价</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LiteLLM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开源多模型代理</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开源免费，社区活跃，部署简单</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无企业多租户，无 MCP 管理，无知识库，无中文 SSO，无 Agent 体系</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开源免费</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Portkey</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AI 可观测性平台</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可观测性和调试能力强</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偏开发者工具，无组织层级管控，无 MCP 资产管理，无知识库</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按请求量计费</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应用开发平台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和工作流开发能力强，有知识库功能</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无 Token 配额管控，无组织层级权限，无 MCP 资产治理，不适合管控场景</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开源 + SaaS 订阅</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TrueFoundry</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企业 AI 网关</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功能较全面，有企业级特性</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面向海外市场，本土化弱（无企微/钉钉），价格较高，无知识库/Agent</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2C2C2C"/>
                <w:sz w:val="20"/>
                <w:szCs w:val="20"/>
              </w:rPr>
              <w:t xml:space="preserve">企业定制</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AiGate（本产品）</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企业 AI 全栈管控</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聚焦中国企业合规 + 集团层级管控 + MCP 资产市场 + 知识库 RAG + Agent 体系，本土化深度</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新产品，品牌知名度尚需建立</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见定价策略</w:t>
            </w:r>
          </w:p>
        </w:tc>
      </w:tr>
    </w:tbl>
    <w:p>
      <w:pPr>
        <w:spacing w:after="0" w:before="120"/>
      </w:pPr>
      <w:r>
        <w:t xml:space="preserve"/>
      </w:r>
    </w:p>
    <w:p>
      <w:pPr>
        <w:spacing w:after="0" w:before="400"/>
        <w:jc w:val="center"/>
      </w:pPr>
      <w:r>
        <w:rPr>
          <w:rFonts w:ascii="Arial" w:cs="Arial" w:eastAsia="Arial" w:hAnsi="Arial"/>
          <w:i/>
          <w:iCs/>
          <w:color w:val="666666"/>
          <w:sz w:val="20"/>
          <w:szCs w:val="20"/>
        </w:rPr>
        <w:t xml:space="preserve">— 文档结束 —</w:t>
      </w:r>
    </w:p>
    <w:p>
      <w:pPr>
        <w:spacing w:after="0" w:before="40"/>
        <w:jc w:val="center"/>
      </w:pPr>
      <w:r>
        <w:rPr>
          <w:rFonts w:ascii="Arial" w:cs="Arial" w:eastAsia="Arial" w:hAnsi="Arial"/>
          <w:color w:val="666666"/>
          <w:sz w:val="18"/>
          <w:szCs w:val="18"/>
        </w:rPr>
        <w:t xml:space="preserve">机密文件，禁止外传</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jc w:val="center"/>
    </w:pPr>
    <w:r>
      <w:rPr>
        <w:rFonts w:ascii="Arial" w:cs="Arial" w:eastAsia="Arial" w:hAnsi="Arial"/>
        <w:color w:val="666666"/>
        <w:sz w:val="16"/>
        <w:szCs w:val="16"/>
      </w:rPr>
      <w:t xml:space="preserve">AiGate 企业级 AI 全栈管控平台  |  第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b/>
        <w:bCs/>
        <w:color w:val="1B4F9B"/>
        <w:sz w:val="18"/>
        <w:szCs w:val="18"/>
      </w:rPr>
      <w:t xml:space="preserve">AiGate  |  产品需求文档（PRD）v2.0</w:t>
    </w:r>
    <w:r>
      <w:rPr>
        <w:rFonts w:ascii="Arial" w:cs="Arial" w:eastAsia="Arial" w:hAnsi="Arial"/>
        <w:color w:val="666666"/>
        <w:sz w:val="16"/>
        <w:szCs w:val="16"/>
      </w:rPr>
      <w:t xml:space="preserve">    2026年4月  |  内部机密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4F9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2026-04-28T16:00:36.213Z</dcterms:created>
  <dcterms:modified xsi:type="dcterms:W3CDTF">2026-04-28T16:00:36.215Z</dcterms:modified>
</cp:coreProperties>
</file>

<file path=docProps/custom.xml><?xml version="1.0" encoding="utf-8"?>
<Properties xmlns="http://schemas.openxmlformats.org/officeDocument/2006/custom-properties" xmlns:vt="http://schemas.openxmlformats.org/officeDocument/2006/docPropsVTypes"/>
</file>