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BF97" w14:textId="77777777" w:rsidR="00C15297" w:rsidRDefault="00000000">
      <w:pPr>
        <w:pStyle w:val="10"/>
        <w:keepNext/>
        <w:spacing w:after="100" w:line="360" w:lineRule="auto"/>
        <w:jc w:val="center"/>
      </w:pPr>
      <w:r>
        <w:rPr>
          <w:b/>
        </w:rPr>
        <w:t>企业股权知识表示与风险推理项目报告</w:t>
      </w:r>
    </w:p>
    <w:p w14:paraId="0B97C113" w14:textId="77777777" w:rsidR="00C15297" w:rsidRDefault="00000000">
      <w:pPr>
        <w:keepNext/>
        <w:widowControl/>
        <w:spacing w:after="60" w:line="288" w:lineRule="auto"/>
        <w:jc w:val="center"/>
      </w:pPr>
      <w:r>
        <w:rPr>
          <w:rFonts w:ascii="Times New Roman" w:eastAsia="宋体" w:hAnsi="Times New Roman"/>
          <w:sz w:val="18"/>
        </w:rPr>
        <w:t>第</w:t>
      </w:r>
      <w:r>
        <w:rPr>
          <w:rFonts w:ascii="Times New Roman" w:eastAsia="宋体" w:hAnsi="Times New Roman"/>
          <w:sz w:val="18"/>
        </w:rPr>
        <w:t>6</w:t>
      </w:r>
      <w:r>
        <w:rPr>
          <w:rFonts w:ascii="Times New Roman" w:eastAsia="宋体" w:hAnsi="Times New Roman"/>
          <w:sz w:val="18"/>
        </w:rPr>
        <w:t>组　组长：梁镇贤</w:t>
      </w:r>
    </w:p>
    <w:tbl>
      <w:tblPr>
        <w:tblW w:w="8304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1450"/>
        <w:gridCol w:w="1820"/>
        <w:gridCol w:w="5034"/>
      </w:tblGrid>
      <w:tr w:rsidR="00C15297" w14:paraId="0CC18C11" w14:textId="77777777">
        <w:trPr>
          <w:cantSplit/>
          <w:tblHeader/>
        </w:trPr>
        <w:tc>
          <w:tcPr>
            <w:tcW w:w="1450" w:type="dxa"/>
            <w:vAlign w:val="center"/>
          </w:tcPr>
          <w:p w14:paraId="57D6B8BD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b/>
                <w:sz w:val="18"/>
              </w:rPr>
              <w:t>姓名</w:t>
            </w:r>
          </w:p>
        </w:tc>
        <w:tc>
          <w:tcPr>
            <w:tcW w:w="1820" w:type="dxa"/>
            <w:vAlign w:val="center"/>
          </w:tcPr>
          <w:p w14:paraId="637A0565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b/>
                <w:sz w:val="18"/>
              </w:rPr>
              <w:t>学号</w:t>
            </w:r>
          </w:p>
        </w:tc>
        <w:tc>
          <w:tcPr>
            <w:tcW w:w="5034" w:type="dxa"/>
            <w:vAlign w:val="center"/>
          </w:tcPr>
          <w:p w14:paraId="5B2DF29E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b/>
                <w:sz w:val="18"/>
              </w:rPr>
              <w:t>主要分工</w:t>
            </w:r>
          </w:p>
        </w:tc>
      </w:tr>
      <w:tr w:rsidR="00C15297" w14:paraId="21E15A79" w14:textId="77777777">
        <w:trPr>
          <w:cantSplit/>
        </w:trPr>
        <w:tc>
          <w:tcPr>
            <w:tcW w:w="1450" w:type="dxa"/>
            <w:vAlign w:val="center"/>
          </w:tcPr>
          <w:p w14:paraId="78271488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梁镇贤</w:t>
            </w:r>
          </w:p>
        </w:tc>
        <w:tc>
          <w:tcPr>
            <w:tcW w:w="1820" w:type="dxa"/>
            <w:vAlign w:val="center"/>
          </w:tcPr>
          <w:p w14:paraId="0E4B93A1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202425220516</w:t>
            </w:r>
          </w:p>
        </w:tc>
        <w:tc>
          <w:tcPr>
            <w:tcW w:w="5034" w:type="dxa"/>
            <w:vAlign w:val="center"/>
          </w:tcPr>
          <w:p w14:paraId="046B4276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项目统筹、数据建模与功能联调</w:t>
            </w:r>
          </w:p>
        </w:tc>
      </w:tr>
      <w:tr w:rsidR="00C15297" w14:paraId="46C31251" w14:textId="77777777">
        <w:trPr>
          <w:cantSplit/>
        </w:trPr>
        <w:tc>
          <w:tcPr>
            <w:tcW w:w="1450" w:type="dxa"/>
            <w:vAlign w:val="center"/>
          </w:tcPr>
          <w:p w14:paraId="5D5890DF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陈宗波</w:t>
            </w:r>
          </w:p>
        </w:tc>
        <w:tc>
          <w:tcPr>
            <w:tcW w:w="1820" w:type="dxa"/>
            <w:vAlign w:val="center"/>
          </w:tcPr>
          <w:p w14:paraId="29BAAEB4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202425220507</w:t>
            </w:r>
          </w:p>
        </w:tc>
        <w:tc>
          <w:tcPr>
            <w:tcW w:w="5034" w:type="dxa"/>
            <w:vAlign w:val="center"/>
          </w:tcPr>
          <w:p w14:paraId="79CCF43F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知识图谱构建、股权路径分析与可视化</w:t>
            </w:r>
          </w:p>
        </w:tc>
      </w:tr>
      <w:tr w:rsidR="00C15297" w14:paraId="4ACE473A" w14:textId="77777777">
        <w:trPr>
          <w:cantSplit/>
        </w:trPr>
        <w:tc>
          <w:tcPr>
            <w:tcW w:w="1450" w:type="dxa"/>
            <w:vAlign w:val="center"/>
          </w:tcPr>
          <w:p w14:paraId="44A289F6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温文辉</w:t>
            </w:r>
          </w:p>
        </w:tc>
        <w:tc>
          <w:tcPr>
            <w:tcW w:w="1820" w:type="dxa"/>
            <w:vAlign w:val="center"/>
          </w:tcPr>
          <w:p w14:paraId="2A9388B9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202425220523</w:t>
            </w:r>
          </w:p>
        </w:tc>
        <w:tc>
          <w:tcPr>
            <w:tcW w:w="5034" w:type="dxa"/>
            <w:vAlign w:val="center"/>
          </w:tcPr>
          <w:p w14:paraId="78F0D953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产生式规则、控制关系推理与解释链</w:t>
            </w:r>
          </w:p>
        </w:tc>
      </w:tr>
      <w:tr w:rsidR="00C15297" w14:paraId="37379337" w14:textId="77777777">
        <w:trPr>
          <w:cantSplit/>
        </w:trPr>
        <w:tc>
          <w:tcPr>
            <w:tcW w:w="1450" w:type="dxa"/>
            <w:vAlign w:val="center"/>
          </w:tcPr>
          <w:p w14:paraId="668F627F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陈宇冲</w:t>
            </w:r>
          </w:p>
        </w:tc>
        <w:tc>
          <w:tcPr>
            <w:tcW w:w="1820" w:type="dxa"/>
            <w:vAlign w:val="center"/>
          </w:tcPr>
          <w:p w14:paraId="25C28797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202425220505</w:t>
            </w:r>
          </w:p>
        </w:tc>
        <w:tc>
          <w:tcPr>
            <w:tcW w:w="5034" w:type="dxa"/>
            <w:vAlign w:val="center"/>
          </w:tcPr>
          <w:p w14:paraId="32D88373" w14:textId="77777777" w:rsidR="00C15297" w:rsidRDefault="00000000">
            <w:pPr>
              <w:keepNext/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框架表示、风险线索汇总与测试验证</w:t>
            </w:r>
          </w:p>
        </w:tc>
      </w:tr>
      <w:tr w:rsidR="00C15297" w14:paraId="06FE9B9B" w14:textId="77777777">
        <w:trPr>
          <w:cantSplit/>
        </w:trPr>
        <w:tc>
          <w:tcPr>
            <w:tcW w:w="1450" w:type="dxa"/>
            <w:vAlign w:val="center"/>
          </w:tcPr>
          <w:p w14:paraId="6A1786E9" w14:textId="77777777" w:rsidR="00C15297" w:rsidRDefault="00000000">
            <w:pPr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刘亦达</w:t>
            </w:r>
          </w:p>
        </w:tc>
        <w:tc>
          <w:tcPr>
            <w:tcW w:w="1820" w:type="dxa"/>
            <w:vAlign w:val="center"/>
          </w:tcPr>
          <w:p w14:paraId="239F81FF" w14:textId="77777777" w:rsidR="00C15297" w:rsidRDefault="00000000">
            <w:pPr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202425220518</w:t>
            </w:r>
          </w:p>
        </w:tc>
        <w:tc>
          <w:tcPr>
            <w:tcW w:w="5034" w:type="dxa"/>
            <w:vAlign w:val="center"/>
          </w:tcPr>
          <w:p w14:paraId="394AD5F3" w14:textId="77777777" w:rsidR="00C15297" w:rsidRDefault="00000000">
            <w:pPr>
              <w:spacing w:line="252" w:lineRule="auto"/>
              <w:jc w:val="left"/>
            </w:pPr>
            <w:r>
              <w:rPr>
                <w:rFonts w:ascii="Times New Roman" w:eastAsia="宋体" w:hAnsi="Times New Roman"/>
                <w:sz w:val="18"/>
              </w:rPr>
              <w:t>查询效率对比、结果分析与材料整合</w:t>
            </w:r>
          </w:p>
        </w:tc>
      </w:tr>
    </w:tbl>
    <w:p w14:paraId="70A431FE" w14:textId="77777777" w:rsidR="00C15297" w:rsidRDefault="00000000">
      <w:pPr>
        <w:widowControl/>
        <w:spacing w:after="60" w:line="288" w:lineRule="auto"/>
      </w:pPr>
      <w:r>
        <w:rPr>
          <w:rFonts w:ascii="Times New Roman" w:eastAsia="宋体" w:hAnsi="Times New Roman"/>
          <w:sz w:val="18"/>
        </w:rPr>
        <w:t>各成员工作量大致均衡，共同参与系统开发、测试验证、报告修改与汇报准备；表中列出各自侧重。</w:t>
      </w:r>
    </w:p>
    <w:p w14:paraId="661ECF50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一、标题</w:t>
      </w:r>
    </w:p>
    <w:p w14:paraId="47041B96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企业股权知识表示与风险推理</w:t>
      </w:r>
    </w:p>
    <w:p w14:paraId="03A31613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二、摘要</w:t>
      </w:r>
    </w:p>
    <w:p w14:paraId="22927C72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本项目面向企业股权穿透和关联风险核查，将知识图谱、谓词事实与产生式规则、框架表示用于同一组企业关系数据，比较三种方法在路径查询、可解释推理和属性管理中的作用。输入包含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名自然人、</w:t>
      </w:r>
      <w:r>
        <w:rPr>
          <w:rFonts w:ascii="Times New Roman" w:eastAsia="宋体" w:hAnsi="Times New Roman"/>
        </w:rPr>
        <w:t>12</w:t>
      </w:r>
      <w:r>
        <w:rPr>
          <w:rFonts w:ascii="Times New Roman" w:eastAsia="宋体" w:hAnsi="Times New Roman"/>
        </w:rPr>
        <w:t>家企业及</w:t>
      </w:r>
      <w:r>
        <w:rPr>
          <w:rFonts w:ascii="Times New Roman" w:eastAsia="宋体" w:hAnsi="Times New Roman"/>
        </w:rPr>
        <w:t>25</w:t>
      </w:r>
      <w:r>
        <w:rPr>
          <w:rFonts w:ascii="Times New Roman" w:eastAsia="宋体" w:hAnsi="Times New Roman"/>
        </w:rPr>
        <w:t>条关系，转换为</w:t>
      </w:r>
      <w:r>
        <w:rPr>
          <w:rFonts w:ascii="Times New Roman" w:eastAsia="宋体" w:hAnsi="Times New Roman"/>
        </w:rPr>
        <w:t>53</w:t>
      </w:r>
      <w:r>
        <w:rPr>
          <w:rFonts w:ascii="Times New Roman" w:eastAsia="宋体" w:hAnsi="Times New Roman"/>
        </w:rPr>
        <w:t>条初始事实。</w:t>
      </w:r>
      <w:r>
        <w:rPr>
          <w:rFonts w:ascii="Times New Roman" w:eastAsia="宋体" w:hAnsi="Times New Roman"/>
        </w:rPr>
        <w:t>15</w:t>
      </w:r>
      <w:r>
        <w:rPr>
          <w:rFonts w:ascii="Times New Roman" w:eastAsia="宋体" w:hAnsi="Times New Roman"/>
        </w:rPr>
        <w:t>条规则经</w:t>
      </w:r>
      <w:r>
        <w:rPr>
          <w:rFonts w:ascii="Times New Roman" w:eastAsia="宋体" w:hAnsi="Times New Roman"/>
        </w:rPr>
        <w:t>17</w:t>
      </w:r>
      <w:r>
        <w:rPr>
          <w:rFonts w:ascii="Times New Roman" w:eastAsia="宋体" w:hAnsi="Times New Roman"/>
        </w:rPr>
        <w:t>个推理周期新增</w:t>
      </w:r>
      <w:r>
        <w:rPr>
          <w:rFonts w:ascii="Times New Roman" w:eastAsia="宋体" w:hAnsi="Times New Roman"/>
        </w:rPr>
        <w:t>82</w:t>
      </w:r>
      <w:r>
        <w:rPr>
          <w:rFonts w:ascii="Times New Roman" w:eastAsia="宋体" w:hAnsi="Times New Roman"/>
        </w:rPr>
        <w:t>条事实，最终形成</w:t>
      </w:r>
      <w:r>
        <w:rPr>
          <w:rFonts w:ascii="Times New Roman" w:eastAsia="宋体" w:hAnsi="Times New Roman"/>
        </w:rPr>
        <w:t>135</w:t>
      </w:r>
      <w:r>
        <w:rPr>
          <w:rFonts w:ascii="Times New Roman" w:eastAsia="宋体" w:hAnsi="Times New Roman"/>
        </w:rPr>
        <w:t>条事实，回写</w:t>
      </w:r>
      <w:r>
        <w:rPr>
          <w:rFonts w:ascii="Times New Roman" w:eastAsia="宋体" w:hAnsi="Times New Roman"/>
        </w:rPr>
        <w:t>9</w:t>
      </w:r>
      <w:r>
        <w:rPr>
          <w:rFonts w:ascii="Times New Roman" w:eastAsia="宋体" w:hAnsi="Times New Roman"/>
        </w:rPr>
        <w:t>条自然人控制关系，并为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/>
        </w:rPr>
        <w:t>家企业标记待核查线索。恒通科技案例表明，规则中的</w:t>
      </w:r>
      <w:r>
        <w:rPr>
          <w:rFonts w:ascii="Times New Roman" w:eastAsia="宋体" w:hAnsi="Times New Roman"/>
        </w:rPr>
        <w:t>55%</w:t>
      </w:r>
      <w:r>
        <w:rPr>
          <w:rFonts w:ascii="Times New Roman" w:eastAsia="宋体" w:hAnsi="Times New Roman"/>
        </w:rPr>
        <w:t>可支配股份与王建国</w:t>
      </w:r>
      <w:r>
        <w:rPr>
          <w:rFonts w:ascii="Times New Roman" w:eastAsia="宋体" w:hAnsi="Times New Roman"/>
        </w:rPr>
        <w:t>34.2%</w:t>
      </w:r>
      <w:r>
        <w:rPr>
          <w:rFonts w:ascii="Times New Roman" w:eastAsia="宋体" w:hAnsi="Times New Roman"/>
        </w:rPr>
        <w:t>的穿透经济持股具有不同含义。</w:t>
      </w:r>
      <w:r>
        <w:rPr>
          <w:rFonts w:ascii="Times New Roman" w:eastAsia="宋体" w:hAnsi="Times New Roman"/>
        </w:rPr>
        <w:t>11</w:t>
      </w:r>
      <w:r>
        <w:rPr>
          <w:rFonts w:ascii="Times New Roman" w:eastAsia="宋体" w:hAnsi="Times New Roman"/>
        </w:rPr>
        <w:t>项功能测试全部通过；</w:t>
      </w:r>
      <w:r>
        <w:rPr>
          <w:rFonts w:ascii="Times New Roman" w:eastAsia="宋体" w:hAnsi="Times New Roman"/>
        </w:rPr>
        <w:t>430</w:t>
      </w:r>
      <w:r>
        <w:rPr>
          <w:rFonts w:ascii="Times New Roman" w:eastAsia="宋体" w:hAnsi="Times New Roman"/>
        </w:rPr>
        <w:t>个实体的历史基准在核对查询结果等价后比较图遍历与两类</w:t>
      </w:r>
      <w:r>
        <w:rPr>
          <w:rFonts w:ascii="Times New Roman" w:eastAsia="宋体" w:hAnsi="Times New Roman"/>
        </w:rPr>
        <w:t>SQL</w:t>
      </w:r>
      <w:r>
        <w:rPr>
          <w:rFonts w:ascii="Times New Roman" w:eastAsia="宋体" w:hAnsi="Times New Roman"/>
        </w:rPr>
        <w:t>实现。系统能够给出可追溯的证据链，但简化规则和虚构样本不足以支持真实企业风险或法律认定。</w:t>
      </w:r>
    </w:p>
    <w:p w14:paraId="68BCD4F6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三、关键词</w:t>
      </w:r>
    </w:p>
    <w:p w14:paraId="2F42E05F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知识图谱；产生式推理；框架表示；股权穿透；风险核查</w:t>
      </w:r>
    </w:p>
    <w:p w14:paraId="33A671C8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四、背景与目标</w:t>
      </w:r>
    </w:p>
    <w:p w14:paraId="1367D442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企业授信、投资和尽职调查需要识别最终控制人、交易双方的关联关系以及担保链上的相互依赖。单独查看工商登记表只能看到局部股东；多层持股、交易和担保混合后，人工核查容易遗漏跨企业联系。同名实体、历史变更和缺失资料也会影响结论的可靠性。</w:t>
      </w:r>
    </w:p>
    <w:p w14:paraId="1146B036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ICIJ Offshore Leaks</w:t>
      </w:r>
      <w:r>
        <w:rPr>
          <w:rFonts w:ascii="Times New Roman" w:eastAsia="宋体" w:hAnsi="Times New Roman"/>
        </w:rPr>
        <w:t>公开数据库提供了关系追踪的行业参照。其说明页展示企业、人员及中介之间的联系，指出部分企业又是其他企业的股东，并提醒资料可能重复或变化，入库</w:t>
      </w:r>
      <w:r>
        <w:rPr>
          <w:rFonts w:ascii="Times New Roman" w:eastAsia="宋体" w:hAnsi="Times New Roman"/>
        </w:rPr>
        <w:lastRenderedPageBreak/>
        <w:t>本身不代表违法</w:t>
      </w:r>
      <w:r>
        <w:rPr>
          <w:rFonts w:ascii="Times New Roman" w:eastAsia="宋体" w:hAnsi="Times New Roman"/>
        </w:rPr>
        <w:t>[1]</w:t>
      </w:r>
      <w:r>
        <w:rPr>
          <w:rFonts w:ascii="Times New Roman" w:eastAsia="宋体" w:hAnsi="Times New Roman"/>
        </w:rPr>
        <w:t>。本项目借鉴其以实体关系网络追溯企业联系的思路，使用自制虚构数据，不涉及导入该数据库的真实个人记录，也不复现其内部系统。</w:t>
      </w:r>
    </w:p>
    <w:p w14:paraId="5FE2BEFD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项目目标包括：用三种表示组织同一份知识；通过规则与图算法解释控制、交易和环路线索；把推导结果写回图谱及企业档案；通过正例、反例、边界条件和等价查询验证实现。系统输出供进一步核查的线索与依据，业务判断仍需结合原始凭证。</w:t>
      </w:r>
    </w:p>
    <w:p w14:paraId="18C5D2AB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五、相关技术与工具准备</w:t>
      </w:r>
    </w:p>
    <w:p w14:paraId="782FAD07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知识图谱以实体、关系和属性组织知识</w:t>
      </w:r>
      <w:r>
        <w:rPr>
          <w:rFonts w:ascii="Times New Roman" w:eastAsia="宋体" w:hAnsi="Times New Roman"/>
        </w:rPr>
        <w:t>[2,7]</w:t>
      </w:r>
      <w:r>
        <w:rPr>
          <w:rFonts w:ascii="Times New Roman" w:eastAsia="宋体" w:hAnsi="Times New Roman"/>
        </w:rPr>
        <w:t>。本项目使用</w:t>
      </w:r>
      <w:proofErr w:type="spellStart"/>
      <w:r>
        <w:rPr>
          <w:rFonts w:ascii="Times New Roman" w:eastAsia="宋体" w:hAnsi="Times New Roman"/>
        </w:rPr>
        <w:t>NetworkX</w:t>
      </w:r>
      <w:proofErr w:type="spellEnd"/>
      <w:r>
        <w:rPr>
          <w:rFonts w:ascii="Times New Roman" w:eastAsia="宋体" w:hAnsi="Times New Roman"/>
        </w:rPr>
        <w:t>有向多重图</w:t>
      </w:r>
      <w:r>
        <w:rPr>
          <w:rFonts w:ascii="Times New Roman" w:eastAsia="宋体" w:hAnsi="Times New Roman"/>
        </w:rPr>
        <w:t>[5]</w:t>
      </w:r>
      <w:r>
        <w:rPr>
          <w:rFonts w:ascii="Times New Roman" w:eastAsia="宋体" w:hAnsi="Times New Roman"/>
        </w:rPr>
        <w:t>，使同一对实体能够同时具有持股、担保和交易关系；模式层约束边的起止类型及属性。图谱适合多跳追踪和环路检测，但实体身份、证据来源和时间版本需要另行治理。</w:t>
      </w:r>
    </w:p>
    <w:p w14:paraId="580DED9D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谓词把关系写成</w:t>
      </w:r>
      <w:r>
        <w:rPr>
          <w:rFonts w:ascii="Times New Roman" w:eastAsia="宋体" w:hAnsi="Times New Roman"/>
        </w:rPr>
        <w:t>Holds(P1,C1,</w:t>
      </w:r>
      <w:proofErr w:type="gramStart"/>
      <w:r>
        <w:rPr>
          <w:rFonts w:ascii="Times New Roman" w:eastAsia="宋体" w:hAnsi="Times New Roman"/>
        </w:rPr>
        <w:t>0.8)</w:t>
      </w:r>
      <w:proofErr w:type="gramEnd"/>
      <w:r>
        <w:rPr>
          <w:rFonts w:ascii="Times New Roman" w:eastAsia="宋体" w:hAnsi="Times New Roman"/>
        </w:rPr>
        <w:t>等事实，产生式规则使用</w:t>
      </w:r>
      <w:r>
        <w:rPr>
          <w:rFonts w:ascii="Times New Roman" w:eastAsia="宋体" w:hAnsi="Times New Roman"/>
        </w:rPr>
        <w:t>IF</w:t>
      </w:r>
      <w:r>
        <w:rPr>
          <w:rFonts w:ascii="Times New Roman" w:eastAsia="宋体" w:hAnsi="Times New Roman"/>
        </w:rPr>
        <w:t>前提</w:t>
      </w:r>
      <w:r>
        <w:rPr>
          <w:rFonts w:ascii="Times New Roman" w:eastAsia="宋体" w:hAnsi="Times New Roman"/>
        </w:rPr>
        <w:t>THEN</w:t>
      </w:r>
      <w:r>
        <w:rPr>
          <w:rFonts w:ascii="Times New Roman" w:eastAsia="宋体" w:hAnsi="Times New Roman"/>
        </w:rPr>
        <w:t>结论</w:t>
      </w:r>
      <w:r>
        <w:rPr>
          <w:rFonts w:ascii="Times New Roman" w:eastAsia="宋体" w:hAnsi="Times New Roman"/>
        </w:rPr>
        <w:t>[3]</w:t>
      </w:r>
      <w:r>
        <w:rPr>
          <w:rFonts w:ascii="Times New Roman" w:eastAsia="宋体" w:hAnsi="Times New Roman"/>
        </w:rPr>
        <w:t>。推理机通过变量绑定和合一匹配规则，按优先级解决冲突，并记录新结论的规则与前提。这种表示适合明确、可审计的业务条件；规则和匹配组合增多会增加计算成本，缺少某条事实也不能直接当作其否定。</w:t>
      </w:r>
    </w:p>
    <w:p w14:paraId="2961747B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框架通过企业、上市公司和担保公司之间的</w:t>
      </w:r>
      <w:proofErr w:type="spellStart"/>
      <w:r>
        <w:rPr>
          <w:rFonts w:ascii="Times New Roman" w:eastAsia="宋体" w:hAnsi="Times New Roman"/>
        </w:rPr>
        <w:t>is_a</w:t>
      </w:r>
      <w:proofErr w:type="spellEnd"/>
      <w:r>
        <w:rPr>
          <w:rFonts w:ascii="Times New Roman" w:eastAsia="宋体" w:hAnsi="Times New Roman"/>
        </w:rPr>
        <w:t>继承共享槽值</w:t>
      </w:r>
      <w:r>
        <w:rPr>
          <w:rFonts w:ascii="Times New Roman" w:eastAsia="宋体" w:hAnsi="Times New Roman"/>
        </w:rPr>
        <w:t>[4]</w:t>
      </w:r>
      <w:r>
        <w:rPr>
          <w:rFonts w:ascii="Times New Roman" w:eastAsia="宋体" w:hAnsi="Times New Roman"/>
        </w:rPr>
        <w:t>，便于组织企业档案、缺省属性与取值约束。它适合读取单个对象的属性，不承担全局路径搜索。三种表示以稳定实体</w:t>
      </w:r>
      <w:r>
        <w:rPr>
          <w:rFonts w:ascii="Times New Roman" w:eastAsia="宋体" w:hAnsi="Times New Roman"/>
        </w:rPr>
        <w:t>ID</w:t>
      </w:r>
      <w:r>
        <w:rPr>
          <w:rFonts w:ascii="Times New Roman" w:eastAsia="宋体" w:hAnsi="Times New Roman"/>
        </w:rPr>
        <w:t>衔接：图谱提供关系结构，规则生成结论，框架保存继承属性和结果。缺省槽值只是程序的初始设置，不是已经核实的企业状态。</w:t>
      </w:r>
    </w:p>
    <w:p w14:paraId="1ABE615C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实现采用</w:t>
      </w:r>
      <w:r>
        <w:rPr>
          <w:rFonts w:ascii="Times New Roman" w:eastAsia="宋体" w:hAnsi="Times New Roman"/>
        </w:rPr>
        <w:t>Python</w:t>
      </w:r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NetworkX</w:t>
      </w:r>
      <w:proofErr w:type="spellEnd"/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SQLite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Matplotlib</w:t>
      </w:r>
      <w:r>
        <w:rPr>
          <w:rFonts w:ascii="Times New Roman" w:eastAsia="宋体" w:hAnsi="Times New Roman"/>
        </w:rPr>
        <w:t>及可选</w:t>
      </w:r>
      <w:proofErr w:type="spellStart"/>
      <w:r>
        <w:rPr>
          <w:rFonts w:ascii="Times New Roman" w:eastAsia="宋体" w:hAnsi="Times New Roman"/>
        </w:rPr>
        <w:t>PyVis</w:t>
      </w:r>
      <w:proofErr w:type="spellEnd"/>
      <w:r>
        <w:rPr>
          <w:rFonts w:ascii="Times New Roman" w:eastAsia="宋体" w:hAnsi="Times New Roman"/>
        </w:rPr>
        <w:t>，无模型训练或</w:t>
      </w:r>
      <w:r>
        <w:rPr>
          <w:rFonts w:ascii="Times New Roman" w:eastAsia="宋体" w:hAnsi="Times New Roman"/>
        </w:rPr>
        <w:t>GPU</w:t>
      </w:r>
      <w:r>
        <w:rPr>
          <w:rFonts w:ascii="Times New Roman" w:eastAsia="宋体" w:hAnsi="Times New Roman"/>
        </w:rPr>
        <w:t>需求。历史效率实验的环境为</w:t>
      </w:r>
      <w:r>
        <w:rPr>
          <w:rFonts w:ascii="Times New Roman" w:eastAsia="宋体" w:hAnsi="Times New Roman"/>
        </w:rPr>
        <w:t>Windows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Python 3.13.1</w:t>
      </w:r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NetworkX</w:t>
      </w:r>
      <w:proofErr w:type="spellEnd"/>
      <w:r>
        <w:rPr>
          <w:rFonts w:ascii="Times New Roman" w:eastAsia="宋体" w:hAnsi="Times New Roman"/>
        </w:rPr>
        <w:t xml:space="preserve"> 3.5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SQLite 3.45.3</w:t>
      </w:r>
      <w:r>
        <w:rPr>
          <w:rFonts w:ascii="Times New Roman" w:eastAsia="宋体" w:hAnsi="Times New Roman"/>
        </w:rPr>
        <w:t>。示例数据通过</w:t>
      </w:r>
      <w:r>
        <w:rPr>
          <w:rFonts w:ascii="Times New Roman" w:eastAsia="宋体" w:hAnsi="Times New Roman"/>
        </w:rPr>
        <w:t>UTF-8 BOM</w:t>
      </w:r>
      <w:r>
        <w:rPr>
          <w:rFonts w:ascii="Times New Roman" w:eastAsia="宋体" w:hAnsi="Times New Roman"/>
        </w:rPr>
        <w:t>编码的</w:t>
      </w:r>
      <w:r>
        <w:rPr>
          <w:rFonts w:ascii="Times New Roman" w:eastAsia="宋体" w:hAnsi="Times New Roman"/>
        </w:rPr>
        <w:t>CSV</w:t>
      </w:r>
      <w:r>
        <w:rPr>
          <w:rFonts w:ascii="Times New Roman" w:eastAsia="宋体" w:hAnsi="Times New Roman"/>
        </w:rPr>
        <w:t>输入；独立的效率实验固定随机种子</w:t>
      </w:r>
      <w:r>
        <w:rPr>
          <w:rFonts w:ascii="Times New Roman" w:eastAsia="宋体" w:hAnsi="Times New Roman"/>
        </w:rPr>
        <w:t>42</w:t>
      </w:r>
      <w:r>
        <w:rPr>
          <w:rFonts w:ascii="Times New Roman" w:eastAsia="宋体" w:hAnsi="Times New Roman"/>
        </w:rPr>
        <w:t>，以便核对数据和查询结果。</w:t>
      </w:r>
    </w:p>
    <w:p w14:paraId="14A9D5A0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六、算法设计与实现</w:t>
      </w:r>
    </w:p>
    <w:p w14:paraId="52750E60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t>数据建模与处理流程</w:t>
      </w:r>
    </w:p>
    <w:p w14:paraId="6FB55C01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系统依次执行数据读取、模式校验、图谱转谓词、正向规则推理、路径与环路分析、结论回写。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名自然人与</w:t>
      </w:r>
      <w:r>
        <w:rPr>
          <w:rFonts w:ascii="Times New Roman" w:eastAsia="宋体" w:hAnsi="Times New Roman"/>
        </w:rPr>
        <w:t>12</w:t>
      </w:r>
      <w:r>
        <w:rPr>
          <w:rFonts w:ascii="Times New Roman" w:eastAsia="宋体" w:hAnsi="Times New Roman"/>
        </w:rPr>
        <w:t>家企业通过稳定</w:t>
      </w:r>
      <w:r>
        <w:rPr>
          <w:rFonts w:ascii="Times New Roman" w:eastAsia="宋体" w:hAnsi="Times New Roman"/>
        </w:rPr>
        <w:t>ID</w:t>
      </w:r>
      <w:r>
        <w:rPr>
          <w:rFonts w:ascii="Times New Roman" w:eastAsia="宋体" w:hAnsi="Times New Roman"/>
        </w:rPr>
        <w:t>连接，</w:t>
      </w:r>
      <w:r>
        <w:rPr>
          <w:rFonts w:ascii="Times New Roman" w:eastAsia="宋体" w:hAnsi="Times New Roman"/>
        </w:rPr>
        <w:t>25</w:t>
      </w:r>
      <w:r>
        <w:rPr>
          <w:rFonts w:ascii="Times New Roman" w:eastAsia="宋体" w:hAnsi="Times New Roman"/>
        </w:rPr>
        <w:t>条原始边由</w:t>
      </w:r>
      <w:r>
        <w:rPr>
          <w:rFonts w:ascii="Times New Roman" w:eastAsia="宋体" w:hAnsi="Times New Roman"/>
        </w:rPr>
        <w:t>17</w:t>
      </w:r>
      <w:r>
        <w:rPr>
          <w:rFonts w:ascii="Times New Roman" w:eastAsia="宋体" w:hAnsi="Times New Roman"/>
        </w:rPr>
        <w:t>条持股、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条担保、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条交易和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条亲属关系组成。持股比例采用</w:t>
      </w:r>
      <w:r>
        <w:rPr>
          <w:rFonts w:ascii="Times New Roman" w:eastAsia="宋体" w:hAnsi="Times New Roman"/>
        </w:rPr>
        <w:t>0</w:t>
      </w:r>
      <w:r>
        <w:rPr>
          <w:rFonts w:ascii="Times New Roman" w:eastAsia="宋体" w:hAnsi="Times New Roman"/>
        </w:rPr>
        <w:t>到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的小数，担保和交易金额单位为万元。加上自然人、企业及企业分类事实后，初始事实为</w:t>
      </w:r>
      <w:r>
        <w:rPr>
          <w:rFonts w:ascii="Times New Roman" w:eastAsia="宋体" w:hAnsi="Times New Roman"/>
        </w:rPr>
        <w:t>53</w:t>
      </w:r>
      <w:r>
        <w:rPr>
          <w:rFonts w:ascii="Times New Roman" w:eastAsia="宋体" w:hAnsi="Times New Roman"/>
        </w:rPr>
        <w:t>条；事实数与图谱边数的统计范围不同。</w:t>
      </w:r>
    </w:p>
    <w:p w14:paraId="1B97781E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lastRenderedPageBreak/>
        <w:t>规则调度与证据记录</w:t>
      </w:r>
    </w:p>
    <w:p w14:paraId="1CE7E427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规则库共</w:t>
      </w:r>
      <w:r>
        <w:rPr>
          <w:rFonts w:ascii="Times New Roman" w:eastAsia="宋体" w:hAnsi="Times New Roman"/>
        </w:rPr>
        <w:t>15</w:t>
      </w:r>
      <w:r>
        <w:rPr>
          <w:rFonts w:ascii="Times New Roman" w:eastAsia="宋体" w:hAnsi="Times New Roman"/>
        </w:rPr>
        <w:t>条。每轮匹配前提并形成冲突集，优先级依次为控制规则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、自然人控制人识别及关系可达规则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、风险预警规则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、风险定级规则</w:t>
      </w:r>
      <w:r>
        <w:rPr>
          <w:rFonts w:ascii="Times New Roman" w:eastAsia="宋体" w:hAnsi="Times New Roman"/>
        </w:rPr>
        <w:t>0</w:t>
      </w:r>
      <w:r>
        <w:rPr>
          <w:rFonts w:ascii="Times New Roman" w:eastAsia="宋体" w:hAnsi="Times New Roman"/>
        </w:rPr>
        <w:t>。同优先级按规则顺序选择，每个周期执行被选规则的全部适用实例。工作记忆用集合去重，无法产生新事实时停止；本例</w:t>
      </w:r>
      <w:r>
        <w:rPr>
          <w:rFonts w:ascii="Times New Roman" w:eastAsia="宋体" w:hAnsi="Times New Roman"/>
        </w:rPr>
        <w:t>17</w:t>
      </w:r>
      <w:r>
        <w:rPr>
          <w:rFonts w:ascii="Times New Roman" w:eastAsia="宋体" w:hAnsi="Times New Roman"/>
        </w:rPr>
        <w:t>个周期共新增</w:t>
      </w:r>
      <w:r>
        <w:rPr>
          <w:rFonts w:ascii="Times New Roman" w:eastAsia="宋体" w:hAnsi="Times New Roman"/>
        </w:rPr>
        <w:t>82</w:t>
      </w:r>
      <w:r>
        <w:rPr>
          <w:rFonts w:ascii="Times New Roman" w:eastAsia="宋体" w:hAnsi="Times New Roman"/>
        </w:rPr>
        <w:t>条事实，周期数并不等于新增事实数。</w:t>
      </w:r>
    </w:p>
    <w:p w14:paraId="07286A10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解释模块以</w:t>
      </w:r>
      <w:r>
        <w:rPr>
          <w:rFonts w:ascii="Times New Roman" w:eastAsia="宋体" w:hAnsi="Times New Roman"/>
        </w:rPr>
        <w:t>why</w:t>
      </w:r>
      <w:r>
        <w:rPr>
          <w:rFonts w:ascii="Times New Roman" w:eastAsia="宋体" w:hAnsi="Times New Roman"/>
        </w:rPr>
        <w:t>记录结论对应的规则和前提，以</w:t>
      </w:r>
      <w:r>
        <w:rPr>
          <w:rFonts w:ascii="Times New Roman" w:eastAsia="宋体" w:hAnsi="Times New Roman"/>
        </w:rPr>
        <w:t>trace</w:t>
      </w:r>
      <w:r>
        <w:rPr>
          <w:rFonts w:ascii="Times New Roman" w:eastAsia="宋体" w:hAnsi="Times New Roman"/>
        </w:rPr>
        <w:t>保存执行过程，支持沿依赖关系回溯证据。该引擎在一次运行中单调增加事实，尚不支持在原始证据被删除或修改后自动撤回旧结论。</w:t>
      </w:r>
    </w:p>
    <w:p w14:paraId="34799CA3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t>恒通科技的控制关系推导</w:t>
      </w:r>
    </w:p>
    <w:p w14:paraId="387AF53A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王建国（</w:t>
      </w:r>
      <w:r>
        <w:rPr>
          <w:rFonts w:ascii="Times New Roman" w:eastAsia="宋体" w:hAnsi="Times New Roman"/>
        </w:rPr>
        <w:t>P1</w:t>
      </w:r>
      <w:r>
        <w:rPr>
          <w:rFonts w:ascii="Times New Roman" w:eastAsia="宋体" w:hAnsi="Times New Roman"/>
        </w:rPr>
        <w:t>）持华鑫控股（</w:t>
      </w:r>
      <w:r>
        <w:rPr>
          <w:rFonts w:ascii="Times New Roman" w:eastAsia="宋体" w:hAnsi="Times New Roman"/>
        </w:rPr>
        <w:t>C1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80%</w:t>
      </w:r>
      <w:r>
        <w:rPr>
          <w:rFonts w:ascii="Times New Roman" w:eastAsia="宋体" w:hAnsi="Times New Roman"/>
        </w:rPr>
        <w:t>，华鑫控股持华鑫实业（</w:t>
      </w:r>
      <w:r>
        <w:rPr>
          <w:rFonts w:ascii="Times New Roman" w:eastAsia="宋体" w:hAnsi="Times New Roman"/>
        </w:rPr>
        <w:t>C2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65%</w:t>
      </w:r>
      <w:r>
        <w:rPr>
          <w:rFonts w:ascii="Times New Roman" w:eastAsia="宋体" w:hAnsi="Times New Roman"/>
        </w:rPr>
        <w:t>；华鑫控股和华鑫实业分别持恒通科技（</w:t>
      </w:r>
      <w:r>
        <w:rPr>
          <w:rFonts w:ascii="Times New Roman" w:eastAsia="宋体" w:hAnsi="Times New Roman"/>
        </w:rPr>
        <w:t>C3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20%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35%</w:t>
      </w:r>
      <w:r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</w:rPr>
        <w:t>R1</w:t>
      </w:r>
      <w:r>
        <w:rPr>
          <w:rFonts w:ascii="Times New Roman" w:eastAsia="宋体" w:hAnsi="Times New Roman"/>
        </w:rPr>
        <w:t>根据直接持股严格大于</w:t>
      </w:r>
      <w:r>
        <w:rPr>
          <w:rFonts w:ascii="Times New Roman" w:eastAsia="宋体" w:hAnsi="Times New Roman"/>
        </w:rPr>
        <w:t>50%</w:t>
      </w:r>
      <w:r>
        <w:rPr>
          <w:rFonts w:ascii="Times New Roman" w:eastAsia="宋体" w:hAnsi="Times New Roman"/>
        </w:rPr>
        <w:t>，先推出王建国控制华鑫控股、华鑫控股控制华鑫实业。</w:t>
      </w:r>
      <w:r>
        <w:rPr>
          <w:rFonts w:ascii="Times New Roman" w:eastAsia="宋体" w:hAnsi="Times New Roman"/>
        </w:rPr>
        <w:t>R4</w:t>
      </w:r>
      <w:r>
        <w:rPr>
          <w:rFonts w:ascii="Times New Roman" w:eastAsia="宋体" w:hAnsi="Times New Roman"/>
        </w:rPr>
        <w:t>利用后一控制关系，将华鑫控股自身</w:t>
      </w:r>
      <w:r>
        <w:rPr>
          <w:rFonts w:ascii="Times New Roman" w:eastAsia="宋体" w:hAnsi="Times New Roman"/>
        </w:rPr>
        <w:t>20%</w:t>
      </w:r>
      <w:r>
        <w:rPr>
          <w:rFonts w:ascii="Times New Roman" w:eastAsia="宋体" w:hAnsi="Times New Roman"/>
        </w:rPr>
        <w:t>与其所控华鑫实业</w:t>
      </w:r>
      <w:r>
        <w:rPr>
          <w:rFonts w:ascii="Times New Roman" w:eastAsia="宋体" w:hAnsi="Times New Roman"/>
        </w:rPr>
        <w:t>35%</w:t>
      </w:r>
      <w:r>
        <w:rPr>
          <w:rFonts w:ascii="Times New Roman" w:eastAsia="宋体" w:hAnsi="Times New Roman"/>
        </w:rPr>
        <w:t>合计为</w:t>
      </w:r>
      <w:r>
        <w:rPr>
          <w:rFonts w:ascii="Times New Roman" w:eastAsia="宋体" w:hAnsi="Times New Roman"/>
        </w:rPr>
        <w:t>55%</w:t>
      </w:r>
      <w:r>
        <w:rPr>
          <w:rFonts w:ascii="Times New Roman" w:eastAsia="宋体" w:hAnsi="Times New Roman"/>
        </w:rPr>
        <w:t>，据此推出华鑫控股控制恒通科技。</w:t>
      </w:r>
      <w:r>
        <w:rPr>
          <w:rFonts w:ascii="Times New Roman" w:eastAsia="宋体" w:hAnsi="Times New Roman"/>
        </w:rPr>
        <w:t>R5</w:t>
      </w:r>
      <w:r>
        <w:rPr>
          <w:rFonts w:ascii="Times New Roman" w:eastAsia="宋体" w:hAnsi="Times New Roman"/>
        </w:rPr>
        <w:t>沿控制链传递到王建国，</w:t>
      </w:r>
      <w:r>
        <w:rPr>
          <w:rFonts w:ascii="Times New Roman" w:eastAsia="宋体" w:hAnsi="Times New Roman"/>
        </w:rPr>
        <w:t>R6</w:t>
      </w:r>
      <w:r>
        <w:rPr>
          <w:rFonts w:ascii="Times New Roman" w:eastAsia="宋体" w:hAnsi="Times New Roman"/>
        </w:rPr>
        <w:t>再结合</w:t>
      </w:r>
      <w:r>
        <w:rPr>
          <w:rFonts w:ascii="Times New Roman" w:eastAsia="宋体" w:hAnsi="Times New Roman"/>
        </w:rPr>
        <w:t>Person</w:t>
      </w:r>
      <w:proofErr w:type="gramStart"/>
      <w:r>
        <w:rPr>
          <w:rFonts w:ascii="Times New Roman" w:eastAsia="宋体" w:hAnsi="Times New Roman"/>
        </w:rPr>
        <w:t>(P1)</w:t>
      </w:r>
      <w:proofErr w:type="gramEnd"/>
      <w:r>
        <w:rPr>
          <w:rFonts w:ascii="Times New Roman" w:eastAsia="宋体" w:hAnsi="Times New Roman"/>
        </w:rPr>
        <w:t>标记其为恒通科技的规则推导实际控制人。</w:t>
      </w:r>
    </w:p>
    <w:p w14:paraId="601E8E01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上述</w:t>
      </w:r>
      <w:r>
        <w:rPr>
          <w:rFonts w:ascii="Times New Roman" w:eastAsia="宋体" w:hAnsi="Times New Roman"/>
        </w:rPr>
        <w:t>55%</w:t>
      </w:r>
      <w:r>
        <w:rPr>
          <w:rFonts w:ascii="Times New Roman" w:eastAsia="宋体" w:hAnsi="Times New Roman"/>
        </w:rPr>
        <w:t>表示简化规则下可支配的股份合计，不是王建国的经济持股。</w:t>
      </w:r>
      <w:r>
        <w:rPr>
          <w:rFonts w:ascii="Times New Roman" w:eastAsia="宋体" w:hAnsi="Times New Roman"/>
        </w:rPr>
        <w:t>R4</w:t>
      </w:r>
      <w:r>
        <w:rPr>
          <w:rFonts w:ascii="Times New Roman" w:eastAsia="宋体" w:hAnsi="Times New Roman"/>
        </w:rPr>
        <w:t>一次匹配只合并自身与一个受控子公司的持股，尚未实现多个受控主体任意汇总，也未刻画投票权差异及复杂控制协议。</w:t>
      </w:r>
    </w:p>
    <w:p w14:paraId="0F3AB7B3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t>穿透经济持股与路径边界</w:t>
      </w:r>
    </w:p>
    <w:p w14:paraId="5AA600C1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穿透持股按一条路径中的比例连乘，再对不同简单路径求和。王建国经华鑫控股直接到恒通科技的贡献为</w:t>
      </w:r>
      <w:r>
        <w:rPr>
          <w:rFonts w:ascii="Times New Roman" w:eastAsia="宋体" w:hAnsi="Times New Roman"/>
        </w:rPr>
        <w:t>80%×20%</w:t>
      </w:r>
      <w:r>
        <w:rPr>
          <w:rFonts w:ascii="Times New Roman" w:eastAsia="宋体" w:hAnsi="Times New Roman"/>
        </w:rPr>
        <w:t>＝</w:t>
      </w:r>
      <w:r>
        <w:rPr>
          <w:rFonts w:ascii="Times New Roman" w:eastAsia="宋体" w:hAnsi="Times New Roman"/>
        </w:rPr>
        <w:t>16%</w:t>
      </w:r>
      <w:r>
        <w:rPr>
          <w:rFonts w:ascii="Times New Roman" w:eastAsia="宋体" w:hAnsi="Times New Roman"/>
        </w:rPr>
        <w:t>；经华鑫控股、华鑫实业到恒通科技的贡献为</w:t>
      </w:r>
      <w:r>
        <w:rPr>
          <w:rFonts w:ascii="Times New Roman" w:eastAsia="宋体" w:hAnsi="Times New Roman"/>
        </w:rPr>
        <w:t>80%×65%×35%</w:t>
      </w:r>
      <w:r>
        <w:rPr>
          <w:rFonts w:ascii="Times New Roman" w:eastAsia="宋体" w:hAnsi="Times New Roman"/>
        </w:rPr>
        <w:t>＝</w:t>
      </w:r>
      <w:r>
        <w:rPr>
          <w:rFonts w:ascii="Times New Roman" w:eastAsia="宋体" w:hAnsi="Times New Roman"/>
        </w:rPr>
        <w:t>18.2%</w:t>
      </w:r>
      <w:r>
        <w:rPr>
          <w:rFonts w:ascii="Times New Roman" w:eastAsia="宋体" w:hAnsi="Times New Roman"/>
        </w:rPr>
        <w:t>，合计</w:t>
      </w:r>
      <w:r>
        <w:rPr>
          <w:rFonts w:ascii="Times New Roman" w:eastAsia="宋体" w:hAnsi="Times New Roman"/>
        </w:rPr>
        <w:t>34.2%</w:t>
      </w:r>
      <w:r>
        <w:rPr>
          <w:rFonts w:ascii="Times New Roman" w:eastAsia="宋体" w:hAnsi="Times New Roman"/>
        </w:rPr>
        <w:t>。因此，</w:t>
      </w:r>
      <w:r>
        <w:rPr>
          <w:rFonts w:ascii="Times New Roman" w:eastAsia="宋体" w:hAnsi="Times New Roman"/>
        </w:rPr>
        <w:t>34.2%</w:t>
      </w:r>
      <w:r>
        <w:rPr>
          <w:rFonts w:ascii="Times New Roman" w:eastAsia="宋体" w:hAnsi="Times New Roman"/>
        </w:rPr>
        <w:t>的经济权益与</w:t>
      </w:r>
      <w:r>
        <w:rPr>
          <w:rFonts w:ascii="Times New Roman" w:eastAsia="宋体" w:hAnsi="Times New Roman"/>
        </w:rPr>
        <w:t>55%</w:t>
      </w:r>
      <w:r>
        <w:rPr>
          <w:rFonts w:ascii="Times New Roman" w:eastAsia="宋体" w:hAnsi="Times New Roman"/>
        </w:rPr>
        <w:t>可支配股份所支持的控制结论可以同时成立。</w:t>
      </w:r>
    </w:p>
    <w:p w14:paraId="2D77C4D4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DFS</w:t>
      </w:r>
      <w:r>
        <w:rPr>
          <w:rFonts w:ascii="Times New Roman" w:eastAsia="宋体" w:hAnsi="Times New Roman"/>
        </w:rPr>
        <w:t>向上遍历股东，维护路径内已访问节点，遇到重复节点或深度上限时停止。只有自然人能够进入最终候选集合，深度截断处的企业不视为自然人。</w:t>
      </w:r>
      <w:r>
        <w:rPr>
          <w:rFonts w:ascii="Times New Roman" w:eastAsia="宋体" w:hAnsi="Times New Roman"/>
        </w:rPr>
        <w:t>25%</w:t>
      </w:r>
      <w:r>
        <w:rPr>
          <w:rFonts w:ascii="Times New Roman" w:eastAsia="宋体" w:hAnsi="Times New Roman"/>
        </w:rPr>
        <w:t>为程序的自然人候选筛查阈值，不是完整法律标准。环内只枚举简单路径，结果不包含无限往返的经济权益贡献。核心累乘逻辑如下：</w:t>
      </w:r>
    </w:p>
    <w:p w14:paraId="66C6D540" w14:textId="77777777" w:rsidR="00C15297" w:rsidRDefault="00000000">
      <w:pPr>
        <w:keepLines/>
        <w:widowControl/>
        <w:spacing w:before="60" w:after="60" w:line="264" w:lineRule="auto"/>
        <w:ind w:left="240"/>
      </w:pPr>
      <w:r>
        <w:rPr>
          <w:rFonts w:ascii="Consolas" w:eastAsia="宋体" w:hAnsi="Consolas"/>
          <w:sz w:val="18"/>
        </w:rPr>
        <w:t>r = ratio * H[p][node]["ratio"]</w:t>
      </w:r>
      <w:r>
        <w:rPr>
          <w:rFonts w:ascii="Consolas" w:eastAsia="宋体" w:hAnsi="Consolas"/>
          <w:sz w:val="18"/>
        </w:rPr>
        <w:br/>
      </w:r>
      <w:proofErr w:type="spellStart"/>
      <w:proofErr w:type="gramStart"/>
      <w:r>
        <w:rPr>
          <w:rFonts w:ascii="Consolas" w:eastAsia="宋体" w:hAnsi="Consolas"/>
          <w:sz w:val="18"/>
        </w:rPr>
        <w:t>rows.append</w:t>
      </w:r>
      <w:proofErr w:type="spellEnd"/>
      <w:proofErr w:type="gramEnd"/>
      <w:r>
        <w:rPr>
          <w:rFonts w:ascii="Consolas" w:eastAsia="宋体" w:hAnsi="Consolas"/>
          <w:sz w:val="18"/>
        </w:rPr>
        <w:t>((p, r, depth + 1))</w:t>
      </w:r>
      <w:r>
        <w:rPr>
          <w:rFonts w:ascii="Consolas" w:eastAsia="宋体" w:hAnsi="Consolas"/>
          <w:sz w:val="18"/>
        </w:rPr>
        <w:br/>
      </w:r>
      <w:proofErr w:type="spellStart"/>
      <w:proofErr w:type="gramStart"/>
      <w:r>
        <w:rPr>
          <w:rFonts w:ascii="Consolas" w:eastAsia="宋体" w:hAnsi="Consolas"/>
          <w:sz w:val="18"/>
        </w:rPr>
        <w:t>dfs</w:t>
      </w:r>
      <w:proofErr w:type="spellEnd"/>
      <w:r>
        <w:rPr>
          <w:rFonts w:ascii="Consolas" w:eastAsia="宋体" w:hAnsi="Consolas"/>
          <w:sz w:val="18"/>
        </w:rPr>
        <w:t>(</w:t>
      </w:r>
      <w:proofErr w:type="gramEnd"/>
      <w:r>
        <w:rPr>
          <w:rFonts w:ascii="Consolas" w:eastAsia="宋体" w:hAnsi="Consolas"/>
          <w:sz w:val="18"/>
        </w:rPr>
        <w:t>p, r, depth + 1, path | {p})</w:t>
      </w:r>
    </w:p>
    <w:p w14:paraId="74EFE917" w14:textId="77777777" w:rsidR="00C15297" w:rsidRDefault="00000000">
      <w:pPr>
        <w:widowControl/>
        <w:spacing w:after="60" w:line="288" w:lineRule="auto"/>
      </w:pPr>
      <w:r>
        <w:rPr>
          <w:rFonts w:ascii="Times New Roman" w:eastAsia="宋体" w:hAnsi="Times New Roman"/>
          <w:sz w:val="18"/>
        </w:rPr>
        <w:t>代码摘自</w:t>
      </w:r>
      <w:r>
        <w:rPr>
          <w:rFonts w:ascii="Times New Roman" w:eastAsia="宋体" w:hAnsi="Times New Roman"/>
          <w:sz w:val="18"/>
        </w:rPr>
        <w:t>reasoning/graph_reasoning.py</w:t>
      </w:r>
      <w:r>
        <w:rPr>
          <w:rFonts w:ascii="Times New Roman" w:eastAsia="宋体" w:hAnsi="Times New Roman"/>
          <w:sz w:val="18"/>
        </w:rPr>
        <w:t>；类型判断、深度限制与重复节点检查由其外围逻辑完成。</w:t>
      </w:r>
    </w:p>
    <w:p w14:paraId="32CE0653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lastRenderedPageBreak/>
        <w:t>关联交易待核查的证据链</w:t>
      </w:r>
    </w:p>
    <w:p w14:paraId="24D57871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远航贸易向恒通科技交易</w:t>
      </w:r>
      <w:r>
        <w:rPr>
          <w:rFonts w:ascii="Times New Roman" w:eastAsia="宋体" w:hAnsi="Times New Roman"/>
        </w:rPr>
        <w:t>5000</w:t>
      </w:r>
      <w:r>
        <w:rPr>
          <w:rFonts w:ascii="Times New Roman" w:eastAsia="宋体" w:hAnsi="Times New Roman"/>
        </w:rPr>
        <w:t>万元。远航贸易一侧，王建国持股</w:t>
      </w:r>
      <w:r>
        <w:rPr>
          <w:rFonts w:ascii="Times New Roman" w:eastAsia="宋体" w:hAnsi="Times New Roman"/>
        </w:rPr>
        <w:t>30%</w:t>
      </w:r>
      <w:r>
        <w:rPr>
          <w:rFonts w:ascii="Times New Roman" w:eastAsia="宋体" w:hAnsi="Times New Roman"/>
        </w:rPr>
        <w:t>、李秀英持股</w:t>
      </w:r>
      <w:r>
        <w:rPr>
          <w:rFonts w:ascii="Times New Roman" w:eastAsia="宋体" w:hAnsi="Times New Roman"/>
        </w:rPr>
        <w:t>25%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R2</w:t>
      </w:r>
      <w:r>
        <w:rPr>
          <w:rFonts w:ascii="Times New Roman" w:eastAsia="宋体" w:hAnsi="Times New Roman"/>
        </w:rPr>
        <w:t>在本例中将配偶关系简化为一致行动，</w:t>
      </w:r>
      <w:r>
        <w:rPr>
          <w:rFonts w:ascii="Times New Roman" w:eastAsia="宋体" w:hAnsi="Times New Roman"/>
        </w:rPr>
        <w:t>R3</w:t>
      </w:r>
      <w:r>
        <w:rPr>
          <w:rFonts w:ascii="Times New Roman" w:eastAsia="宋体" w:hAnsi="Times New Roman"/>
        </w:rPr>
        <w:t>在合计</w:t>
      </w:r>
      <w:r>
        <w:rPr>
          <w:rFonts w:ascii="Times New Roman" w:eastAsia="宋体" w:hAnsi="Times New Roman"/>
        </w:rPr>
        <w:t>55%</w:t>
      </w:r>
      <w:r>
        <w:rPr>
          <w:rFonts w:ascii="Times New Roman" w:eastAsia="宋体" w:hAnsi="Times New Roman"/>
        </w:rPr>
        <w:t>且王建国持股较多的条件下推导控制，</w:t>
      </w:r>
      <w:r>
        <w:rPr>
          <w:rFonts w:ascii="Times New Roman" w:eastAsia="宋体" w:hAnsi="Times New Roman"/>
        </w:rPr>
        <w:t>R6</w:t>
      </w:r>
      <w:r>
        <w:rPr>
          <w:rFonts w:ascii="Times New Roman" w:eastAsia="宋体" w:hAnsi="Times New Roman"/>
        </w:rPr>
        <w:t>识别自然人控制人。恒通科技一侧由前述</w:t>
      </w:r>
      <w:r>
        <w:rPr>
          <w:rFonts w:ascii="Times New Roman" w:eastAsia="宋体" w:hAnsi="Times New Roman"/>
        </w:rPr>
        <w:t>R1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R4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R5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R6</w:t>
      </w:r>
      <w:r>
        <w:rPr>
          <w:rFonts w:ascii="Times New Roman" w:eastAsia="宋体" w:hAnsi="Times New Roman"/>
        </w:rPr>
        <w:t>得到相同控制人王建国。</w:t>
      </w:r>
      <w:r>
        <w:rPr>
          <w:rFonts w:ascii="Times New Roman" w:eastAsia="宋体" w:hAnsi="Times New Roman"/>
        </w:rPr>
        <w:t>R7</w:t>
      </w:r>
      <w:r>
        <w:rPr>
          <w:rFonts w:ascii="Times New Roman" w:eastAsia="宋体" w:hAnsi="Times New Roman"/>
        </w:rPr>
        <w:t>将交易事实与双方共同控制人结合，生成关联交易线索；</w:t>
      </w:r>
      <w:r>
        <w:rPr>
          <w:rFonts w:ascii="Times New Roman" w:eastAsia="宋体" w:hAnsi="Times New Roman"/>
        </w:rPr>
        <w:t>R12</w:t>
      </w:r>
      <w:r>
        <w:rPr>
          <w:rFonts w:ascii="Times New Roman" w:eastAsia="宋体" w:hAnsi="Times New Roman"/>
        </w:rPr>
        <w:t>再结合恒通科技的上市公司分类，产生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关联交易待核查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预警。</w:t>
      </w:r>
    </w:p>
    <w:p w14:paraId="2C7A5C2C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该证据链能够解释为什么触发核查，但配偶关系不能替代经核实的一致行动协议。数据也没有披露状态、审批记录和交易公允性信息，不能由共同控制交易推断隐瞒、违规或违法。实务核查需补充控制协议、交易凭证和适用披露要求。</w:t>
      </w:r>
    </w:p>
    <w:p w14:paraId="6D2EC4A5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t>环路识别与风险企业去重</w:t>
      </w:r>
    </w:p>
    <w:p w14:paraId="363AE4C7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持股子图中的环为鼎丰投资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鼎丰建设（</w:t>
      </w:r>
      <w:r>
        <w:rPr>
          <w:rFonts w:ascii="Times New Roman" w:eastAsia="宋体" w:hAnsi="Times New Roman"/>
        </w:rPr>
        <w:t>60%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瑞祥建材（</w:t>
      </w:r>
      <w:r>
        <w:rPr>
          <w:rFonts w:ascii="Times New Roman" w:eastAsia="宋体" w:hAnsi="Times New Roman"/>
        </w:rPr>
        <w:t>40%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鼎丰投资（</w:t>
      </w:r>
      <w:r>
        <w:rPr>
          <w:rFonts w:ascii="Times New Roman" w:eastAsia="宋体" w:hAnsi="Times New Roman"/>
        </w:rPr>
        <w:t>30%</w:t>
      </w:r>
      <w:r>
        <w:rPr>
          <w:rFonts w:ascii="Times New Roman" w:eastAsia="宋体" w:hAnsi="Times New Roman"/>
        </w:rPr>
        <w:t>）；担保子图中的环为鼎丰建设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天润商贸（</w:t>
      </w:r>
      <w:r>
        <w:rPr>
          <w:rFonts w:ascii="Times New Roman" w:eastAsia="宋体" w:hAnsi="Times New Roman"/>
        </w:rPr>
        <w:t>3000</w:t>
      </w:r>
      <w:r>
        <w:rPr>
          <w:rFonts w:ascii="Times New Roman" w:eastAsia="宋体" w:hAnsi="Times New Roman"/>
        </w:rPr>
        <w:t>万元）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博远咨询（</w:t>
      </w:r>
      <w:r>
        <w:rPr>
          <w:rFonts w:ascii="Times New Roman" w:eastAsia="宋体" w:hAnsi="Times New Roman"/>
        </w:rPr>
        <w:t>2000</w:t>
      </w:r>
      <w:r>
        <w:rPr>
          <w:rFonts w:ascii="Times New Roman" w:eastAsia="宋体" w:hAnsi="Times New Roman"/>
        </w:rPr>
        <w:t>万元）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鼎丰建设（</w:t>
      </w:r>
      <w:r>
        <w:rPr>
          <w:rFonts w:ascii="Times New Roman" w:eastAsia="宋体" w:hAnsi="Times New Roman"/>
        </w:rPr>
        <w:t>2500</w:t>
      </w:r>
      <w:r>
        <w:rPr>
          <w:rFonts w:ascii="Times New Roman" w:eastAsia="宋体" w:hAnsi="Times New Roman"/>
        </w:rPr>
        <w:t>万元）。图算法枚举有向简单环；规则则通过持股可达</w:t>
      </w:r>
      <w:r>
        <w:rPr>
          <w:rFonts w:ascii="Times New Roman" w:eastAsia="宋体" w:hAnsi="Times New Roman"/>
        </w:rPr>
        <w:t>R8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R9</w:t>
      </w:r>
      <w:r>
        <w:rPr>
          <w:rFonts w:ascii="Times New Roman" w:eastAsia="宋体" w:hAnsi="Times New Roman"/>
        </w:rPr>
        <w:t>与担保可达</w:t>
      </w:r>
      <w:r>
        <w:rPr>
          <w:rFonts w:ascii="Times New Roman" w:eastAsia="宋体" w:hAnsi="Times New Roman"/>
        </w:rPr>
        <w:t>R10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R11</w:t>
      </w:r>
      <w:r>
        <w:rPr>
          <w:rFonts w:ascii="Times New Roman" w:eastAsia="宋体" w:hAnsi="Times New Roman"/>
        </w:rPr>
        <w:t>计算可达关系，并在回到自身时分别触发</w:t>
      </w:r>
      <w:r>
        <w:rPr>
          <w:rFonts w:ascii="Times New Roman" w:eastAsia="宋体" w:hAnsi="Times New Roman"/>
        </w:rPr>
        <w:t>R13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R14</w:t>
      </w:r>
      <w:r>
        <w:rPr>
          <w:rFonts w:ascii="Times New Roman" w:eastAsia="宋体" w:hAnsi="Times New Roman"/>
        </w:rPr>
        <w:t>。两种方法的企业集合在测试中交叉核对。</w:t>
      </w:r>
    </w:p>
    <w:p w14:paraId="0C67836F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两类环各涉及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家企业，其中鼎丰建设重复出现，去重后为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/>
        </w:rPr>
        <w:t>家；加上恒通科技的关联交易待核查，共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/>
        </w:rPr>
        <w:t>家企业获得风险标签。环路表示结构上的相互依赖，不能单凭金额和连通性认定担保代偿或损失已经发生。关联路径查询还可忽略方向寻找最短联系，但展示步骤保留原始箭头，避免混淆资金或控制方向。</w:t>
      </w:r>
    </w:p>
    <w:p w14:paraId="7A29E454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t>框架继承与推理结果回写</w:t>
      </w:r>
    </w:p>
    <w:p w14:paraId="342974C2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以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企业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上市公司</w:t>
      </w:r>
      <w:r>
        <w:rPr>
          <w:rFonts w:ascii="Times New Roman" w:eastAsia="宋体" w:hAnsi="Times New Roman"/>
        </w:rPr>
        <w:t>→</w:t>
      </w:r>
      <w:r>
        <w:rPr>
          <w:rFonts w:ascii="Times New Roman" w:eastAsia="宋体" w:hAnsi="Times New Roman"/>
        </w:rPr>
        <w:t>恒通科技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为继承链，实例优先使用自身槽值，缺失时向上查找。推理后，系统将</w:t>
      </w:r>
      <w:r>
        <w:rPr>
          <w:rFonts w:ascii="Times New Roman" w:eastAsia="宋体" w:hAnsi="Times New Roman"/>
        </w:rPr>
        <w:t>9</w:t>
      </w:r>
      <w:r>
        <w:rPr>
          <w:rFonts w:ascii="Times New Roman" w:eastAsia="宋体" w:hAnsi="Times New Roman"/>
        </w:rPr>
        <w:t>条自然人控制关系写入图谱，并更新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/>
        </w:rPr>
        <w:t>家风险标记企业的相关槽值。恒通科技的变化如下。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232"/>
        <w:gridCol w:w="4550"/>
      </w:tblGrid>
      <w:tr w:rsidR="00C15297" w14:paraId="4E918290" w14:textId="77777777">
        <w:trPr>
          <w:cantSplit/>
          <w:tblHeader/>
        </w:trPr>
        <w:tc>
          <w:tcPr>
            <w:tcW w:w="1512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711543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槽名</w:t>
            </w:r>
          </w:p>
        </w:tc>
        <w:tc>
          <w:tcPr>
            <w:tcW w:w="2232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497C90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推理前</w:t>
            </w:r>
          </w:p>
        </w:tc>
        <w:tc>
          <w:tcPr>
            <w:tcW w:w="4550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3C7641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推理后及依据</w:t>
            </w:r>
          </w:p>
        </w:tc>
      </w:tr>
      <w:tr w:rsidR="00C15297" w14:paraId="2262B862" w14:textId="77777777">
        <w:trPr>
          <w:cantSplit/>
        </w:trPr>
        <w:tc>
          <w:tcPr>
            <w:tcW w:w="151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4ABE55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实际控制人</w:t>
            </w:r>
          </w:p>
        </w:tc>
        <w:tc>
          <w:tcPr>
            <w:tcW w:w="223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748B90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未识别（缺省）</w:t>
            </w:r>
          </w:p>
        </w:tc>
        <w:tc>
          <w:tcPr>
            <w:tcW w:w="455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1ACE21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王建国，由</w:t>
            </w:r>
            <w:r>
              <w:rPr>
                <w:rFonts w:ascii="Times New Roman" w:eastAsia="宋体" w:hAnsi="Times New Roman"/>
                <w:sz w:val="19"/>
              </w:rPr>
              <w:t>R6</w:t>
            </w:r>
            <w:r>
              <w:rPr>
                <w:rFonts w:ascii="Times New Roman" w:eastAsia="宋体" w:hAnsi="Times New Roman"/>
                <w:sz w:val="19"/>
              </w:rPr>
              <w:t>推导</w:t>
            </w:r>
          </w:p>
        </w:tc>
      </w:tr>
      <w:tr w:rsidR="00C15297" w14:paraId="3193F2D8" w14:textId="77777777">
        <w:trPr>
          <w:cantSplit/>
        </w:trPr>
        <w:tc>
          <w:tcPr>
            <w:tcW w:w="151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484CC3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风险等级</w:t>
            </w:r>
          </w:p>
        </w:tc>
        <w:tc>
          <w:tcPr>
            <w:tcW w:w="223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B5A16B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低（缺省）</w:t>
            </w:r>
          </w:p>
        </w:tc>
        <w:tc>
          <w:tcPr>
            <w:tcW w:w="455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FE51C6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高，由</w:t>
            </w:r>
            <w:r>
              <w:rPr>
                <w:rFonts w:ascii="Times New Roman" w:eastAsia="宋体" w:hAnsi="Times New Roman"/>
                <w:sz w:val="19"/>
              </w:rPr>
              <w:t>R15</w:t>
            </w:r>
            <w:r>
              <w:rPr>
                <w:rFonts w:ascii="Times New Roman" w:eastAsia="宋体" w:hAnsi="Times New Roman"/>
                <w:sz w:val="19"/>
              </w:rPr>
              <w:t>按任一预警触发</w:t>
            </w:r>
          </w:p>
        </w:tc>
      </w:tr>
      <w:tr w:rsidR="00C15297" w14:paraId="5A8B9BE6" w14:textId="77777777">
        <w:trPr>
          <w:cantSplit/>
        </w:trPr>
        <w:tc>
          <w:tcPr>
            <w:tcW w:w="151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D8211D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风险提示</w:t>
            </w:r>
          </w:p>
        </w:tc>
        <w:tc>
          <w:tcPr>
            <w:tcW w:w="223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7B0470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无（缺省）</w:t>
            </w:r>
          </w:p>
        </w:tc>
        <w:tc>
          <w:tcPr>
            <w:tcW w:w="455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6631A7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关联交易待核查，来自</w:t>
            </w:r>
            <w:r>
              <w:rPr>
                <w:rFonts w:ascii="Times New Roman" w:eastAsia="宋体" w:hAnsi="Times New Roman"/>
                <w:sz w:val="19"/>
              </w:rPr>
              <w:t>R12</w:t>
            </w:r>
          </w:p>
        </w:tc>
      </w:tr>
      <w:tr w:rsidR="00C15297" w14:paraId="4AC6901E" w14:textId="77777777">
        <w:trPr>
          <w:cantSplit/>
        </w:trPr>
        <w:tc>
          <w:tcPr>
            <w:tcW w:w="151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E8A44A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关联交易披露</w:t>
            </w:r>
          </w:p>
        </w:tc>
        <w:tc>
          <w:tcPr>
            <w:tcW w:w="2232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F38DA3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必须公告披露（继承）</w:t>
            </w:r>
          </w:p>
        </w:tc>
        <w:tc>
          <w:tcPr>
            <w:tcW w:w="455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8D8F7D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继承值保持不变，未核实实际披露状态</w:t>
            </w:r>
          </w:p>
        </w:tc>
      </w:tr>
    </w:tbl>
    <w:p w14:paraId="3E93A358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lastRenderedPageBreak/>
        <w:t>“</w:t>
      </w:r>
      <w:r>
        <w:rPr>
          <w:rFonts w:ascii="Times New Roman" w:eastAsia="宋体" w:hAnsi="Times New Roman"/>
        </w:rPr>
        <w:t>高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是当前规则的简化标签，不代表违约概率或经验证的评级；披露字段也是示例预设，不能替代法规适用判断。图谱中的原始关系与推断关系通过关系类型及来源规则区分，便于复核。</w:t>
      </w:r>
    </w:p>
    <w:p w14:paraId="40EE35A5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七、测试结果与分析</w:t>
      </w:r>
    </w:p>
    <w:p w14:paraId="0D8CCA25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t>功能验证与边界条件</w:t>
      </w:r>
    </w:p>
    <w:p w14:paraId="6D33A0B1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2026</w:t>
      </w:r>
      <w:r>
        <w:rPr>
          <w:rFonts w:ascii="Times New Roman" w:eastAsia="宋体" w:hAnsi="Times New Roman"/>
        </w:rPr>
        <w:t>年</w:t>
      </w:r>
      <w:r>
        <w:rPr>
          <w:rFonts w:ascii="Times New Roman" w:eastAsia="宋体" w:hAnsi="Times New Roman"/>
        </w:rPr>
        <w:t>10</w:t>
      </w:r>
      <w:r>
        <w:rPr>
          <w:rFonts w:ascii="Times New Roman" w:eastAsia="宋体" w:hAnsi="Times New Roman"/>
        </w:rPr>
        <w:t>月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/>
        </w:rPr>
        <w:t>日本地复跑</w:t>
      </w:r>
      <w:r>
        <w:rPr>
          <w:rFonts w:ascii="Times New Roman" w:eastAsia="宋体" w:hAnsi="Times New Roman"/>
        </w:rPr>
        <w:t>11</w:t>
      </w:r>
      <w:r>
        <w:rPr>
          <w:rFonts w:ascii="Times New Roman" w:eastAsia="宋体" w:hAnsi="Times New Roman"/>
        </w:rPr>
        <w:t>项功能测试，全部通过。主程序得到</w:t>
      </w:r>
      <w:r>
        <w:rPr>
          <w:rFonts w:ascii="Times New Roman" w:eastAsia="宋体" w:hAnsi="Times New Roman"/>
        </w:rPr>
        <w:t>53</w:t>
      </w:r>
      <w:r>
        <w:rPr>
          <w:rFonts w:ascii="Times New Roman" w:eastAsia="宋体" w:hAnsi="Times New Roman"/>
        </w:rPr>
        <w:t>条初始事实、</w:t>
      </w:r>
      <w:r>
        <w:rPr>
          <w:rFonts w:ascii="Times New Roman" w:eastAsia="宋体" w:hAnsi="Times New Roman"/>
        </w:rPr>
        <w:t>135</w:t>
      </w:r>
      <w:r>
        <w:rPr>
          <w:rFonts w:ascii="Times New Roman" w:eastAsia="宋体" w:hAnsi="Times New Roman"/>
        </w:rPr>
        <w:t>条最终事实、</w:t>
      </w:r>
      <w:r>
        <w:rPr>
          <w:rFonts w:ascii="Times New Roman" w:eastAsia="宋体" w:hAnsi="Times New Roman"/>
        </w:rPr>
        <w:t>17</w:t>
      </w:r>
      <w:r>
        <w:rPr>
          <w:rFonts w:ascii="Times New Roman" w:eastAsia="宋体" w:hAnsi="Times New Roman"/>
        </w:rPr>
        <w:t>个推理周期、</w:t>
      </w:r>
      <w:r>
        <w:rPr>
          <w:rFonts w:ascii="Times New Roman" w:eastAsia="宋体" w:hAnsi="Times New Roman"/>
        </w:rPr>
        <w:t>9</w:t>
      </w:r>
      <w:r>
        <w:rPr>
          <w:rFonts w:ascii="Times New Roman" w:eastAsia="宋体" w:hAnsi="Times New Roman"/>
        </w:rPr>
        <w:t>条自然人控制关系和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/>
        </w:rPr>
        <w:t>家风险标记企业，与上述案例分析一致。测试覆盖如下；通过这些确定性用例表示实现符合既定规则，不代表真实业务准确率。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6638"/>
      </w:tblGrid>
      <w:tr w:rsidR="00C15297" w14:paraId="69B5E786" w14:textId="77777777">
        <w:trPr>
          <w:cantSplit/>
          <w:tblHeader/>
        </w:trPr>
        <w:tc>
          <w:tcPr>
            <w:tcW w:w="1656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A8896E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验证维度</w:t>
            </w:r>
          </w:p>
        </w:tc>
        <w:tc>
          <w:tcPr>
            <w:tcW w:w="6638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AD26CB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覆盖内容及预期</w:t>
            </w:r>
          </w:p>
        </w:tc>
      </w:tr>
      <w:tr w:rsidR="00C15297" w14:paraId="3F62964E" w14:textId="77777777">
        <w:trPr>
          <w:cantSplit/>
        </w:trPr>
        <w:tc>
          <w:tcPr>
            <w:tcW w:w="165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7FFF36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正例与数值</w:t>
            </w:r>
          </w:p>
        </w:tc>
        <w:tc>
          <w:tcPr>
            <w:tcW w:w="663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6E73F1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控制链成立；穿透经济持股为</w:t>
            </w:r>
            <w:r>
              <w:rPr>
                <w:rFonts w:ascii="Times New Roman" w:eastAsia="宋体" w:hAnsi="Times New Roman"/>
                <w:sz w:val="19"/>
              </w:rPr>
              <w:t>34.2%</w:t>
            </w:r>
            <w:r>
              <w:rPr>
                <w:rFonts w:ascii="Times New Roman" w:eastAsia="宋体" w:hAnsi="Times New Roman"/>
                <w:sz w:val="19"/>
              </w:rPr>
              <w:t>；三类风险企业集合正确</w:t>
            </w:r>
          </w:p>
        </w:tc>
      </w:tr>
      <w:tr w:rsidR="00C15297" w14:paraId="20709252" w14:textId="77777777">
        <w:trPr>
          <w:cantSplit/>
        </w:trPr>
        <w:tc>
          <w:tcPr>
            <w:tcW w:w="165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2D102F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反例与边界</w:t>
            </w:r>
          </w:p>
        </w:tc>
        <w:tc>
          <w:tcPr>
            <w:tcW w:w="663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D2AE2C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星辰电子不误报控制人；直接持股恰好</w:t>
            </w:r>
            <w:r>
              <w:rPr>
                <w:rFonts w:ascii="Times New Roman" w:eastAsia="宋体" w:hAnsi="Times New Roman"/>
                <w:sz w:val="19"/>
              </w:rPr>
              <w:t>50%</w:t>
            </w:r>
            <w:r>
              <w:rPr>
                <w:rFonts w:ascii="Times New Roman" w:eastAsia="宋体" w:hAnsi="Times New Roman"/>
                <w:sz w:val="19"/>
              </w:rPr>
              <w:t>不触发</w:t>
            </w:r>
            <w:r>
              <w:rPr>
                <w:rFonts w:ascii="Times New Roman" w:eastAsia="宋体" w:hAnsi="Times New Roman"/>
                <w:sz w:val="19"/>
              </w:rPr>
              <w:t>R1</w:t>
            </w:r>
            <w:r>
              <w:rPr>
                <w:rFonts w:ascii="Times New Roman" w:eastAsia="宋体" w:hAnsi="Times New Roman"/>
                <w:sz w:val="19"/>
              </w:rPr>
              <w:t>；截断企业不列为自然人候选</w:t>
            </w:r>
          </w:p>
        </w:tc>
      </w:tr>
      <w:tr w:rsidR="00C15297" w14:paraId="7FD87086" w14:textId="77777777">
        <w:trPr>
          <w:cantSplit/>
        </w:trPr>
        <w:tc>
          <w:tcPr>
            <w:tcW w:w="165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AA2072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框架与推理机制</w:t>
            </w:r>
          </w:p>
        </w:tc>
        <w:tc>
          <w:tcPr>
            <w:tcW w:w="663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AB61EC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继承和显式覆盖正确；非法槽值被拒绝；重复变量合一一致；重复推理保持不动点</w:t>
            </w:r>
          </w:p>
        </w:tc>
      </w:tr>
      <w:tr w:rsidR="00C15297" w14:paraId="378A6F86" w14:textId="77777777">
        <w:trPr>
          <w:cantSplit/>
        </w:trPr>
        <w:tc>
          <w:tcPr>
            <w:tcW w:w="165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61C40F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交叉验证</w:t>
            </w:r>
          </w:p>
        </w:tc>
        <w:tc>
          <w:tcPr>
            <w:tcW w:w="6638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AB4533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规则与图算法的环路企业集合一致；</w:t>
            </w:r>
            <w:r>
              <w:rPr>
                <w:rFonts w:ascii="Times New Roman" w:eastAsia="宋体" w:hAnsi="Times New Roman"/>
                <w:sz w:val="19"/>
              </w:rPr>
              <w:t>DFS</w:t>
            </w:r>
            <w:r>
              <w:rPr>
                <w:rFonts w:ascii="Times New Roman" w:eastAsia="宋体" w:hAnsi="Times New Roman"/>
                <w:sz w:val="19"/>
              </w:rPr>
              <w:t>、递归</w:t>
            </w:r>
            <w:r>
              <w:rPr>
                <w:rFonts w:ascii="Times New Roman" w:eastAsia="宋体" w:hAnsi="Times New Roman"/>
                <w:sz w:val="19"/>
              </w:rPr>
              <w:t>CTE</w:t>
            </w:r>
            <w:r>
              <w:rPr>
                <w:rFonts w:ascii="Times New Roman" w:eastAsia="宋体" w:hAnsi="Times New Roman"/>
                <w:sz w:val="19"/>
              </w:rPr>
              <w:t>和逐层</w:t>
            </w:r>
            <w:r>
              <w:rPr>
                <w:rFonts w:ascii="Times New Roman" w:eastAsia="宋体" w:hAnsi="Times New Roman"/>
                <w:sz w:val="19"/>
              </w:rPr>
              <w:t>JOIN</w:t>
            </w:r>
            <w:r>
              <w:rPr>
                <w:rFonts w:ascii="Times New Roman" w:eastAsia="宋体" w:hAnsi="Times New Roman"/>
                <w:sz w:val="19"/>
              </w:rPr>
              <w:t>的路径结果多重集合相同</w:t>
            </w:r>
          </w:p>
        </w:tc>
      </w:tr>
    </w:tbl>
    <w:p w14:paraId="54E531C8" w14:textId="77777777" w:rsidR="00C15297" w:rsidRDefault="00000000">
      <w:pPr>
        <w:pStyle w:val="21"/>
        <w:keepNext/>
        <w:spacing w:before="100" w:after="20" w:line="360" w:lineRule="auto"/>
      </w:pPr>
      <w:r>
        <w:rPr>
          <w:b/>
        </w:rPr>
        <w:t>历史效率基准与解释</w:t>
      </w:r>
    </w:p>
    <w:p w14:paraId="77B3B825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独立效率实验使用固定种子</w:t>
      </w:r>
      <w:r>
        <w:rPr>
          <w:rFonts w:ascii="Times New Roman" w:eastAsia="宋体" w:hAnsi="Times New Roman"/>
        </w:rPr>
        <w:t>42</w:t>
      </w:r>
      <w:r>
        <w:rPr>
          <w:rFonts w:ascii="Times New Roman" w:eastAsia="宋体" w:hAnsi="Times New Roman"/>
        </w:rPr>
        <w:t>生成</w:t>
      </w:r>
      <w:r>
        <w:rPr>
          <w:rFonts w:ascii="Times New Roman" w:eastAsia="宋体" w:hAnsi="Times New Roman"/>
        </w:rPr>
        <w:t>430</w:t>
      </w:r>
      <w:r>
        <w:rPr>
          <w:rFonts w:ascii="Times New Roman" w:eastAsia="宋体" w:hAnsi="Times New Roman"/>
        </w:rPr>
        <w:t>个实体、</w:t>
      </w:r>
      <w:r>
        <w:rPr>
          <w:rFonts w:ascii="Times New Roman" w:eastAsia="宋体" w:hAnsi="Times New Roman"/>
        </w:rPr>
        <w:t>792</w:t>
      </w:r>
      <w:r>
        <w:rPr>
          <w:rFonts w:ascii="Times New Roman" w:eastAsia="宋体" w:hAnsi="Times New Roman"/>
        </w:rPr>
        <w:t>条持股边的有向无环图（</w:t>
      </w:r>
      <w:r>
        <w:rPr>
          <w:rFonts w:ascii="Times New Roman" w:eastAsia="宋体" w:hAnsi="Times New Roman"/>
        </w:rPr>
        <w:t>DAG</w:t>
      </w:r>
      <w:r>
        <w:rPr>
          <w:rFonts w:ascii="Times New Roman" w:eastAsia="宋体" w:hAnsi="Times New Roman"/>
        </w:rPr>
        <w:t>），选取</w:t>
      </w:r>
      <w:r>
        <w:rPr>
          <w:rFonts w:ascii="Times New Roman" w:eastAsia="宋体" w:hAnsi="Times New Roman"/>
        </w:rPr>
        <w:t>20</w:t>
      </w:r>
      <w:r>
        <w:rPr>
          <w:rFonts w:ascii="Times New Roman" w:eastAsia="宋体" w:hAnsi="Times New Roman"/>
        </w:rPr>
        <w:t>个目标，分别查询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8</w:t>
      </w:r>
      <w:r>
        <w:rPr>
          <w:rFonts w:ascii="Times New Roman" w:eastAsia="宋体" w:hAnsi="Times New Roman"/>
        </w:rPr>
        <w:t>层股权路径。每个深度先比较</w:t>
      </w:r>
      <w:r>
        <w:rPr>
          <w:rFonts w:ascii="Times New Roman" w:eastAsia="宋体" w:hAnsi="Times New Roman"/>
        </w:rPr>
        <w:t>DFS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SQL</w:t>
      </w:r>
      <w:r>
        <w:rPr>
          <w:rFonts w:ascii="Times New Roman" w:eastAsia="宋体" w:hAnsi="Times New Roman"/>
        </w:rPr>
        <w:t>递归</w:t>
      </w:r>
      <w:r>
        <w:rPr>
          <w:rFonts w:ascii="Times New Roman" w:eastAsia="宋体" w:hAnsi="Times New Roman"/>
        </w:rPr>
        <w:t>CTE[6]</w:t>
      </w:r>
      <w:r>
        <w:rPr>
          <w:rFonts w:ascii="Times New Roman" w:eastAsia="宋体" w:hAnsi="Times New Roman"/>
        </w:rPr>
        <w:t>与逐层</w:t>
      </w:r>
      <w:r>
        <w:rPr>
          <w:rFonts w:ascii="Times New Roman" w:eastAsia="宋体" w:hAnsi="Times New Roman"/>
        </w:rPr>
        <w:t>JOIN</w:t>
      </w:r>
      <w:r>
        <w:rPr>
          <w:rFonts w:ascii="Times New Roman" w:eastAsia="宋体" w:hAnsi="Times New Roman"/>
        </w:rPr>
        <w:t>的返回结果：按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祖先</w:t>
      </w:r>
      <w:r>
        <w:rPr>
          <w:rFonts w:ascii="Times New Roman" w:eastAsia="宋体" w:hAnsi="Times New Roman"/>
        </w:rPr>
        <w:t>ID</w:t>
      </w:r>
      <w:r>
        <w:rPr>
          <w:rFonts w:ascii="Times New Roman" w:eastAsia="宋体" w:hAnsi="Times New Roman"/>
        </w:rPr>
        <w:t>、路径比例、层数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规范化，将比例保留</w:t>
      </w:r>
      <w:r>
        <w:rPr>
          <w:rFonts w:ascii="Times New Roman" w:eastAsia="宋体" w:hAnsi="Times New Roman"/>
        </w:rPr>
        <w:t>12</w:t>
      </w:r>
      <w:r>
        <w:rPr>
          <w:rFonts w:ascii="Times New Roman" w:eastAsia="宋体" w:hAnsi="Times New Roman"/>
        </w:rPr>
        <w:t>位小数，并以多重集合保留重复记录。确认等价后重复</w:t>
      </w:r>
      <w:r>
        <w:rPr>
          <w:rFonts w:ascii="Times New Roman" w:eastAsia="宋体" w:hAnsi="Times New Roman"/>
        </w:rPr>
        <w:t>9</w:t>
      </w:r>
      <w:r>
        <w:rPr>
          <w:rFonts w:ascii="Times New Roman" w:eastAsia="宋体" w:hAnsi="Times New Roman"/>
        </w:rPr>
        <w:t>轮，每轮计算单目标平均查询耗时，最后取</w:t>
      </w:r>
      <w:r>
        <w:rPr>
          <w:rFonts w:ascii="Times New Roman" w:eastAsia="宋体" w:hAnsi="Times New Roman"/>
        </w:rPr>
        <w:t>9</w:t>
      </w:r>
      <w:r>
        <w:rPr>
          <w:rFonts w:ascii="Times New Roman" w:eastAsia="宋体" w:hAnsi="Times New Roman"/>
        </w:rPr>
        <w:t>轮中位数。计时包含结果物化，不含建库和绘图，</w:t>
      </w:r>
      <w:r>
        <w:rPr>
          <w:rFonts w:ascii="Times New Roman" w:eastAsia="宋体" w:hAnsi="Times New Roman"/>
        </w:rPr>
        <w:t>SQLite</w:t>
      </w:r>
      <w:r>
        <w:rPr>
          <w:rFonts w:ascii="Times New Roman" w:eastAsia="宋体" w:hAnsi="Times New Roman"/>
        </w:rPr>
        <w:t>查询已建立索引。</w:t>
      </w:r>
    </w:p>
    <w:p w14:paraId="44AC5243" w14:textId="77777777" w:rsidR="00C15297" w:rsidRDefault="00000000">
      <w:pPr>
        <w:keepNext/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表中数据来自仓库保存的历史</w:t>
      </w:r>
      <w:r>
        <w:rPr>
          <w:rFonts w:ascii="Times New Roman" w:eastAsia="宋体" w:hAnsi="Times New Roman"/>
        </w:rPr>
        <w:t>benchmark</w:t>
      </w:r>
      <w:r>
        <w:rPr>
          <w:rFonts w:ascii="Times New Roman" w:eastAsia="宋体" w:hAnsi="Times New Roman"/>
        </w:rPr>
        <w:t>结果，环境见第五节；本次功能验证未重新测量耗时。单位为毫秒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目标，展示值四舍五入至小数点后三位。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2376"/>
        <w:gridCol w:w="2390"/>
      </w:tblGrid>
      <w:tr w:rsidR="00C15297" w14:paraId="133B95D6" w14:textId="77777777">
        <w:trPr>
          <w:cantSplit/>
          <w:tblHeader/>
        </w:trPr>
        <w:tc>
          <w:tcPr>
            <w:tcW w:w="1584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DCA0B2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查询深度</w:t>
            </w:r>
          </w:p>
        </w:tc>
        <w:tc>
          <w:tcPr>
            <w:tcW w:w="1944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0D83AA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图</w:t>
            </w:r>
            <w:r>
              <w:rPr>
                <w:rFonts w:ascii="Times New Roman" w:eastAsia="宋体" w:hAnsi="Times New Roman"/>
                <w:b/>
                <w:sz w:val="19"/>
              </w:rPr>
              <w:t>DFS</w:t>
            </w:r>
          </w:p>
        </w:tc>
        <w:tc>
          <w:tcPr>
            <w:tcW w:w="2376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80D0AC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SQL</w:t>
            </w:r>
            <w:r>
              <w:rPr>
                <w:rFonts w:ascii="Times New Roman" w:eastAsia="宋体" w:hAnsi="Times New Roman"/>
                <w:b/>
                <w:sz w:val="19"/>
              </w:rPr>
              <w:t>递归</w:t>
            </w:r>
            <w:r>
              <w:rPr>
                <w:rFonts w:ascii="Times New Roman" w:eastAsia="宋体" w:hAnsi="Times New Roman"/>
                <w:b/>
                <w:sz w:val="19"/>
              </w:rPr>
              <w:t>CTE</w:t>
            </w:r>
          </w:p>
        </w:tc>
        <w:tc>
          <w:tcPr>
            <w:tcW w:w="2390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D22E00" w14:textId="77777777" w:rsidR="00C15297" w:rsidRDefault="00000000">
            <w:pPr>
              <w:keepNext/>
              <w:spacing w:line="276" w:lineRule="auto"/>
            </w:pPr>
            <w:r>
              <w:rPr>
                <w:rFonts w:ascii="Times New Roman" w:eastAsia="宋体" w:hAnsi="Times New Roman"/>
                <w:b/>
                <w:sz w:val="19"/>
              </w:rPr>
              <w:t>SQL</w:t>
            </w:r>
            <w:r>
              <w:rPr>
                <w:rFonts w:ascii="Times New Roman" w:eastAsia="宋体" w:hAnsi="Times New Roman"/>
                <w:b/>
                <w:sz w:val="19"/>
              </w:rPr>
              <w:t>逐层</w:t>
            </w:r>
            <w:r>
              <w:rPr>
                <w:rFonts w:ascii="Times New Roman" w:eastAsia="宋体" w:hAnsi="Times New Roman"/>
                <w:b/>
                <w:sz w:val="19"/>
              </w:rPr>
              <w:t>JOIN</w:t>
            </w:r>
          </w:p>
        </w:tc>
      </w:tr>
      <w:tr w:rsidR="00C15297" w14:paraId="527F5574" w14:textId="77777777">
        <w:trPr>
          <w:cantSplit/>
        </w:trPr>
        <w:tc>
          <w:tcPr>
            <w:tcW w:w="158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EFF26E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2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</w:p>
        </w:tc>
        <w:tc>
          <w:tcPr>
            <w:tcW w:w="194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344EEF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0.007</w:t>
            </w:r>
          </w:p>
        </w:tc>
        <w:tc>
          <w:tcPr>
            <w:tcW w:w="23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C51318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0.016</w:t>
            </w:r>
          </w:p>
        </w:tc>
        <w:tc>
          <w:tcPr>
            <w:tcW w:w="239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7A6B9D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0.015</w:t>
            </w:r>
          </w:p>
        </w:tc>
      </w:tr>
      <w:tr w:rsidR="00C15297" w14:paraId="508B8796" w14:textId="77777777">
        <w:trPr>
          <w:cantSplit/>
        </w:trPr>
        <w:tc>
          <w:tcPr>
            <w:tcW w:w="158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FE20DF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4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</w:p>
        </w:tc>
        <w:tc>
          <w:tcPr>
            <w:tcW w:w="194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401422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0.032</w:t>
            </w:r>
          </w:p>
        </w:tc>
        <w:tc>
          <w:tcPr>
            <w:tcW w:w="23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511F6A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0.064</w:t>
            </w:r>
          </w:p>
        </w:tc>
        <w:tc>
          <w:tcPr>
            <w:tcW w:w="239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2EEECA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0.059</w:t>
            </w:r>
          </w:p>
        </w:tc>
      </w:tr>
      <w:tr w:rsidR="00C15297" w14:paraId="5D3565CD" w14:textId="77777777">
        <w:trPr>
          <w:cantSplit/>
        </w:trPr>
        <w:tc>
          <w:tcPr>
            <w:tcW w:w="158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DD54EB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6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</w:p>
        </w:tc>
        <w:tc>
          <w:tcPr>
            <w:tcW w:w="194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0F8387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0.151</w:t>
            </w:r>
          </w:p>
        </w:tc>
        <w:tc>
          <w:tcPr>
            <w:tcW w:w="23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35A8CF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0.248</w:t>
            </w:r>
          </w:p>
        </w:tc>
        <w:tc>
          <w:tcPr>
            <w:tcW w:w="239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99F413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0.206</w:t>
            </w:r>
          </w:p>
        </w:tc>
      </w:tr>
      <w:tr w:rsidR="00C15297" w14:paraId="5EDF5319" w14:textId="77777777">
        <w:trPr>
          <w:cantSplit/>
        </w:trPr>
        <w:tc>
          <w:tcPr>
            <w:tcW w:w="158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8F4EB3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8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</w:p>
        </w:tc>
        <w:tc>
          <w:tcPr>
            <w:tcW w:w="1944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CB1213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0.564</w:t>
            </w:r>
          </w:p>
        </w:tc>
        <w:tc>
          <w:tcPr>
            <w:tcW w:w="237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815611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1.033</w:t>
            </w:r>
          </w:p>
        </w:tc>
        <w:tc>
          <w:tcPr>
            <w:tcW w:w="2390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CFAAFB" w14:textId="77777777" w:rsidR="00C15297" w:rsidRDefault="00000000">
            <w:pPr>
              <w:spacing w:line="276" w:lineRule="auto"/>
            </w:pPr>
            <w:r>
              <w:rPr>
                <w:rFonts w:ascii="Times New Roman" w:eastAsia="宋体" w:hAnsi="Times New Roman"/>
                <w:sz w:val="19"/>
              </w:rPr>
              <w:t>0.770</w:t>
            </w:r>
          </w:p>
        </w:tc>
      </w:tr>
    </w:tbl>
    <w:p w14:paraId="3883BFD9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lastRenderedPageBreak/>
        <w:t>本组结果中，查询加深后三种实现的耗时均上升，内存图</w:t>
      </w:r>
      <w:r>
        <w:rPr>
          <w:rFonts w:ascii="Times New Roman" w:eastAsia="宋体" w:hAnsi="Times New Roman"/>
        </w:rPr>
        <w:t>DFS</w:t>
      </w:r>
      <w:r>
        <w:rPr>
          <w:rFonts w:ascii="Times New Roman" w:eastAsia="宋体" w:hAnsi="Times New Roman"/>
        </w:rPr>
        <w:t>用时低于两类</w:t>
      </w:r>
      <w:r>
        <w:rPr>
          <w:rFonts w:ascii="Times New Roman" w:eastAsia="宋体" w:hAnsi="Times New Roman"/>
        </w:rPr>
        <w:t>SQLite</w:t>
      </w:r>
      <w:r>
        <w:rPr>
          <w:rFonts w:ascii="Times New Roman" w:eastAsia="宋体" w:hAnsi="Times New Roman"/>
        </w:rPr>
        <w:t>查询；这说明当前数据结构与实现会影响执行成本。该比较仅覆盖固定规模的合成</w:t>
      </w:r>
      <w:r>
        <w:rPr>
          <w:rFonts w:ascii="Times New Roman" w:eastAsia="宋体" w:hAnsi="Times New Roman"/>
        </w:rPr>
        <w:t>DAG</w:t>
      </w:r>
      <w:r>
        <w:rPr>
          <w:rFonts w:ascii="Times New Roman" w:eastAsia="宋体" w:hAnsi="Times New Roman"/>
        </w:rPr>
        <w:t>，未测量真实数据库服务、复杂环路、并发、写入或增量更新。硬件、缓存、索引策略和分支数量都可能改变结果，不能据此宣称图数据库普遍优于关系数据库。</w:t>
      </w:r>
    </w:p>
    <w:p w14:paraId="3163B289" w14:textId="77777777" w:rsidR="00C15297" w:rsidRDefault="00000000">
      <w:pPr>
        <w:keepNext/>
        <w:widowControl/>
        <w:spacing w:before="80"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E987FB" wp14:editId="111287CC">
            <wp:extent cx="5166360" cy="4174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g_reason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1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0F47" w14:textId="77777777" w:rsidR="00C15297" w:rsidRDefault="00000000">
      <w:pPr>
        <w:widowControl/>
        <w:spacing w:before="60" w:after="80" w:line="276" w:lineRule="auto"/>
        <w:jc w:val="center"/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</w:t>
      </w:r>
      <w:r>
        <w:rPr>
          <w:rFonts w:ascii="Times New Roman" w:eastAsia="宋体" w:hAnsi="Times New Roman"/>
          <w:sz w:val="18"/>
        </w:rPr>
        <w:t>推理增强后的知识图谱</w:t>
      </w:r>
      <w:r>
        <w:rPr>
          <w:rFonts w:ascii="Times New Roman" w:eastAsia="宋体" w:hAnsi="Times New Roman"/>
          <w:sz w:val="18"/>
        </w:rPr>
        <w:br/>
      </w:r>
      <w:r>
        <w:rPr>
          <w:rFonts w:ascii="Times New Roman" w:eastAsia="宋体" w:hAnsi="Times New Roman"/>
          <w:sz w:val="18"/>
        </w:rPr>
        <w:t>灰线为原始关系，实控边标注来源规则，红圈表示规则识别的待核查线索。</w:t>
      </w:r>
    </w:p>
    <w:p w14:paraId="1AE80B02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八、问题与改进思路</w:t>
      </w:r>
    </w:p>
    <w:p w14:paraId="52FB1B00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数据可信度方面，当前使用虚构静态样本，缺少真实身份核验、关系时间和来源凭证。后续应为实体补充唯一标识，为关系增加有效期、证据出处及版本，区分未发现、未采集和已核实不存在，减少实体混淆与信息缺失造成的误判。</w:t>
      </w:r>
    </w:p>
    <w:p w14:paraId="0647AF96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规则覆盖方面，</w:t>
      </w:r>
      <w:r>
        <w:rPr>
          <w:rFonts w:ascii="Times New Roman" w:eastAsia="宋体" w:hAnsi="Times New Roman"/>
        </w:rPr>
        <w:t>R2</w:t>
      </w:r>
      <w:r>
        <w:rPr>
          <w:rFonts w:ascii="Times New Roman" w:eastAsia="宋体" w:hAnsi="Times New Roman"/>
        </w:rPr>
        <w:t>的一致行动假设、</w:t>
      </w:r>
      <w:r>
        <w:rPr>
          <w:rFonts w:ascii="Times New Roman" w:eastAsia="宋体" w:hAnsi="Times New Roman"/>
        </w:rPr>
        <w:t>R4</w:t>
      </w:r>
      <w:r>
        <w:rPr>
          <w:rFonts w:ascii="Times New Roman" w:eastAsia="宋体" w:hAnsi="Times New Roman"/>
        </w:rPr>
        <w:t>的单个子公司合并持股，以及</w:t>
      </w:r>
      <w:r>
        <w:rPr>
          <w:rFonts w:ascii="Times New Roman" w:eastAsia="宋体" w:hAnsi="Times New Roman"/>
        </w:rPr>
        <w:t>R15“</w:t>
      </w:r>
      <w:r>
        <w:rPr>
          <w:rFonts w:ascii="Times New Roman" w:eastAsia="宋体" w:hAnsi="Times New Roman"/>
        </w:rPr>
        <w:t>任一预警即高风险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的分级都较简化。应引入可核实的控制协议、投票权和例外条件，明确规则冲突处理，并将线索类型、证据完整性和业务评级分开。框架缺省值需标明适用范围，不能直接用于法规判断。</w:t>
      </w:r>
    </w:p>
    <w:p w14:paraId="0727C624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lastRenderedPageBreak/>
        <w:t>算法与更新方面，循环股权的简单路径计算不等同于完整经济权益求解，可进一步研究矩阵方法。当前推理仅增加事实，后续可维护结论依赖图，使失效证据对应的结论能够撤回，再开展增量更新。效率评估也应扩大规模、改变分支结构，并补充内存与并发指标；大模型可辅助抽取候选关系，但仍需模式校验及人工复核。</w:t>
      </w:r>
    </w:p>
    <w:p w14:paraId="1BE912D8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九、总结</w:t>
      </w:r>
    </w:p>
    <w:p w14:paraId="5784B20C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本项目实现了企业股权数据的知识表示、规则推理、证据解释与结果回写。图谱用于寻找路径与环路，产生式规则把业务条件转化为可追溯结论，框架承接继承属性和企业档案；三者协作，使局部股东记录能够支持控制链和风险线索核查。功能测试验证了既定规则及关键边界，历史基准显示了不同查询实现的成本差异。</w:t>
      </w:r>
    </w:p>
    <w:p w14:paraId="18AF5E70" w14:textId="77777777" w:rsidR="00C15297" w:rsidRDefault="00000000">
      <w:pPr>
        <w:widowControl/>
        <w:spacing w:line="360" w:lineRule="auto"/>
        <w:ind w:firstLine="420"/>
      </w:pPr>
      <w:r>
        <w:rPr>
          <w:rFonts w:ascii="Times New Roman" w:eastAsia="宋体" w:hAnsi="Times New Roman"/>
        </w:rPr>
        <w:t>需要始终区分经济持股、规则推导控制与法律认定：王建国对恒通科技</w:t>
      </w:r>
      <w:r>
        <w:rPr>
          <w:rFonts w:ascii="Times New Roman" w:eastAsia="宋体" w:hAnsi="Times New Roman"/>
        </w:rPr>
        <w:t>34.2%</w:t>
      </w:r>
      <w:r>
        <w:rPr>
          <w:rFonts w:ascii="Times New Roman" w:eastAsia="宋体" w:hAnsi="Times New Roman"/>
        </w:rPr>
        <w:t>的穿透经济持股，与</w:t>
      </w:r>
      <w:r>
        <w:rPr>
          <w:rFonts w:ascii="Times New Roman" w:eastAsia="宋体" w:hAnsi="Times New Roman"/>
        </w:rPr>
        <w:t>55%</w:t>
      </w:r>
      <w:r>
        <w:rPr>
          <w:rFonts w:ascii="Times New Roman" w:eastAsia="宋体" w:hAnsi="Times New Roman"/>
        </w:rPr>
        <w:t>可支配股份触发的控制链并不矛盾，也不能自动构成风险或违法证明。当前成果是可重复运行的小型原型；后续应围绕证据质量、规则适用性和动态更新完善，再评估真实业务应用。</w:t>
      </w:r>
    </w:p>
    <w:p w14:paraId="1AC6ADA1" w14:textId="77777777" w:rsidR="00C15297" w:rsidRDefault="00000000">
      <w:pPr>
        <w:pStyle w:val="11"/>
        <w:keepNext/>
        <w:spacing w:before="120" w:after="40" w:line="360" w:lineRule="auto"/>
      </w:pPr>
      <w:r>
        <w:rPr>
          <w:b/>
        </w:rPr>
        <w:t>十、参考文献</w:t>
      </w:r>
    </w:p>
    <w:p w14:paraId="52FFC324" w14:textId="77777777" w:rsidR="00C15297" w:rsidRDefault="00000000">
      <w:pPr>
        <w:keepLines/>
        <w:widowControl/>
        <w:spacing w:after="60" w:line="288" w:lineRule="auto"/>
      </w:pPr>
      <w:r>
        <w:rPr>
          <w:rFonts w:ascii="Times New Roman" w:eastAsia="宋体" w:hAnsi="Times New Roman"/>
          <w:sz w:val="18"/>
        </w:rPr>
        <w:t xml:space="preserve">[1] ICIJ. About the Offshore Leaks </w:t>
      </w:r>
      <w:proofErr w:type="gramStart"/>
      <w:r>
        <w:rPr>
          <w:rFonts w:ascii="Times New Roman" w:eastAsia="宋体" w:hAnsi="Times New Roman"/>
          <w:sz w:val="18"/>
        </w:rPr>
        <w:t>Database[</w:t>
      </w:r>
      <w:proofErr w:type="gramEnd"/>
      <w:r>
        <w:rPr>
          <w:rFonts w:ascii="Times New Roman" w:eastAsia="宋体" w:hAnsi="Times New Roman"/>
          <w:sz w:val="18"/>
        </w:rPr>
        <w:t xml:space="preserve">EB/OL]. https://offshoreleaks.icij.org/pages/about, </w:t>
      </w:r>
      <w:r>
        <w:rPr>
          <w:rFonts w:ascii="Times New Roman" w:eastAsia="宋体" w:hAnsi="Times New Roman"/>
          <w:sz w:val="18"/>
        </w:rPr>
        <w:t>访问日期</w:t>
      </w:r>
      <w:proofErr w:type="gramStart"/>
      <w:r>
        <w:rPr>
          <w:rFonts w:ascii="Times New Roman" w:eastAsia="宋体" w:hAnsi="Times New Roman"/>
          <w:sz w:val="18"/>
        </w:rPr>
        <w:t>2026-09-28.</w:t>
      </w:r>
      <w:proofErr w:type="gramEnd"/>
    </w:p>
    <w:p w14:paraId="38EE2B1F" w14:textId="77777777" w:rsidR="00C15297" w:rsidRDefault="00000000">
      <w:pPr>
        <w:keepLines/>
        <w:widowControl/>
        <w:spacing w:after="60" w:line="288" w:lineRule="auto"/>
      </w:pPr>
      <w:r>
        <w:rPr>
          <w:rFonts w:ascii="Times New Roman" w:eastAsia="宋体" w:hAnsi="Times New Roman"/>
          <w:sz w:val="18"/>
        </w:rPr>
        <w:t>[2] HOGAN A, BLOMQVIST E, COCHEZ M, et al. Knowledge Graphs[J]. ACM Computing Surveys, 2021, 54(4): Article 71. DOI:10.1145/3447772.</w:t>
      </w:r>
    </w:p>
    <w:p w14:paraId="23F92572" w14:textId="77777777" w:rsidR="00C15297" w:rsidRDefault="00000000">
      <w:pPr>
        <w:keepLines/>
        <w:widowControl/>
        <w:spacing w:after="60" w:line="288" w:lineRule="auto"/>
      </w:pPr>
      <w:r>
        <w:rPr>
          <w:rFonts w:ascii="Times New Roman" w:eastAsia="宋体" w:hAnsi="Times New Roman"/>
          <w:sz w:val="18"/>
        </w:rPr>
        <w:t>[3] RUSSELL S, NORVIG P. Artificial Intelligence: A Modern Approach[M]. 4th ed. Pearson, 2021.</w:t>
      </w:r>
    </w:p>
    <w:p w14:paraId="281E5072" w14:textId="77777777" w:rsidR="00C15297" w:rsidRDefault="00000000">
      <w:pPr>
        <w:keepLines/>
        <w:widowControl/>
        <w:spacing w:after="60" w:line="288" w:lineRule="auto"/>
      </w:pPr>
      <w:r>
        <w:rPr>
          <w:rFonts w:ascii="Times New Roman" w:eastAsia="宋体" w:hAnsi="Times New Roman"/>
          <w:sz w:val="18"/>
        </w:rPr>
        <w:t>[4] MINSKY M. A Framework for Representing Knowledge[R]. MIT AI Laboratory, Memo 306, 1974.</w:t>
      </w:r>
    </w:p>
    <w:p w14:paraId="2E00EA93" w14:textId="0E9E8B21" w:rsidR="00C15297" w:rsidRDefault="00000000">
      <w:pPr>
        <w:keepLines/>
        <w:widowControl/>
        <w:spacing w:after="60" w:line="288" w:lineRule="auto"/>
        <w:rPr>
          <w:rFonts w:hint="eastAsia"/>
        </w:rPr>
      </w:pPr>
      <w:r>
        <w:rPr>
          <w:rFonts w:ascii="Times New Roman" w:eastAsia="宋体" w:hAnsi="Times New Roman"/>
          <w:sz w:val="18"/>
        </w:rPr>
        <w:t xml:space="preserve">[5] </w:t>
      </w:r>
      <w:proofErr w:type="spellStart"/>
      <w:r>
        <w:rPr>
          <w:rFonts w:ascii="Times New Roman" w:eastAsia="宋体" w:hAnsi="Times New Roman"/>
          <w:sz w:val="18"/>
        </w:rPr>
        <w:t>NetworkX</w:t>
      </w:r>
      <w:proofErr w:type="spellEnd"/>
      <w:r>
        <w:rPr>
          <w:rFonts w:ascii="Times New Roman" w:eastAsia="宋体" w:hAnsi="Times New Roman"/>
          <w:sz w:val="18"/>
        </w:rPr>
        <w:t xml:space="preserve"> Developers. </w:t>
      </w:r>
      <w:proofErr w:type="spellStart"/>
      <w:r>
        <w:rPr>
          <w:rFonts w:ascii="Times New Roman" w:eastAsia="宋体" w:hAnsi="Times New Roman"/>
          <w:sz w:val="18"/>
        </w:rPr>
        <w:t>NetworkX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proofErr w:type="gramStart"/>
      <w:r>
        <w:rPr>
          <w:rFonts w:ascii="Times New Roman" w:eastAsia="宋体" w:hAnsi="Times New Roman"/>
          <w:sz w:val="18"/>
        </w:rPr>
        <w:t>Documentation[</w:t>
      </w:r>
      <w:proofErr w:type="gramEnd"/>
      <w:r>
        <w:rPr>
          <w:rFonts w:ascii="Times New Roman" w:eastAsia="宋体" w:hAnsi="Times New Roman"/>
          <w:sz w:val="18"/>
        </w:rPr>
        <w:t>EB/OL]. https://networkx.org/documentation/stable/</w:t>
      </w:r>
    </w:p>
    <w:p w14:paraId="03A4CA17" w14:textId="1483FFCC" w:rsidR="00C15297" w:rsidRDefault="00000000">
      <w:pPr>
        <w:keepLines/>
        <w:widowControl/>
        <w:spacing w:after="60" w:line="288" w:lineRule="auto"/>
        <w:rPr>
          <w:rFonts w:hint="eastAsia"/>
        </w:rPr>
      </w:pPr>
      <w:r>
        <w:rPr>
          <w:rFonts w:ascii="Times New Roman" w:eastAsia="宋体" w:hAnsi="Times New Roman"/>
          <w:sz w:val="18"/>
        </w:rPr>
        <w:t xml:space="preserve">[6] SQLite. The WITH </w:t>
      </w:r>
      <w:proofErr w:type="gramStart"/>
      <w:r>
        <w:rPr>
          <w:rFonts w:ascii="Times New Roman" w:eastAsia="宋体" w:hAnsi="Times New Roman"/>
          <w:sz w:val="18"/>
        </w:rPr>
        <w:t>Clause[</w:t>
      </w:r>
      <w:proofErr w:type="gramEnd"/>
      <w:r>
        <w:rPr>
          <w:rFonts w:ascii="Times New Roman" w:eastAsia="宋体" w:hAnsi="Times New Roman"/>
          <w:sz w:val="18"/>
        </w:rPr>
        <w:t>EB/OL]. https://www.sqlite.org/lang_with.html</w:t>
      </w:r>
    </w:p>
    <w:sectPr w:rsidR="00C15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C882F" w14:textId="77777777" w:rsidR="007F6498" w:rsidRDefault="007F6498" w:rsidP="00D11196">
      <w:r>
        <w:separator/>
      </w:r>
    </w:p>
  </w:endnote>
  <w:endnote w:type="continuationSeparator" w:id="0">
    <w:p w14:paraId="6F20D172" w14:textId="77777777" w:rsidR="007F6498" w:rsidRDefault="007F6498" w:rsidP="00D11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22789" w14:textId="77777777" w:rsidR="007F6498" w:rsidRDefault="007F6498" w:rsidP="00D11196">
      <w:r>
        <w:separator/>
      </w:r>
    </w:p>
  </w:footnote>
  <w:footnote w:type="continuationSeparator" w:id="0">
    <w:p w14:paraId="74D01CF0" w14:textId="77777777" w:rsidR="007F6498" w:rsidRDefault="007F6498" w:rsidP="00D11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9923D0"/>
    <w:rsid w:val="00154671"/>
    <w:rsid w:val="001A29BF"/>
    <w:rsid w:val="001F66DD"/>
    <w:rsid w:val="002B3D8C"/>
    <w:rsid w:val="00340EC1"/>
    <w:rsid w:val="00441135"/>
    <w:rsid w:val="004906DA"/>
    <w:rsid w:val="005279C6"/>
    <w:rsid w:val="007F6498"/>
    <w:rsid w:val="008851B0"/>
    <w:rsid w:val="00A6240B"/>
    <w:rsid w:val="00C15297"/>
    <w:rsid w:val="00D11196"/>
    <w:rsid w:val="0AD007F3"/>
    <w:rsid w:val="16430362"/>
    <w:rsid w:val="2079747B"/>
    <w:rsid w:val="20D677C0"/>
    <w:rsid w:val="2FA14FB2"/>
    <w:rsid w:val="539D6365"/>
    <w:rsid w:val="550D2661"/>
    <w:rsid w:val="5ECE3876"/>
    <w:rsid w:val="739923D0"/>
    <w:rsid w:val="79FCA645"/>
    <w:rsid w:val="7EFB8B3F"/>
    <w:rsid w:val="CB3F4807"/>
    <w:rsid w:val="DD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B0931"/>
  <w15:docId w15:val="{933D5329-7348-48D0-A744-B24F2994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color w:val="000000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26E5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0">
    <w:name w:val="标题1"/>
    <w:rPr>
      <w:color w:val="000000"/>
      <w:sz w:val="28"/>
    </w:rPr>
  </w:style>
  <w:style w:type="paragraph" w:customStyle="1" w:styleId="11">
    <w:name w:val="标题 11"/>
    <w:rPr>
      <w:color w:val="000000"/>
      <w:sz w:val="22"/>
    </w:rPr>
  </w:style>
  <w:style w:type="paragraph" w:customStyle="1" w:styleId="21">
    <w:name w:val="标题 21"/>
    <w:rPr>
      <w:color w:val="000000"/>
      <w:sz w:val="21"/>
    </w:rPr>
  </w:style>
  <w:style w:type="paragraph" w:styleId="a4">
    <w:name w:val="header"/>
    <w:basedOn w:val="a"/>
    <w:link w:val="a5"/>
    <w:rsid w:val="00D111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11196"/>
    <w:rPr>
      <w:rFonts w:asciiTheme="minorHAnsi" w:eastAsiaTheme="minorEastAsia" w:hAnsiTheme="minorHAnsi" w:cstheme="minorBidi"/>
      <w:color w:val="000000"/>
      <w:kern w:val="2"/>
      <w:sz w:val="18"/>
      <w:szCs w:val="18"/>
    </w:rPr>
  </w:style>
  <w:style w:type="paragraph" w:styleId="a6">
    <w:name w:val="footer"/>
    <w:basedOn w:val="a"/>
    <w:link w:val="a7"/>
    <w:rsid w:val="00D111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11196"/>
    <w:rPr>
      <w:rFonts w:asciiTheme="minorHAnsi" w:eastAsiaTheme="minorEastAsia" w:hAnsiTheme="minorHAnsi" w:cstheme="minorBidi"/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企业股权知识表示与风险推理项目报告</dc:title>
  <dc:subject>企业股权知识表示、控制关系推导与风险线索分析</dc:subject>
  <dc:creator>MaymayXiao</dc:creator>
  <dc:description/>
  <cp:lastModifiedBy>梁镇贤</cp:lastModifiedBy>
  <cp:revision>9</cp:revision>
  <dcterms:created xsi:type="dcterms:W3CDTF">2025-11-13T00:16:00Z</dcterms:created>
  <dcterms:modified xsi:type="dcterms:W3CDTF">2026-10-05T08:02:00Z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E4D31B5238C13308B334A56A9CBF6813_43</vt:lpwstr>
  </property>
  <property fmtid="{D5CDD505-2E9C-101B-9397-08002B2CF9AE}" pid="4" name="KSOTemplateDocerSaveRecord">
    <vt:lpwstr>eyJoZGlkIjoiMmMzZmI0ZWYzNjIwMjJjYTY4OTFkNjgxN2Q2NGE1NzQiLCJ1c2VySWQiOiI0MzYzNzU1MjgifQ==</vt:lpwstr>
  </property>
</Properties>
</file>