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420" w:firstLineChars="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本次会议的核心是围绕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企业名称服务基础数据初始化与未来增新逻辑的自洽性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展开深度讨论，确立了“逻辑一脉相承、规则一旦确定永不修改、数据生产按任务单逐条处理”的核心原则。以下是会议内容的重新总结：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一、核心原则：逻辑自洽与永久性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逻辑必须一脉相承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从代码中心批量导入的初始数据，与未来用户拉新、业务拉新、权利主张等产生的数据，必须遵循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完全相同的生产逻辑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（包括采信规则、同名处理、ID生成等）。任何不一致都会破坏服务的永久性，导致后续无法兼容。吕总强调：“每一个产生跟今后的产生的机制要一致，不然会存在逻辑上面的无法自洽。”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本体逻辑一旦确定，永不修改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数据生产的核心规则（如名称长度限制、字符集、英文字母是否准入等）一旦定下来，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永远不能变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。如果未来发现规则不合理，只能另起炉灶（新服务），不能在原有服务上“打补丁”。吕总明确：“本体的稳定性是一定不能打破的，如果要重新定义，就要另起炉灶。”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数据生产是“一条一条”的任务单模式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即使是2亿条基础数据，也要视为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2亿个独立的生产任务单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，逐一执行生产逻辑。每个任务单的来源可以是“批量导入”、“用户申诉”、“业务员增补”等，但处理流程完全一致。吕总说：“我们从老数据里面产生生产任务单，跟从业务员来的业务单，它都是一个任务单。”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二、关键业务规则与冲突处理</w:t>
      </w:r>
    </w:p>
    <w:p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1. 同名不同企的处理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产生原因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：不同企业（不同统一社会信用代码）拥有相同名称。未来主要由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权利人入驻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触发（法人来主张权利时发现名称重复）。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处理规则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所有同名企业都会存入知识本体，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不合并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，每个企业独立存在。</w:t>
      </w:r>
    </w:p>
    <w:p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新老划断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：当新权利人主张权利时，新企业成为“当前有效”，旧企业仍保留（因已有名片绑定），但不再产生新名片。</w:t>
      </w:r>
    </w:p>
    <w:p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权利真空期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：如果某个同名企业从未被主张过权利，其产生的数据（如名片）在后续权利人主张时，可以“归新”。这激励权利人尽早主张。</w:t>
      </w:r>
    </w:p>
    <w:p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吕总强调：“它不能失效，因为前面的名片是绑在那的……今后再产生就在新的上面来了，但是旧的已经产生，它还会继续发展。”</w:t>
      </w:r>
    </w:p>
    <w:p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2. 同企不同名的处理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产生原因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：同一企业（同一统一社会信用代码）发生名称变更。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处理规则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通过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事件溯源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记录历史名称，不覆盖原名称。</w:t>
      </w:r>
    </w:p>
    <w:p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自增ID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（数据库主键）和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企业UUID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（对外标识）结合，同一UUID下可挂多个名称版本。</w:t>
      </w:r>
    </w:p>
    <w:p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吕总明确：“同企不同名，都是同样的UUID，同样的位置，然后现在是a名字，碰到一个b名字，它只是这个自增ID不同，但是UUID跟那一样。”</w:t>
      </w:r>
    </w:p>
    <w:p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3. 权利主张与数据继承</w:t>
      </w: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权利真空期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：如果一个企业名称在某个时间段内无人主张权利，那么在该时间段内产生的业务数据（如名片、交换记录）归后续第一个主张权利的人所有。</w:t>
      </w: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新老划断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：一旦新的权利人主张成功，旧的企业ID不再产生新名片，但已有名片仍可继续使用（除非权利人主动禁用）。</w:t>
      </w: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企业ID与信用代码一一对应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：企业UUID（对外标识）与统一社会信用代码严格绑定，一个代码对应一个UUID，永不合并。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三、技术实现要点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三层ID体系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自增ID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：数据库主键，用于内部数据管理和排序（如同名不同企的“先后顺序”）。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企业UUID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：对外暴露的唯一标识，不暴露信用代码，保证安全性。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统一社会信用代码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：法定标识，与企业UUID一一对应。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任务单机制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所有数据生产（无论是2亿条初始数据还是单条用户申诉）都转化为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任务单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。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任务单包含：采信来源（代码中心/天眼查/用户截图）、凭证、处理规则、结果。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通过任务单机制，保证批量与单条逻辑完全一致。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批量拉新的成本考量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针对基础数据中的同名不同企（约50-100万条），是否需要调用天眼查等外部接口“拉新”？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如果成本可控，建议拉新以获取最新数据；如果成本过高，则随机选一个作为初始值，后续靠用户申诉修正。</w:t>
      </w:r>
    </w:p>
    <w:p>
      <w:pPr>
        <w:pStyle w:val="4"/>
        <w:keepNext w:val="0"/>
        <w:keepLines w:val="0"/>
        <w:widowControl/>
        <w:numPr>
          <w:ilvl w:val="1"/>
          <w:numId w:val="5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吕总提出：“如果代价大，我们完全就一个就算了，就不列入我们的任务单了。”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四、位置数据的独立性与关联</w:t>
      </w:r>
    </w:p>
    <w:p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24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位置需要独立的数巢服务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企业名称服务中的“预置位置”只是引用，位置本身应有独立的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位置本体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（UUID、地址、经纬度、地标等）。</w:t>
      </w:r>
    </w:p>
    <w:p>
      <w:pPr>
        <w:pStyle w:val="4"/>
        <w:keepNext w:val="0"/>
        <w:keepLines w:val="0"/>
        <w:widowControl/>
        <w:numPr>
          <w:ilvl w:val="1"/>
          <w:numId w:val="6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位置数据也应遵循同样的生产逻辑：支持增新、事件溯源、多版本共存。</w:t>
      </w:r>
    </w:p>
    <w:p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地标与地址的区别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</w:p>
    <w:p>
      <w:pPr>
        <w:pStyle w:val="4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地址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：用于行政、物流等正式场景（如“丰泽区体育街28号”）。</w:t>
      </w:r>
    </w:p>
    <w:p>
      <w:pPr>
        <w:pStyle w:val="4"/>
        <w:keepNext w:val="0"/>
        <w:keepLines w:val="0"/>
        <w:widowControl/>
        <w:numPr>
          <w:ilvl w:val="1"/>
          <w:numId w:val="6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地标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：用于社交、记忆、导航的中介点（如“华创园”、“南方路机”）。地标在社交场景中比地址更有价值。</w:t>
      </w:r>
    </w:p>
    <w:p>
      <w:pPr>
        <w:pStyle w:val="4"/>
        <w:keepNext w:val="0"/>
        <w:keepLines w:val="0"/>
        <w:widowControl/>
        <w:numPr>
          <w:ilvl w:val="1"/>
          <w:numId w:val="6"/>
        </w:numPr>
        <w:suppressLineNumbers w:val="0"/>
        <w:spacing w:before="90" w:beforeAutospacing="0" w:after="0" w:afterAutospacing="0"/>
        <w:ind w:left="756" w:leftChars="200" w:right="0" w:hanging="336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位置服务应同时支持地标和地址，满足不同业务需求。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五、决策与下一步行动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24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确定基础数据处理的“采信规则”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（如名称长度、英文字母、特殊字符等），并承诺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永不修改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。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明确同名不同企的处理方式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：基础数据中是否保留所有同名企业，还是只保留一个？如果保留多个，是否需要调用外部接口拉新？需根据成本权衡。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设计任务单机制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：确保批量导入和单条增新的逻辑完全一致，通过“前后对账”验证逻辑自洽。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位置数据独立建巢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：企业名称服务中的位置数据应引用位置本体，位置本体需单独设计（含UUID、地址、地标、经纬度等）。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240" w:afterAutospacing="0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后续会议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：确定具体规则后，推进B计划开发，确保企业名称服务成为逻辑稳定、可永久发展的公共服务。</w:t>
      </w:r>
    </w:p>
    <w:p>
      <w:pPr>
        <w:pStyle w:val="4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总结</w:t>
      </w:r>
    </w:p>
    <w:p>
      <w:pPr>
        <w:pStyle w:val="4"/>
        <w:keepNext w:val="0"/>
        <w:keepLines w:val="0"/>
        <w:widowControl/>
        <w:suppressLineNumbers w:val="0"/>
        <w:spacing w:before="240" w:beforeAutospacing="0" w:after="0" w:afterAutospacing="0"/>
        <w:ind w:left="0" w:right="0" w:firstLine="420" w:firstLineChars="0"/>
        <w:jc w:val="left"/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这次会议中明确了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企业名称服务的核心设计原则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逻辑必须自洽、规则一旦确定永不修改、数据生产必须是“一条一条”的任务单模式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。他强调了“同名不同企”与“同企不同名”的处理规则，以及位置数据作为独立本体的必要性。这次讨论为B计划的落地扫清了关键逻辑障碍，确保基础数据初始化与未来增新无缝衔接。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64F1C"/>
    <w:multiLevelType w:val="multilevel"/>
    <w:tmpl w:val="80B64F1C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91459496"/>
    <w:multiLevelType w:val="multilevel"/>
    <w:tmpl w:val="91459496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2">
    <w:nsid w:val="9383354B"/>
    <w:multiLevelType w:val="multilevel"/>
    <w:tmpl w:val="9383354B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3">
    <w:nsid w:val="C8548D0E"/>
    <w:multiLevelType w:val="multilevel"/>
    <w:tmpl w:val="C8548D0E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EDA7EDC4"/>
    <w:multiLevelType w:val="multilevel"/>
    <w:tmpl w:val="EDA7EDC4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5">
    <w:nsid w:val="07743707"/>
    <w:multiLevelType w:val="multilevel"/>
    <w:tmpl w:val="0774370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bullet"/>
      <w:lvlText w:val="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6">
    <w:nsid w:val="4B4ECC5E"/>
    <w:multiLevelType w:val="multilevel"/>
    <w:tmpl w:val="4B4ECC5E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bullet"/>
      <w:lvlText w:val="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000000"/>
    <w:rsid w:val="5E3A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2026-04-01T10:43:16Z</dcterms:created>
  <dc:creator>akai</dc:creator>
  <cp:lastModifiedBy>akai</cp:lastModifiedBy>
  <dcterms:modified xsi:type="dcterms:W3CDTF">2026-04-01T10:44:12Z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48E8671065D74584B216358D838BDF14_12</vt:lpwstr>
  </property>
</Properties>
</file>