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A764A">
      <w:pPr>
        <w:rPr>
          <w:rFonts w:ascii="黑体" w:eastAsia="黑体"/>
          <w:b/>
          <w:sz w:val="24"/>
        </w:rPr>
      </w:pPr>
    </w:p>
    <w:p w14:paraId="25CA764B">
      <w:pPr>
        <w:ind w:left="420"/>
        <w:jc w:val="center"/>
        <w:rPr>
          <w:rFonts w:ascii="黑体" w:eastAsia="黑体"/>
          <w:b/>
          <w:sz w:val="44"/>
          <w:szCs w:val="44"/>
        </w:rPr>
      </w:pPr>
      <w:r>
        <w:rPr>
          <w:rFonts w:ascii="黑体" w:eastAsia="黑体"/>
          <w:b/>
          <w:sz w:val="44"/>
          <w:szCs w:val="44"/>
        </w:rPr>
        <w:drawing>
          <wp:inline distT="0" distB="0" distL="114300" distR="114300">
            <wp:extent cx="988695" cy="988695"/>
            <wp:effectExtent l="0" t="0" r="1905" b="1905"/>
            <wp:docPr id="2" name="图片 1" descr="兰州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兰州大学校徽"/>
                    <pic:cNvPicPr>
                      <a:picLocks noChangeAspect="1"/>
                    </pic:cNvPicPr>
                  </pic:nvPicPr>
                  <pic:blipFill>
                    <a:blip r:embed="rId12"/>
                    <a:stretch>
                      <a:fillRect/>
                    </a:stretch>
                  </pic:blipFill>
                  <pic:spPr>
                    <a:xfrm>
                      <a:off x="0" y="0"/>
                      <a:ext cx="988695" cy="988695"/>
                    </a:xfrm>
                    <a:prstGeom prst="rect">
                      <a:avLst/>
                    </a:prstGeom>
                    <a:noFill/>
                    <a:ln>
                      <a:noFill/>
                    </a:ln>
                  </pic:spPr>
                </pic:pic>
              </a:graphicData>
            </a:graphic>
          </wp:inline>
        </w:drawing>
      </w:r>
      <w:r>
        <w:rPr>
          <w:rFonts w:hint="eastAsia" w:ascii="黑体" w:eastAsia="黑体"/>
          <w:b/>
          <w:sz w:val="44"/>
          <w:szCs w:val="44"/>
        </w:rPr>
        <w:t xml:space="preserve">  </w:t>
      </w:r>
      <w:r>
        <w:rPr>
          <w:rFonts w:ascii="黑体" w:eastAsia="黑体"/>
          <w:b/>
          <w:sz w:val="44"/>
          <w:szCs w:val="44"/>
        </w:rPr>
        <w:drawing>
          <wp:inline distT="0" distB="0" distL="114300" distR="114300">
            <wp:extent cx="2743200" cy="1099820"/>
            <wp:effectExtent l="0" t="0" r="0" b="12700"/>
            <wp:docPr id="1" name="图片 2" descr="兰州大学校名-毛体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兰州大学校名-毛体字"/>
                    <pic:cNvPicPr>
                      <a:picLocks noChangeAspect="1"/>
                    </pic:cNvPicPr>
                  </pic:nvPicPr>
                  <pic:blipFill>
                    <a:blip r:embed="rId13"/>
                    <a:stretch>
                      <a:fillRect/>
                    </a:stretch>
                  </pic:blipFill>
                  <pic:spPr>
                    <a:xfrm>
                      <a:off x="0" y="0"/>
                      <a:ext cx="2743200" cy="1099820"/>
                    </a:xfrm>
                    <a:prstGeom prst="rect">
                      <a:avLst/>
                    </a:prstGeom>
                    <a:noFill/>
                    <a:ln>
                      <a:noFill/>
                    </a:ln>
                  </pic:spPr>
                </pic:pic>
              </a:graphicData>
            </a:graphic>
          </wp:inline>
        </w:drawing>
      </w:r>
    </w:p>
    <w:p w14:paraId="25CA764C">
      <w:pPr>
        <w:rPr>
          <w:rFonts w:ascii="黑体" w:eastAsia="黑体"/>
          <w:b/>
          <w:sz w:val="44"/>
          <w:szCs w:val="44"/>
        </w:rPr>
      </w:pPr>
    </w:p>
    <w:p w14:paraId="25CA764D">
      <w:pPr>
        <w:rPr>
          <w:rFonts w:ascii="黑体" w:eastAsia="黑体"/>
          <w:b/>
          <w:sz w:val="44"/>
          <w:szCs w:val="44"/>
        </w:rPr>
      </w:pPr>
    </w:p>
    <w:p w14:paraId="25CA764E">
      <w:pPr>
        <w:spacing w:before="156" w:beforeLines="50" w:line="360" w:lineRule="auto"/>
        <w:jc w:val="center"/>
        <w:rPr>
          <w:rFonts w:ascii="黑体" w:eastAsia="黑体"/>
          <w:b/>
          <w:sz w:val="48"/>
          <w:szCs w:val="44"/>
        </w:rPr>
      </w:pPr>
      <w:r>
        <w:rPr>
          <w:rFonts w:hint="eastAsia" w:ascii="黑体" w:eastAsia="黑体"/>
          <w:b/>
          <w:sz w:val="48"/>
          <w:szCs w:val="44"/>
        </w:rPr>
        <w:t>兰州大学大学生创新训练计划</w:t>
      </w:r>
    </w:p>
    <w:p w14:paraId="25CA764F">
      <w:pPr>
        <w:spacing w:before="156" w:beforeLines="50" w:line="360" w:lineRule="auto"/>
        <w:jc w:val="center"/>
        <w:rPr>
          <w:rFonts w:ascii="黑体" w:eastAsia="黑体"/>
          <w:b/>
          <w:sz w:val="48"/>
          <w:szCs w:val="44"/>
        </w:rPr>
      </w:pPr>
      <w:r>
        <w:rPr>
          <w:rFonts w:hint="eastAsia" w:ascii="黑体" w:eastAsia="黑体"/>
          <w:b/>
          <w:sz w:val="48"/>
          <w:szCs w:val="44"/>
        </w:rPr>
        <w:t>项目申报书</w:t>
      </w:r>
    </w:p>
    <w:p w14:paraId="25CA7650">
      <w:pPr>
        <w:spacing w:before="156" w:beforeLines="50" w:line="360" w:lineRule="auto"/>
        <w:jc w:val="center"/>
        <w:rPr>
          <w:rFonts w:ascii="黑体" w:eastAsia="黑体"/>
          <w:b/>
          <w:sz w:val="48"/>
          <w:szCs w:val="44"/>
        </w:rPr>
      </w:pPr>
    </w:p>
    <w:p w14:paraId="25CA7651">
      <w:pPr>
        <w:rPr>
          <w:sz w:val="52"/>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5521"/>
      </w:tblGrid>
      <w:tr w14:paraId="25CA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83" w:type="dxa"/>
            <w:tcBorders>
              <w:top w:val="nil"/>
              <w:left w:val="nil"/>
              <w:bottom w:val="nil"/>
              <w:right w:val="nil"/>
            </w:tcBorders>
            <w:vAlign w:val="center"/>
          </w:tcPr>
          <w:p w14:paraId="25CA7652">
            <w:pPr>
              <w:spacing w:line="400" w:lineRule="atLeast"/>
              <w:jc w:val="center"/>
              <w:rPr>
                <w:rFonts w:ascii="宋体" w:hAnsi="宋体"/>
                <w:b/>
                <w:bCs/>
                <w:sz w:val="32"/>
                <w:szCs w:val="32"/>
              </w:rPr>
            </w:pPr>
            <w:r>
              <w:rPr>
                <w:rFonts w:hint="eastAsia" w:ascii="宋体" w:hAnsi="宋体"/>
                <w:b/>
                <w:bCs/>
                <w:sz w:val="32"/>
                <w:szCs w:val="32"/>
              </w:rPr>
              <w:t>项目名称</w:t>
            </w:r>
          </w:p>
        </w:tc>
        <w:tc>
          <w:tcPr>
            <w:tcW w:w="5521" w:type="dxa"/>
            <w:tcBorders>
              <w:top w:val="nil"/>
              <w:left w:val="nil"/>
              <w:right w:val="nil"/>
            </w:tcBorders>
            <w:vAlign w:val="center"/>
          </w:tcPr>
          <w:p w14:paraId="25CA7653">
            <w:pPr>
              <w:spacing w:line="400" w:lineRule="atLeast"/>
              <w:jc w:val="center"/>
              <w:rPr>
                <w:rFonts w:ascii="宋体" w:hAnsi="宋体"/>
                <w:sz w:val="32"/>
                <w:szCs w:val="32"/>
              </w:rPr>
            </w:pPr>
            <w:r>
              <w:rPr>
                <w:rFonts w:ascii="宋体" w:hAnsi="宋体" w:cs="宋体"/>
                <w:sz w:val="32"/>
                <w:szCs w:val="32"/>
              </w:rPr>
              <w:t>基于周尺度监测数据与气候因子的巴西基孔肯雅热动力学建模</w:t>
            </w:r>
            <w:r>
              <w:rPr>
                <w:rFonts w:hint="eastAsia" w:ascii="宋体" w:hAnsi="宋体" w:cs="宋体"/>
                <w:sz w:val="32"/>
                <w:szCs w:val="32"/>
              </w:rPr>
              <w:t>与预测分析</w:t>
            </w:r>
          </w:p>
        </w:tc>
      </w:tr>
      <w:tr w14:paraId="25CA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83" w:type="dxa"/>
            <w:tcBorders>
              <w:top w:val="nil"/>
              <w:left w:val="nil"/>
              <w:bottom w:val="nil"/>
              <w:right w:val="nil"/>
            </w:tcBorders>
            <w:vAlign w:val="center"/>
          </w:tcPr>
          <w:p w14:paraId="25CA7655">
            <w:pPr>
              <w:spacing w:line="400" w:lineRule="atLeast"/>
              <w:jc w:val="center"/>
              <w:rPr>
                <w:rFonts w:ascii="宋体" w:hAnsi="宋体"/>
                <w:b/>
                <w:bCs/>
                <w:sz w:val="32"/>
                <w:szCs w:val="32"/>
              </w:rPr>
            </w:pPr>
            <w:r>
              <w:rPr>
                <w:rFonts w:hint="eastAsia" w:ascii="宋体" w:hAnsi="宋体"/>
                <w:b/>
                <w:bCs/>
                <w:sz w:val="32"/>
                <w:szCs w:val="32"/>
              </w:rPr>
              <w:t>负 责 人</w:t>
            </w:r>
          </w:p>
        </w:tc>
        <w:tc>
          <w:tcPr>
            <w:tcW w:w="5521" w:type="dxa"/>
            <w:tcBorders>
              <w:left w:val="nil"/>
              <w:right w:val="nil"/>
            </w:tcBorders>
            <w:vAlign w:val="center"/>
          </w:tcPr>
          <w:p w14:paraId="25CA7656">
            <w:pPr>
              <w:spacing w:line="400" w:lineRule="atLeast"/>
              <w:jc w:val="center"/>
              <w:rPr>
                <w:rFonts w:ascii="宋体" w:hAnsi="宋体"/>
                <w:sz w:val="32"/>
                <w:szCs w:val="32"/>
              </w:rPr>
            </w:pPr>
            <w:r>
              <w:rPr>
                <w:rFonts w:hint="eastAsia" w:ascii="宋体" w:hAnsi="宋体"/>
                <w:sz w:val="32"/>
                <w:szCs w:val="32"/>
              </w:rPr>
              <w:t>王志灏</w:t>
            </w:r>
          </w:p>
        </w:tc>
      </w:tr>
      <w:tr w14:paraId="25CA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83" w:type="dxa"/>
            <w:tcBorders>
              <w:top w:val="nil"/>
              <w:left w:val="nil"/>
              <w:bottom w:val="nil"/>
              <w:right w:val="nil"/>
            </w:tcBorders>
            <w:vAlign w:val="center"/>
          </w:tcPr>
          <w:p w14:paraId="25CA7658">
            <w:pPr>
              <w:spacing w:line="400" w:lineRule="atLeast"/>
              <w:jc w:val="center"/>
              <w:rPr>
                <w:rFonts w:ascii="宋体" w:hAnsi="宋体"/>
                <w:b/>
                <w:bCs/>
                <w:sz w:val="32"/>
                <w:szCs w:val="32"/>
              </w:rPr>
            </w:pPr>
            <w:r>
              <w:rPr>
                <w:rFonts w:hint="eastAsia" w:ascii="宋体" w:hAnsi="宋体"/>
                <w:b/>
                <w:bCs/>
                <w:sz w:val="32"/>
                <w:szCs w:val="32"/>
              </w:rPr>
              <w:t>指导教师</w:t>
            </w:r>
          </w:p>
        </w:tc>
        <w:tc>
          <w:tcPr>
            <w:tcW w:w="5521" w:type="dxa"/>
            <w:tcBorders>
              <w:left w:val="nil"/>
              <w:right w:val="nil"/>
            </w:tcBorders>
            <w:vAlign w:val="center"/>
          </w:tcPr>
          <w:p w14:paraId="25CA7659">
            <w:pPr>
              <w:spacing w:line="400" w:lineRule="atLeast"/>
              <w:jc w:val="center"/>
              <w:rPr>
                <w:rFonts w:ascii="宋体" w:hAnsi="宋体"/>
                <w:sz w:val="32"/>
                <w:szCs w:val="32"/>
              </w:rPr>
            </w:pPr>
            <w:r>
              <w:rPr>
                <w:rFonts w:hint="eastAsia" w:ascii="宋体" w:hAnsi="宋体"/>
                <w:sz w:val="32"/>
                <w:szCs w:val="32"/>
              </w:rPr>
              <w:t>李维德</w:t>
            </w:r>
          </w:p>
        </w:tc>
      </w:tr>
      <w:tr w14:paraId="25CA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83" w:type="dxa"/>
            <w:tcBorders>
              <w:top w:val="nil"/>
              <w:left w:val="nil"/>
              <w:bottom w:val="nil"/>
              <w:right w:val="nil"/>
            </w:tcBorders>
            <w:vAlign w:val="center"/>
          </w:tcPr>
          <w:p w14:paraId="25CA765B">
            <w:pPr>
              <w:spacing w:line="400" w:lineRule="atLeast"/>
              <w:jc w:val="center"/>
              <w:rPr>
                <w:rFonts w:ascii="宋体" w:hAnsi="宋体"/>
                <w:b/>
                <w:bCs/>
                <w:sz w:val="32"/>
                <w:szCs w:val="32"/>
              </w:rPr>
            </w:pPr>
            <w:r>
              <w:rPr>
                <w:rFonts w:hint="eastAsia" w:ascii="宋体" w:hAnsi="宋体"/>
                <w:b/>
                <w:bCs/>
                <w:sz w:val="32"/>
                <w:szCs w:val="32"/>
              </w:rPr>
              <w:t>立项单位</w:t>
            </w:r>
          </w:p>
        </w:tc>
        <w:tc>
          <w:tcPr>
            <w:tcW w:w="5521" w:type="dxa"/>
            <w:tcBorders>
              <w:left w:val="nil"/>
              <w:right w:val="nil"/>
            </w:tcBorders>
            <w:vAlign w:val="center"/>
          </w:tcPr>
          <w:p w14:paraId="25CA765C">
            <w:pPr>
              <w:spacing w:line="400" w:lineRule="atLeast"/>
              <w:jc w:val="center"/>
              <w:rPr>
                <w:rFonts w:ascii="宋体" w:hAnsi="宋体"/>
                <w:sz w:val="32"/>
                <w:szCs w:val="32"/>
              </w:rPr>
            </w:pPr>
            <w:r>
              <w:rPr>
                <w:rFonts w:hint="eastAsia" w:ascii="宋体" w:hAnsi="宋体"/>
                <w:sz w:val="32"/>
                <w:szCs w:val="32"/>
              </w:rPr>
              <w:t>兰州大学数学与统计学院</w:t>
            </w:r>
          </w:p>
        </w:tc>
      </w:tr>
      <w:tr w14:paraId="25CA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83" w:type="dxa"/>
            <w:tcBorders>
              <w:top w:val="nil"/>
              <w:left w:val="nil"/>
              <w:bottom w:val="nil"/>
              <w:right w:val="nil"/>
            </w:tcBorders>
            <w:vAlign w:val="center"/>
          </w:tcPr>
          <w:p w14:paraId="25CA765E">
            <w:pPr>
              <w:spacing w:line="400" w:lineRule="atLeast"/>
              <w:jc w:val="center"/>
              <w:rPr>
                <w:rFonts w:ascii="宋体" w:hAnsi="宋体"/>
                <w:b/>
                <w:bCs/>
                <w:sz w:val="32"/>
                <w:szCs w:val="32"/>
              </w:rPr>
            </w:pPr>
            <w:r>
              <w:rPr>
                <w:rFonts w:hint="eastAsia" w:ascii="宋体" w:hAnsi="宋体"/>
                <w:b/>
                <w:bCs/>
                <w:sz w:val="32"/>
                <w:szCs w:val="32"/>
              </w:rPr>
              <w:t>项目类别</w:t>
            </w:r>
          </w:p>
        </w:tc>
        <w:tc>
          <w:tcPr>
            <w:tcW w:w="5521" w:type="dxa"/>
            <w:tcBorders>
              <w:left w:val="nil"/>
              <w:right w:val="nil"/>
            </w:tcBorders>
            <w:vAlign w:val="center"/>
          </w:tcPr>
          <w:p w14:paraId="25CA765F">
            <w:pPr>
              <w:spacing w:line="400" w:lineRule="atLeast"/>
              <w:jc w:val="center"/>
              <w:rPr>
                <w:rFonts w:ascii="宋体" w:hAnsi="宋体"/>
                <w:sz w:val="32"/>
                <w:szCs w:val="32"/>
              </w:rPr>
            </w:pPr>
            <w:r>
              <w:rPr>
                <w:rFonts w:hint="eastAsia" w:ascii="宋体" w:hAnsi="宋体"/>
                <w:b/>
                <w:bCs/>
                <w:sz w:val="32"/>
                <w:szCs w:val="32"/>
              </w:rPr>
              <w:t>☑创新训练 □创业训练 □创业实践</w:t>
            </w:r>
          </w:p>
        </w:tc>
      </w:tr>
      <w:tr w14:paraId="25CA7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83" w:type="dxa"/>
            <w:tcBorders>
              <w:top w:val="nil"/>
              <w:left w:val="nil"/>
              <w:bottom w:val="nil"/>
              <w:right w:val="nil"/>
            </w:tcBorders>
            <w:vAlign w:val="center"/>
          </w:tcPr>
          <w:p w14:paraId="25CA7661">
            <w:pPr>
              <w:spacing w:line="400" w:lineRule="atLeast"/>
              <w:jc w:val="center"/>
              <w:rPr>
                <w:rFonts w:ascii="宋体" w:hAnsi="宋体"/>
                <w:b/>
                <w:bCs/>
                <w:sz w:val="32"/>
                <w:szCs w:val="32"/>
              </w:rPr>
            </w:pPr>
            <w:r>
              <w:rPr>
                <w:rFonts w:hint="eastAsia" w:ascii="宋体" w:hAnsi="宋体"/>
                <w:b/>
                <w:bCs/>
                <w:sz w:val="32"/>
                <w:szCs w:val="32"/>
              </w:rPr>
              <w:t>起止时间</w:t>
            </w:r>
          </w:p>
        </w:tc>
        <w:tc>
          <w:tcPr>
            <w:tcW w:w="5521" w:type="dxa"/>
            <w:tcBorders>
              <w:left w:val="nil"/>
              <w:right w:val="nil"/>
            </w:tcBorders>
            <w:vAlign w:val="center"/>
          </w:tcPr>
          <w:p w14:paraId="25CA7662">
            <w:pPr>
              <w:spacing w:line="400" w:lineRule="atLeast"/>
              <w:jc w:val="center"/>
              <w:rPr>
                <w:rFonts w:ascii="宋体" w:hAnsi="宋体"/>
                <w:sz w:val="32"/>
                <w:szCs w:val="32"/>
              </w:rPr>
            </w:pPr>
            <w:r>
              <w:rPr>
                <w:rFonts w:hint="eastAsia" w:ascii="宋体" w:hAnsi="宋体"/>
                <w:sz w:val="32"/>
                <w:szCs w:val="32"/>
              </w:rPr>
              <w:t xml:space="preserve"> 2026年4月至2027年4月</w:t>
            </w:r>
          </w:p>
        </w:tc>
      </w:tr>
    </w:tbl>
    <w:p w14:paraId="25CA7664">
      <w:pPr>
        <w:ind w:firstLine="300" w:firstLineChars="100"/>
        <w:jc w:val="center"/>
        <w:rPr>
          <w:rFonts w:ascii="黑体" w:eastAsia="黑体"/>
          <w:sz w:val="30"/>
          <w:szCs w:val="30"/>
        </w:rPr>
      </w:pPr>
    </w:p>
    <w:p w14:paraId="25CA7665">
      <w:pPr>
        <w:ind w:firstLine="300" w:firstLineChars="100"/>
        <w:jc w:val="center"/>
        <w:rPr>
          <w:rFonts w:ascii="黑体" w:eastAsia="黑体"/>
          <w:sz w:val="30"/>
          <w:szCs w:val="30"/>
        </w:rPr>
      </w:pPr>
    </w:p>
    <w:p w14:paraId="25CA7666">
      <w:pPr>
        <w:ind w:firstLine="300" w:firstLineChars="100"/>
        <w:jc w:val="center"/>
        <w:rPr>
          <w:rFonts w:ascii="黑体" w:eastAsia="黑体"/>
          <w:sz w:val="30"/>
          <w:szCs w:val="30"/>
        </w:rPr>
      </w:pPr>
    </w:p>
    <w:p w14:paraId="25CA7667">
      <w:pPr>
        <w:ind w:firstLine="300" w:firstLineChars="100"/>
        <w:jc w:val="center"/>
        <w:rPr>
          <w:rFonts w:ascii="黑体" w:eastAsia="黑体"/>
          <w:sz w:val="30"/>
          <w:szCs w:val="30"/>
        </w:rPr>
        <w:sectPr>
          <w:headerReference r:id="rId4" w:type="first"/>
          <w:footerReference r:id="rId7" w:type="first"/>
          <w:headerReference r:id="rId3" w:type="default"/>
          <w:footerReference r:id="rId5" w:type="default"/>
          <w:footerReference r:id="rId6" w:type="even"/>
          <w:pgSz w:w="11906" w:h="16838"/>
          <w:pgMar w:top="1869" w:right="1800" w:bottom="1246" w:left="1800" w:header="851" w:footer="992" w:gutter="0"/>
          <w:cols w:space="720" w:num="1"/>
          <w:titlePg/>
          <w:docGrid w:type="lines" w:linePitch="312" w:charSpace="0"/>
        </w:sectPr>
      </w:pPr>
      <w:r>
        <w:rPr>
          <w:rFonts w:hint="eastAsia" w:ascii="黑体" w:eastAsia="黑体"/>
          <w:sz w:val="30"/>
          <w:szCs w:val="30"/>
        </w:rPr>
        <w:t>兰州大学创新创业教育工作领导小组办公室 制</w:t>
      </w:r>
    </w:p>
    <w:p w14:paraId="25CA7668">
      <w:pPr>
        <w:spacing w:line="360" w:lineRule="auto"/>
        <w:jc w:val="center"/>
        <w:rPr>
          <w:rFonts w:ascii="黑体" w:hAnsi="宋体" w:eastAsia="黑体"/>
          <w:b/>
          <w:sz w:val="30"/>
          <w:szCs w:val="30"/>
          <w:highlight w:val="yellow"/>
        </w:rPr>
      </w:pPr>
      <w:r>
        <w:rPr>
          <w:rFonts w:hint="eastAsia" w:ascii="黑体" w:hAnsi="宋体" w:eastAsia="黑体"/>
          <w:b/>
          <w:sz w:val="30"/>
          <w:szCs w:val="30"/>
        </w:rPr>
        <w:t>填 报 说 明</w:t>
      </w:r>
    </w:p>
    <w:p w14:paraId="25CA7669">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一、学生个人、团队均可申报项目。其中，团队项目须设立项目负责人，且必须有低年级学生参与。</w:t>
      </w:r>
    </w:p>
    <w:p w14:paraId="25CA766A">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二、项目负责人须为我校具有全日制学籍的非毕业年级在校学生，毕业年级学生须已确定保送我校研究生；团队项目成员原则上应为我校具有全日制学籍的在校学生。</w:t>
      </w:r>
    </w:p>
    <w:p w14:paraId="25CA766B">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三、项目负责人只能主持1项大创项目，同时可作为项目成员参与其他大创项目不超过1项；项目成员最多可参与2项大创项目。</w:t>
      </w:r>
    </w:p>
    <w:p w14:paraId="25CA766C">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四、创新训练项目的立项单位原则上应为项目负责人或指导教师所在学院，创业类项目立项单位统一为兰州大学创新创业教育工作领导小组办公室（校团委）。</w:t>
      </w:r>
    </w:p>
    <w:p w14:paraId="25CA766D">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五、申报书请如实填写，表达明确严谨。所需签字之处，必须由相应人员亲笔签名。如有弄虚作假现象，一经核实，将按照撤项处理。</w:t>
      </w:r>
    </w:p>
    <w:p w14:paraId="25CA766E">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六、项目实施时间的起止年月一般按自然年填写，每个项目原则上在1或2年内完成，以一年为一阶段。申报书的各项内容，要实事求是，表达要明确、严谨。第一次出现的缩写词，需注出全称。</w:t>
      </w:r>
    </w:p>
    <w:p w14:paraId="25CA766F">
      <w:pPr>
        <w:spacing w:line="400" w:lineRule="exact"/>
        <w:ind w:firstLine="470" w:firstLineChars="196"/>
        <w:rPr>
          <w:rFonts w:ascii="仿宋_GB2312" w:hAnsi="仿宋_GB2312" w:eastAsia="仿宋_GB2312" w:cs="仿宋_GB2312"/>
          <w:sz w:val="24"/>
        </w:rPr>
      </w:pPr>
      <w:r>
        <w:rPr>
          <w:rFonts w:hint="eastAsia" w:ascii="仿宋_GB2312" w:hAnsi="仿宋_GB2312" w:eastAsia="仿宋_GB2312" w:cs="仿宋_GB2312"/>
          <w:sz w:val="24"/>
        </w:rPr>
        <w:t>七、项目及子项目经费预算中的科目名称可根据预算情况填写实验耗材、药品、试剂、图书资料、实地调研，参加校内外会议，生产采购、广告营销，场地租赁等。</w:t>
      </w:r>
    </w:p>
    <w:p w14:paraId="25CA7670">
      <w:pPr>
        <w:spacing w:line="360" w:lineRule="auto"/>
        <w:ind w:firstLine="470" w:firstLineChars="196"/>
        <w:jc w:val="left"/>
        <w:rPr>
          <w:rFonts w:ascii="仿宋_GB2312" w:hAnsi="仿宋_GB2312" w:eastAsia="仿宋_GB2312" w:cs="仿宋_GB2312"/>
          <w:bCs/>
          <w:sz w:val="24"/>
        </w:rPr>
      </w:pPr>
      <w:r>
        <w:rPr>
          <w:rFonts w:hint="eastAsia" w:ascii="仿宋_GB2312" w:hAnsi="仿宋_GB2312" w:eastAsia="仿宋_GB2312" w:cs="仿宋_GB2312"/>
          <w:bCs/>
          <w:sz w:val="24"/>
        </w:rPr>
        <w:t>八、所有项目均由项目负责人通过“团委综合业务管理系统”进行线上申报，申报时须上传项目申报书电子版（word版与指导教师签字、立项单位团委盖章后的PDF扫描件各一份）。</w:t>
      </w:r>
    </w:p>
    <w:p w14:paraId="25CA7671">
      <w:pPr>
        <w:spacing w:line="360" w:lineRule="auto"/>
        <w:ind w:firstLine="470" w:firstLineChars="196"/>
        <w:jc w:val="left"/>
        <w:rPr>
          <w:rFonts w:ascii="仿宋_GB2312" w:hAnsi="仿宋_GB2312" w:eastAsia="仿宋_GB2312" w:cs="仿宋_GB2312"/>
          <w:bCs/>
          <w:sz w:val="24"/>
        </w:rPr>
      </w:pPr>
      <w:r>
        <w:rPr>
          <w:rFonts w:hint="eastAsia" w:ascii="仿宋_GB2312" w:hAnsi="仿宋_GB2312" w:eastAsia="仿宋_GB2312" w:cs="仿宋_GB2312"/>
          <w:bCs/>
          <w:sz w:val="24"/>
        </w:rPr>
        <w:t>九、</w:t>
      </w:r>
      <w:r>
        <w:rPr>
          <w:rFonts w:hint="eastAsia" w:ascii="仿宋_GB2312" w:hAnsi="仿宋_GB2312" w:eastAsia="仿宋_GB2312" w:cs="仿宋_GB2312"/>
          <w:sz w:val="24"/>
        </w:rPr>
        <w:t>兰州大学创新创业教育工作领导小组办公室（校团委）</w:t>
      </w:r>
      <w:r>
        <w:rPr>
          <w:rFonts w:hint="eastAsia" w:ascii="仿宋_GB2312" w:hAnsi="仿宋_GB2312" w:eastAsia="仿宋_GB2312" w:cs="仿宋_GB2312"/>
          <w:bCs/>
          <w:sz w:val="24"/>
        </w:rPr>
        <w:t>不再收取纸质版项目申报书；立项答辩评审阶段是否收取纸质版项目申报书，可根据立项单位具体工作安排确定。</w:t>
      </w:r>
    </w:p>
    <w:p w14:paraId="25CA7672">
      <w:pPr>
        <w:spacing w:line="400" w:lineRule="exact"/>
        <w:jc w:val="left"/>
        <w:rPr>
          <w:rFonts w:ascii="仿宋_GB2312" w:eastAsia="仿宋_GB2312"/>
          <w:b/>
          <w:color w:val="FF0000"/>
          <w:sz w:val="24"/>
          <w:shd w:val="pct10" w:color="auto" w:fill="FFFFFF"/>
        </w:rPr>
      </w:pPr>
    </w:p>
    <w:p w14:paraId="25CA7673">
      <w:pPr>
        <w:spacing w:line="400" w:lineRule="exact"/>
        <w:jc w:val="left"/>
        <w:rPr>
          <w:rFonts w:ascii="仿宋_GB2312" w:eastAsia="仿宋_GB2312"/>
          <w:b/>
          <w:color w:val="FF0000"/>
          <w:sz w:val="24"/>
          <w:shd w:val="pct10" w:color="auto" w:fill="FFFFFF"/>
        </w:rPr>
        <w:sectPr>
          <w:footerReference r:id="rId8" w:type="default"/>
          <w:pgSz w:w="11906" w:h="16838"/>
          <w:pgMar w:top="1869" w:right="1800" w:bottom="1246" w:left="1800" w:header="851" w:footer="992" w:gutter="0"/>
          <w:pgNumType w:start="1"/>
          <w:cols w:space="720" w:num="1"/>
          <w:docGrid w:type="lines" w:linePitch="312" w:charSpace="0"/>
        </w:sectPr>
      </w:pPr>
    </w:p>
    <w:p w14:paraId="25CA7674">
      <w:pPr>
        <w:spacing w:line="400" w:lineRule="exact"/>
        <w:jc w:val="left"/>
        <w:rPr>
          <w:rFonts w:ascii="仿宋_GB2312" w:eastAsia="仿宋_GB2312"/>
          <w:b/>
          <w:color w:val="FF0000"/>
          <w:sz w:val="24"/>
          <w:shd w:val="pct10" w:color="auto" w:fill="FFFFFF"/>
        </w:rPr>
      </w:pPr>
    </w:p>
    <w:tbl>
      <w:tblPr>
        <w:tblStyle w:val="1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1217"/>
        <w:gridCol w:w="1895"/>
        <w:gridCol w:w="2038"/>
        <w:gridCol w:w="2358"/>
      </w:tblGrid>
      <w:tr w14:paraId="25CA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231" w:type="dxa"/>
            <w:gridSpan w:val="2"/>
            <w:vAlign w:val="center"/>
          </w:tcPr>
          <w:p w14:paraId="25CA7675">
            <w:pPr>
              <w:spacing w:line="360" w:lineRule="exact"/>
            </w:pPr>
            <w:r>
              <w:rPr>
                <w:rFonts w:hint="eastAsia"/>
              </w:rPr>
              <w:t>项目名称</w:t>
            </w:r>
          </w:p>
        </w:tc>
        <w:tc>
          <w:tcPr>
            <w:tcW w:w="6291" w:type="dxa"/>
            <w:gridSpan w:val="3"/>
            <w:vAlign w:val="center"/>
          </w:tcPr>
          <w:p w14:paraId="25CA7676">
            <w:pPr>
              <w:spacing w:line="360" w:lineRule="exact"/>
              <w:rPr>
                <w:szCs w:val="21"/>
              </w:rPr>
            </w:pPr>
            <w:r>
              <w:rPr>
                <w:rFonts w:ascii="宋体" w:hAnsi="宋体" w:cs="宋体"/>
                <w:szCs w:val="21"/>
              </w:rPr>
              <w:t>基于周尺度监测数据与气候因子的巴西基孔肯雅热动力学建模</w:t>
            </w:r>
            <w:r>
              <w:rPr>
                <w:rFonts w:hint="eastAsia" w:ascii="宋体" w:hAnsi="宋体" w:cs="宋体"/>
                <w:szCs w:val="21"/>
              </w:rPr>
              <w:t>与预测分析</w:t>
            </w:r>
          </w:p>
        </w:tc>
      </w:tr>
      <w:tr w14:paraId="25CA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231" w:type="dxa"/>
            <w:gridSpan w:val="2"/>
            <w:vAlign w:val="center"/>
          </w:tcPr>
          <w:p w14:paraId="25CA7678">
            <w:pPr>
              <w:spacing w:line="360" w:lineRule="exact"/>
            </w:pPr>
            <w:r>
              <w:rPr>
                <w:rFonts w:hint="eastAsia"/>
              </w:rPr>
              <w:t>项目类型</w:t>
            </w:r>
          </w:p>
        </w:tc>
        <w:tc>
          <w:tcPr>
            <w:tcW w:w="6291" w:type="dxa"/>
            <w:gridSpan w:val="3"/>
            <w:vAlign w:val="center"/>
          </w:tcPr>
          <w:p w14:paraId="25CA7679">
            <w:pPr>
              <w:spacing w:line="360" w:lineRule="exact"/>
            </w:pPr>
            <w:r>
              <w:rPr>
                <w:rFonts w:hint="eastAsia"/>
              </w:rPr>
              <w:t>☑创新训练        □创业训练       □创业实践</w:t>
            </w:r>
          </w:p>
        </w:tc>
      </w:tr>
      <w:tr w14:paraId="25C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31" w:type="dxa"/>
            <w:gridSpan w:val="2"/>
            <w:vAlign w:val="center"/>
          </w:tcPr>
          <w:p w14:paraId="25CA767B">
            <w:pPr>
              <w:spacing w:line="360" w:lineRule="exact"/>
            </w:pPr>
            <w:r>
              <w:rPr>
                <w:rFonts w:hint="eastAsia"/>
              </w:rPr>
              <w:t>项目所属专业类</w:t>
            </w:r>
          </w:p>
          <w:p w14:paraId="25CA767C">
            <w:pPr>
              <w:spacing w:line="360" w:lineRule="exact"/>
            </w:pPr>
            <w:r>
              <w:rPr>
                <w:rFonts w:hint="eastAsia"/>
              </w:rPr>
              <w:t>代码</w:t>
            </w:r>
          </w:p>
        </w:tc>
        <w:tc>
          <w:tcPr>
            <w:tcW w:w="6291" w:type="dxa"/>
            <w:gridSpan w:val="3"/>
            <w:vAlign w:val="center"/>
          </w:tcPr>
          <w:p w14:paraId="25CA767D">
            <w:pPr>
              <w:spacing w:line="360" w:lineRule="exact"/>
              <w:rPr>
                <w:color w:val="FF0000"/>
                <w:sz w:val="20"/>
                <w:szCs w:val="22"/>
              </w:rPr>
            </w:pPr>
            <w:r>
              <w:rPr>
                <w:rFonts w:hint="eastAsia"/>
                <w:sz w:val="20"/>
                <w:szCs w:val="22"/>
              </w:rPr>
              <w:t>070101</w:t>
            </w:r>
          </w:p>
        </w:tc>
      </w:tr>
      <w:tr w14:paraId="25CA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231" w:type="dxa"/>
            <w:gridSpan w:val="2"/>
            <w:vAlign w:val="center"/>
          </w:tcPr>
          <w:p w14:paraId="25CA767F">
            <w:pPr>
              <w:spacing w:line="360" w:lineRule="exact"/>
            </w:pPr>
            <w:r>
              <w:rPr>
                <w:rFonts w:hint="eastAsia"/>
              </w:rPr>
              <w:t>申请经费</w:t>
            </w:r>
          </w:p>
        </w:tc>
        <w:tc>
          <w:tcPr>
            <w:tcW w:w="6291" w:type="dxa"/>
            <w:gridSpan w:val="3"/>
            <w:vAlign w:val="center"/>
          </w:tcPr>
          <w:p w14:paraId="25CA7680">
            <w:pPr>
              <w:spacing w:line="360" w:lineRule="exact"/>
            </w:pPr>
            <w:r>
              <w:rPr>
                <w:rFonts w:hint="eastAsia"/>
              </w:rPr>
              <w:t>3000元</w:t>
            </w:r>
          </w:p>
        </w:tc>
      </w:tr>
      <w:tr w14:paraId="25CA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restart"/>
            <w:textDirection w:val="tbRlV"/>
            <w:vAlign w:val="center"/>
          </w:tcPr>
          <w:p w14:paraId="25CA7682">
            <w:pPr>
              <w:spacing w:line="360" w:lineRule="exact"/>
            </w:pPr>
            <w:r>
              <w:rPr>
                <w:rFonts w:hint="eastAsia"/>
              </w:rPr>
              <w:t>申请人信息</w:t>
            </w:r>
          </w:p>
          <w:p w14:paraId="25CA7683">
            <w:pPr>
              <w:spacing w:line="360" w:lineRule="exact"/>
            </w:pPr>
            <w:r>
              <w:rPr>
                <w:rFonts w:hint="eastAsia"/>
              </w:rPr>
              <w:t>（按排序填写，负责人第一行）</w:t>
            </w:r>
          </w:p>
        </w:tc>
        <w:tc>
          <w:tcPr>
            <w:tcW w:w="1217" w:type="dxa"/>
            <w:vAlign w:val="center"/>
          </w:tcPr>
          <w:p w14:paraId="25CA7684">
            <w:pPr>
              <w:spacing w:line="360" w:lineRule="exact"/>
            </w:pPr>
            <w:r>
              <w:rPr>
                <w:rFonts w:hint="eastAsia"/>
              </w:rPr>
              <w:t>姓名</w:t>
            </w:r>
          </w:p>
        </w:tc>
        <w:tc>
          <w:tcPr>
            <w:tcW w:w="1895" w:type="dxa"/>
            <w:vAlign w:val="center"/>
          </w:tcPr>
          <w:p w14:paraId="25CA7685">
            <w:pPr>
              <w:spacing w:line="360" w:lineRule="exact"/>
            </w:pPr>
            <w:r>
              <w:rPr>
                <w:rFonts w:hint="eastAsia"/>
              </w:rPr>
              <w:t>学号</w:t>
            </w:r>
          </w:p>
        </w:tc>
        <w:tc>
          <w:tcPr>
            <w:tcW w:w="2038" w:type="dxa"/>
            <w:vAlign w:val="center"/>
          </w:tcPr>
          <w:p w14:paraId="25CA7686">
            <w:pPr>
              <w:spacing w:line="360" w:lineRule="exact"/>
            </w:pPr>
            <w:r>
              <w:rPr>
                <w:rFonts w:hint="eastAsia"/>
              </w:rPr>
              <w:t>学院及专业</w:t>
            </w:r>
          </w:p>
          <w:p w14:paraId="25CA7687">
            <w:pPr>
              <w:spacing w:line="360" w:lineRule="exact"/>
            </w:pPr>
            <w:r>
              <w:rPr>
                <w:rFonts w:hint="eastAsia"/>
              </w:rPr>
              <w:t>（填写全称）</w:t>
            </w:r>
          </w:p>
        </w:tc>
        <w:tc>
          <w:tcPr>
            <w:tcW w:w="2358" w:type="dxa"/>
            <w:vAlign w:val="center"/>
          </w:tcPr>
          <w:p w14:paraId="25CA7688">
            <w:pPr>
              <w:spacing w:line="360" w:lineRule="exact"/>
            </w:pPr>
            <w:r>
              <w:rPr>
                <w:rFonts w:hint="eastAsia"/>
              </w:rPr>
              <w:t>年级</w:t>
            </w:r>
          </w:p>
        </w:tc>
      </w:tr>
      <w:tr w14:paraId="25CA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tcPr>
          <w:p w14:paraId="25CA768A">
            <w:pPr>
              <w:spacing w:line="360" w:lineRule="exact"/>
              <w:ind w:left="113" w:right="113"/>
            </w:pPr>
          </w:p>
        </w:tc>
        <w:tc>
          <w:tcPr>
            <w:tcW w:w="1217" w:type="dxa"/>
            <w:tcBorders>
              <w:bottom w:val="single" w:color="auto" w:sz="4" w:space="0"/>
            </w:tcBorders>
            <w:vAlign w:val="center"/>
          </w:tcPr>
          <w:p w14:paraId="25CA768B">
            <w:pPr>
              <w:spacing w:line="360" w:lineRule="exact"/>
            </w:pPr>
            <w:r>
              <w:rPr>
                <w:rFonts w:hint="eastAsia"/>
              </w:rPr>
              <w:t>王志灏</w:t>
            </w:r>
          </w:p>
        </w:tc>
        <w:tc>
          <w:tcPr>
            <w:tcW w:w="1895" w:type="dxa"/>
            <w:tcBorders>
              <w:top w:val="nil"/>
              <w:bottom w:val="single" w:color="auto" w:sz="4" w:space="0"/>
            </w:tcBorders>
            <w:vAlign w:val="center"/>
          </w:tcPr>
          <w:p w14:paraId="25CA768C">
            <w:pPr>
              <w:spacing w:line="360" w:lineRule="exact"/>
            </w:pPr>
            <w:r>
              <w:rPr>
                <w:rFonts w:hint="eastAsia"/>
              </w:rPr>
              <w:t>320240930401</w:t>
            </w:r>
          </w:p>
        </w:tc>
        <w:tc>
          <w:tcPr>
            <w:tcW w:w="2038" w:type="dxa"/>
            <w:tcBorders>
              <w:bottom w:val="single" w:color="auto" w:sz="4" w:space="0"/>
            </w:tcBorders>
            <w:vAlign w:val="center"/>
          </w:tcPr>
          <w:p w14:paraId="25CA768D">
            <w:pPr>
              <w:spacing w:line="360" w:lineRule="exact"/>
            </w:pPr>
            <w:r>
              <w:rPr>
                <w:rFonts w:hint="eastAsia"/>
              </w:rPr>
              <w:t>数学与统计学院数学类</w:t>
            </w:r>
          </w:p>
        </w:tc>
        <w:tc>
          <w:tcPr>
            <w:tcW w:w="2358" w:type="dxa"/>
            <w:tcBorders>
              <w:bottom w:val="single" w:color="auto" w:sz="4" w:space="0"/>
            </w:tcBorders>
            <w:vAlign w:val="center"/>
          </w:tcPr>
          <w:p w14:paraId="25CA768E">
            <w:pPr>
              <w:spacing w:line="360" w:lineRule="exact"/>
            </w:pPr>
            <w:r>
              <w:rPr>
                <w:rFonts w:hint="eastAsia"/>
              </w:rPr>
              <w:t>2024级</w:t>
            </w:r>
          </w:p>
        </w:tc>
      </w:tr>
      <w:tr w14:paraId="25CA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tcPr>
          <w:p w14:paraId="25CA7690">
            <w:pPr>
              <w:spacing w:line="360" w:lineRule="exact"/>
              <w:ind w:left="113" w:right="113"/>
            </w:pPr>
          </w:p>
        </w:tc>
        <w:tc>
          <w:tcPr>
            <w:tcW w:w="1217" w:type="dxa"/>
            <w:tcBorders>
              <w:top w:val="single" w:color="auto" w:sz="4" w:space="0"/>
              <w:bottom w:val="single" w:color="auto" w:sz="4" w:space="0"/>
            </w:tcBorders>
            <w:vAlign w:val="center"/>
          </w:tcPr>
          <w:p w14:paraId="25CA7691">
            <w:pPr>
              <w:spacing w:line="360" w:lineRule="exact"/>
            </w:pPr>
            <w:r>
              <w:rPr>
                <w:rFonts w:hint="eastAsia"/>
              </w:rPr>
              <w:t>袁伟</w:t>
            </w:r>
          </w:p>
        </w:tc>
        <w:tc>
          <w:tcPr>
            <w:tcW w:w="1895" w:type="dxa"/>
            <w:tcBorders>
              <w:top w:val="single" w:color="auto" w:sz="4" w:space="0"/>
              <w:bottom w:val="single" w:color="auto" w:sz="4" w:space="0"/>
            </w:tcBorders>
            <w:vAlign w:val="center"/>
          </w:tcPr>
          <w:p w14:paraId="25CA7692">
            <w:pPr>
              <w:spacing w:line="360" w:lineRule="exact"/>
            </w:pPr>
            <w:r>
              <w:rPr>
                <w:rFonts w:hint="eastAsia"/>
              </w:rPr>
              <w:t>320240922481</w:t>
            </w:r>
          </w:p>
        </w:tc>
        <w:tc>
          <w:tcPr>
            <w:tcW w:w="2038" w:type="dxa"/>
            <w:tcBorders>
              <w:top w:val="single" w:color="auto" w:sz="4" w:space="0"/>
              <w:bottom w:val="single" w:color="auto" w:sz="4" w:space="0"/>
            </w:tcBorders>
            <w:vAlign w:val="center"/>
          </w:tcPr>
          <w:p w14:paraId="25CA7693">
            <w:pPr>
              <w:spacing w:line="360" w:lineRule="exact"/>
            </w:pPr>
            <w:r>
              <w:rPr>
                <w:rFonts w:hint="eastAsia"/>
              </w:rPr>
              <w:t>数学与统计学院数学类</w:t>
            </w:r>
          </w:p>
        </w:tc>
        <w:tc>
          <w:tcPr>
            <w:tcW w:w="2358" w:type="dxa"/>
            <w:tcBorders>
              <w:top w:val="single" w:color="auto" w:sz="4" w:space="0"/>
              <w:bottom w:val="single" w:color="auto" w:sz="4" w:space="0"/>
            </w:tcBorders>
            <w:vAlign w:val="center"/>
          </w:tcPr>
          <w:p w14:paraId="25CA7694">
            <w:pPr>
              <w:spacing w:line="360" w:lineRule="exact"/>
            </w:pPr>
            <w:r>
              <w:rPr>
                <w:rFonts w:hint="eastAsia"/>
              </w:rPr>
              <w:t>2024级</w:t>
            </w:r>
          </w:p>
        </w:tc>
      </w:tr>
      <w:tr w14:paraId="25CA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tcPr>
          <w:p w14:paraId="25CA7696">
            <w:pPr>
              <w:spacing w:line="360" w:lineRule="exact"/>
              <w:ind w:left="113" w:right="113"/>
            </w:pPr>
          </w:p>
        </w:tc>
        <w:tc>
          <w:tcPr>
            <w:tcW w:w="1217" w:type="dxa"/>
            <w:tcBorders>
              <w:top w:val="single" w:color="auto" w:sz="4" w:space="0"/>
              <w:bottom w:val="single" w:color="auto" w:sz="4" w:space="0"/>
            </w:tcBorders>
            <w:vAlign w:val="center"/>
          </w:tcPr>
          <w:p w14:paraId="25CA7697">
            <w:pPr>
              <w:spacing w:line="360" w:lineRule="exact"/>
            </w:pPr>
            <w:r>
              <w:rPr>
                <w:rFonts w:hint="eastAsia"/>
              </w:rPr>
              <w:t>朱志柯</w:t>
            </w:r>
          </w:p>
        </w:tc>
        <w:tc>
          <w:tcPr>
            <w:tcW w:w="1895" w:type="dxa"/>
            <w:tcBorders>
              <w:top w:val="single" w:color="auto" w:sz="4" w:space="0"/>
              <w:bottom w:val="single" w:color="auto" w:sz="4" w:space="0"/>
            </w:tcBorders>
            <w:vAlign w:val="center"/>
          </w:tcPr>
          <w:p w14:paraId="25CA7698">
            <w:pPr>
              <w:spacing w:line="360" w:lineRule="exact"/>
            </w:pPr>
            <w:r>
              <w:rPr>
                <w:rFonts w:hint="eastAsia"/>
              </w:rPr>
              <w:t>320240930791</w:t>
            </w:r>
          </w:p>
        </w:tc>
        <w:tc>
          <w:tcPr>
            <w:tcW w:w="2038" w:type="dxa"/>
            <w:tcBorders>
              <w:top w:val="single" w:color="auto" w:sz="4" w:space="0"/>
              <w:bottom w:val="single" w:color="auto" w:sz="4" w:space="0"/>
            </w:tcBorders>
            <w:vAlign w:val="center"/>
          </w:tcPr>
          <w:p w14:paraId="25CA7699">
            <w:pPr>
              <w:spacing w:line="360" w:lineRule="exact"/>
            </w:pPr>
            <w:r>
              <w:rPr>
                <w:rFonts w:hint="eastAsia"/>
              </w:rPr>
              <w:t>数学与统计学院(基础理论班)</w:t>
            </w:r>
          </w:p>
        </w:tc>
        <w:tc>
          <w:tcPr>
            <w:tcW w:w="2358" w:type="dxa"/>
            <w:tcBorders>
              <w:top w:val="single" w:color="auto" w:sz="4" w:space="0"/>
              <w:bottom w:val="single" w:color="auto" w:sz="4" w:space="0"/>
            </w:tcBorders>
            <w:vAlign w:val="center"/>
          </w:tcPr>
          <w:p w14:paraId="25CA769A">
            <w:pPr>
              <w:spacing w:line="360" w:lineRule="exact"/>
            </w:pPr>
            <w:r>
              <w:rPr>
                <w:rFonts w:hint="eastAsia"/>
              </w:rPr>
              <w:t>2024级</w:t>
            </w:r>
          </w:p>
        </w:tc>
      </w:tr>
      <w:tr w14:paraId="25CA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tcPr>
          <w:p w14:paraId="25CA769C">
            <w:pPr>
              <w:spacing w:line="360" w:lineRule="exact"/>
              <w:ind w:left="113" w:right="113"/>
            </w:pPr>
          </w:p>
        </w:tc>
        <w:tc>
          <w:tcPr>
            <w:tcW w:w="1217" w:type="dxa"/>
            <w:tcBorders>
              <w:top w:val="single" w:color="auto" w:sz="4" w:space="0"/>
              <w:bottom w:val="single" w:color="auto" w:sz="4" w:space="0"/>
            </w:tcBorders>
            <w:vAlign w:val="center"/>
          </w:tcPr>
          <w:p w14:paraId="25CA769D">
            <w:pPr>
              <w:spacing w:line="360" w:lineRule="exact"/>
            </w:pPr>
            <w:r>
              <w:rPr>
                <w:rFonts w:hint="eastAsia"/>
              </w:rPr>
              <w:t>梁梦真</w:t>
            </w:r>
          </w:p>
        </w:tc>
        <w:tc>
          <w:tcPr>
            <w:tcW w:w="1895" w:type="dxa"/>
            <w:tcBorders>
              <w:top w:val="single" w:color="auto" w:sz="4" w:space="0"/>
              <w:bottom w:val="single" w:color="auto" w:sz="4" w:space="0"/>
            </w:tcBorders>
            <w:vAlign w:val="center"/>
          </w:tcPr>
          <w:p w14:paraId="25CA769E">
            <w:pPr>
              <w:spacing w:line="360" w:lineRule="exact"/>
            </w:pPr>
            <w:r>
              <w:rPr>
                <w:rFonts w:hint="eastAsia"/>
              </w:rPr>
              <w:t>320250914620</w:t>
            </w:r>
          </w:p>
        </w:tc>
        <w:tc>
          <w:tcPr>
            <w:tcW w:w="2038" w:type="dxa"/>
            <w:tcBorders>
              <w:top w:val="single" w:color="auto" w:sz="4" w:space="0"/>
              <w:bottom w:val="single" w:color="auto" w:sz="4" w:space="0"/>
            </w:tcBorders>
            <w:vAlign w:val="center"/>
          </w:tcPr>
          <w:p w14:paraId="25CA769F">
            <w:pPr>
              <w:spacing w:line="360" w:lineRule="exact"/>
            </w:pPr>
            <w:r>
              <w:rPr>
                <w:rFonts w:hint="eastAsia"/>
              </w:rPr>
              <w:t>公共卫生学院预防医学</w:t>
            </w:r>
          </w:p>
        </w:tc>
        <w:tc>
          <w:tcPr>
            <w:tcW w:w="2358" w:type="dxa"/>
            <w:tcBorders>
              <w:top w:val="single" w:color="auto" w:sz="4" w:space="0"/>
              <w:bottom w:val="single" w:color="auto" w:sz="4" w:space="0"/>
            </w:tcBorders>
            <w:vAlign w:val="center"/>
          </w:tcPr>
          <w:p w14:paraId="25CA76A0">
            <w:pPr>
              <w:spacing w:line="360" w:lineRule="exact"/>
            </w:pPr>
            <w:r>
              <w:rPr>
                <w:rFonts w:hint="eastAsia"/>
              </w:rPr>
              <w:t>2025级</w:t>
            </w:r>
          </w:p>
        </w:tc>
      </w:tr>
      <w:tr w14:paraId="25CA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4" w:hRule="atLeast"/>
          <w:jc w:val="center"/>
        </w:trPr>
        <w:tc>
          <w:tcPr>
            <w:tcW w:w="1014" w:type="dxa"/>
            <w:vAlign w:val="center"/>
          </w:tcPr>
          <w:p w14:paraId="25CA76A2">
            <w:pPr>
              <w:spacing w:line="360" w:lineRule="exact"/>
            </w:pPr>
            <w:r>
              <w:rPr>
                <w:rFonts w:hint="eastAsia"/>
              </w:rPr>
              <w:t>朋辈</w:t>
            </w:r>
          </w:p>
          <w:p w14:paraId="25CA76A3">
            <w:pPr>
              <w:spacing w:line="360" w:lineRule="exact"/>
            </w:pPr>
            <w:r>
              <w:rPr>
                <w:rFonts w:hint="eastAsia"/>
              </w:rPr>
              <w:t>导师</w:t>
            </w:r>
          </w:p>
        </w:tc>
        <w:tc>
          <w:tcPr>
            <w:tcW w:w="1217" w:type="dxa"/>
            <w:tcBorders>
              <w:top w:val="single" w:color="auto" w:sz="4" w:space="0"/>
              <w:bottom w:val="single" w:color="auto" w:sz="4" w:space="0"/>
            </w:tcBorders>
            <w:vAlign w:val="center"/>
          </w:tcPr>
          <w:p w14:paraId="25CA76A4">
            <w:pPr>
              <w:spacing w:line="360" w:lineRule="exact"/>
            </w:pPr>
            <w:r>
              <w:rPr>
                <w:rFonts w:hint="eastAsia"/>
              </w:rPr>
              <w:t>李丹阳</w:t>
            </w:r>
          </w:p>
        </w:tc>
        <w:tc>
          <w:tcPr>
            <w:tcW w:w="1895" w:type="dxa"/>
            <w:tcBorders>
              <w:top w:val="single" w:color="auto" w:sz="4" w:space="0"/>
              <w:bottom w:val="single" w:color="auto" w:sz="4" w:space="0"/>
            </w:tcBorders>
          </w:tcPr>
          <w:p w14:paraId="25CA76A5">
            <w:pPr>
              <w:spacing w:line="720" w:lineRule="auto"/>
              <w:ind w:firstLine="210" w:firstLineChars="100"/>
              <w:jc w:val="both"/>
            </w:pPr>
            <w:r>
              <w:t>120240909980</w:t>
            </w:r>
          </w:p>
        </w:tc>
        <w:tc>
          <w:tcPr>
            <w:tcW w:w="2038" w:type="dxa"/>
            <w:tcBorders>
              <w:top w:val="single" w:color="auto" w:sz="4" w:space="0"/>
              <w:bottom w:val="single" w:color="auto" w:sz="4" w:space="0"/>
            </w:tcBorders>
          </w:tcPr>
          <w:p w14:paraId="25CA76A6">
            <w:pPr>
              <w:spacing w:line="360" w:lineRule="exact"/>
            </w:pPr>
            <w:r>
              <w:rPr>
                <w:rFonts w:hint="eastAsia"/>
              </w:rPr>
              <w:t>数学与统计学院应用数学博士研究生</w:t>
            </w:r>
          </w:p>
        </w:tc>
        <w:tc>
          <w:tcPr>
            <w:tcW w:w="2358" w:type="dxa"/>
            <w:tcBorders>
              <w:top w:val="single" w:color="auto" w:sz="4" w:space="0"/>
              <w:bottom w:val="single" w:color="auto" w:sz="4" w:space="0"/>
            </w:tcBorders>
          </w:tcPr>
          <w:p w14:paraId="25CA76A7">
            <w:pPr>
              <w:spacing w:line="720" w:lineRule="auto"/>
            </w:pPr>
            <w:r>
              <w:rPr>
                <w:rFonts w:hint="eastAsia"/>
              </w:rPr>
              <w:t>2024级</w:t>
            </w:r>
          </w:p>
        </w:tc>
      </w:tr>
      <w:tr w14:paraId="25CA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restart"/>
            <w:textDirection w:val="tbRlV"/>
            <w:vAlign w:val="center"/>
          </w:tcPr>
          <w:p w14:paraId="25CA76A9">
            <w:pPr>
              <w:spacing w:line="360" w:lineRule="exact"/>
              <w:ind w:left="113" w:right="113"/>
            </w:pPr>
            <w:r>
              <w:rPr>
                <w:rFonts w:hint="eastAsia"/>
              </w:rPr>
              <w:t>校内指导教师</w:t>
            </w:r>
          </w:p>
        </w:tc>
        <w:tc>
          <w:tcPr>
            <w:tcW w:w="1217" w:type="dxa"/>
            <w:tcBorders>
              <w:top w:val="single" w:color="auto" w:sz="4" w:space="0"/>
              <w:bottom w:val="single" w:color="auto" w:sz="4" w:space="0"/>
            </w:tcBorders>
            <w:vAlign w:val="center"/>
          </w:tcPr>
          <w:p w14:paraId="25CA76AA">
            <w:pPr>
              <w:spacing w:line="360" w:lineRule="exact"/>
            </w:pPr>
            <w:r>
              <w:rPr>
                <w:rFonts w:hint="eastAsia"/>
              </w:rPr>
              <w:t>姓名</w:t>
            </w:r>
          </w:p>
        </w:tc>
        <w:tc>
          <w:tcPr>
            <w:tcW w:w="1895" w:type="dxa"/>
            <w:tcBorders>
              <w:top w:val="single" w:color="auto" w:sz="4" w:space="0"/>
              <w:bottom w:val="single" w:color="auto" w:sz="4" w:space="0"/>
            </w:tcBorders>
            <w:vAlign w:val="center"/>
          </w:tcPr>
          <w:p w14:paraId="25CA76AB">
            <w:pPr>
              <w:spacing w:line="360" w:lineRule="exact"/>
            </w:pPr>
            <w:r>
              <w:rPr>
                <w:rFonts w:hint="eastAsia"/>
              </w:rPr>
              <w:t>李维德</w:t>
            </w:r>
          </w:p>
        </w:tc>
        <w:tc>
          <w:tcPr>
            <w:tcW w:w="2038" w:type="dxa"/>
            <w:tcBorders>
              <w:top w:val="single" w:color="auto" w:sz="4" w:space="0"/>
              <w:bottom w:val="single" w:color="auto" w:sz="4" w:space="0"/>
            </w:tcBorders>
            <w:vAlign w:val="center"/>
          </w:tcPr>
          <w:p w14:paraId="25CA76AC">
            <w:pPr>
              <w:spacing w:line="360" w:lineRule="exact"/>
            </w:pPr>
            <w:r>
              <w:rPr>
                <w:rFonts w:hint="eastAsia"/>
              </w:rPr>
              <w:t>职务/职称</w:t>
            </w:r>
          </w:p>
        </w:tc>
        <w:tc>
          <w:tcPr>
            <w:tcW w:w="2358" w:type="dxa"/>
            <w:tcBorders>
              <w:top w:val="single" w:color="auto" w:sz="4" w:space="0"/>
              <w:bottom w:val="single" w:color="auto" w:sz="4" w:space="0"/>
            </w:tcBorders>
            <w:vAlign w:val="center"/>
          </w:tcPr>
          <w:p w14:paraId="25CA76AD">
            <w:pPr>
              <w:spacing w:line="360" w:lineRule="exact"/>
            </w:pPr>
            <w:r>
              <w:rPr>
                <w:rFonts w:hint="eastAsia"/>
              </w:rPr>
              <w:t>教授</w:t>
            </w:r>
          </w:p>
        </w:tc>
      </w:tr>
      <w:tr w14:paraId="25CA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vAlign w:val="center"/>
          </w:tcPr>
          <w:p w14:paraId="25CA76AF">
            <w:pPr>
              <w:spacing w:line="360" w:lineRule="exact"/>
              <w:ind w:left="113" w:right="113"/>
            </w:pPr>
          </w:p>
        </w:tc>
        <w:tc>
          <w:tcPr>
            <w:tcW w:w="1217" w:type="dxa"/>
            <w:tcBorders>
              <w:top w:val="single" w:color="auto" w:sz="4" w:space="0"/>
              <w:bottom w:val="single" w:color="auto" w:sz="4" w:space="0"/>
            </w:tcBorders>
            <w:vAlign w:val="center"/>
          </w:tcPr>
          <w:p w14:paraId="25CA76B0">
            <w:pPr>
              <w:spacing w:line="360" w:lineRule="exact"/>
            </w:pPr>
            <w:r>
              <w:rPr>
                <w:rFonts w:hint="eastAsia"/>
              </w:rPr>
              <w:t>电话</w:t>
            </w:r>
          </w:p>
        </w:tc>
        <w:tc>
          <w:tcPr>
            <w:tcW w:w="1895" w:type="dxa"/>
            <w:tcBorders>
              <w:top w:val="single" w:color="auto" w:sz="4" w:space="0"/>
              <w:bottom w:val="single" w:color="auto" w:sz="4" w:space="0"/>
            </w:tcBorders>
            <w:vAlign w:val="center"/>
          </w:tcPr>
          <w:p w14:paraId="25CA76B1">
            <w:pPr>
              <w:spacing w:line="360" w:lineRule="exact"/>
            </w:pPr>
            <w:r>
              <w:rPr>
                <w:rFonts w:hint="eastAsia"/>
              </w:rPr>
              <w:t>15193177810</w:t>
            </w:r>
          </w:p>
        </w:tc>
        <w:tc>
          <w:tcPr>
            <w:tcW w:w="2038" w:type="dxa"/>
            <w:tcBorders>
              <w:top w:val="single" w:color="auto" w:sz="4" w:space="0"/>
              <w:bottom w:val="single" w:color="auto" w:sz="4" w:space="0"/>
            </w:tcBorders>
            <w:vAlign w:val="center"/>
          </w:tcPr>
          <w:p w14:paraId="25CA76B2">
            <w:pPr>
              <w:spacing w:line="360" w:lineRule="exact"/>
            </w:pPr>
            <w:r>
              <w:rPr>
                <w:rFonts w:hint="eastAsia"/>
              </w:rPr>
              <w:t>E-mail</w:t>
            </w:r>
          </w:p>
        </w:tc>
        <w:tc>
          <w:tcPr>
            <w:tcW w:w="2358" w:type="dxa"/>
            <w:tcBorders>
              <w:top w:val="single" w:color="auto" w:sz="4" w:space="0"/>
              <w:bottom w:val="single" w:color="auto" w:sz="4" w:space="0"/>
            </w:tcBorders>
            <w:vAlign w:val="center"/>
          </w:tcPr>
          <w:p w14:paraId="25CA76B3">
            <w:pPr>
              <w:spacing w:line="360" w:lineRule="exact"/>
            </w:pPr>
            <w:r>
              <w:rPr>
                <w:rFonts w:hint="eastAsia"/>
              </w:rPr>
              <w:t>weideli@lzu.edu.cn</w:t>
            </w:r>
          </w:p>
        </w:tc>
      </w:tr>
      <w:tr w14:paraId="25CA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vAlign w:val="center"/>
          </w:tcPr>
          <w:p w14:paraId="25CA76B5">
            <w:pPr>
              <w:spacing w:line="360" w:lineRule="exact"/>
              <w:ind w:left="113" w:right="113"/>
            </w:pPr>
          </w:p>
        </w:tc>
        <w:tc>
          <w:tcPr>
            <w:tcW w:w="1217" w:type="dxa"/>
            <w:tcBorders>
              <w:top w:val="single" w:color="auto" w:sz="4" w:space="0"/>
              <w:bottom w:val="single" w:color="auto" w:sz="4" w:space="0"/>
            </w:tcBorders>
            <w:vAlign w:val="center"/>
          </w:tcPr>
          <w:p w14:paraId="25CA76B6">
            <w:pPr>
              <w:spacing w:line="360" w:lineRule="exact"/>
            </w:pPr>
            <w:r>
              <w:rPr>
                <w:rFonts w:hint="eastAsia"/>
              </w:rPr>
              <w:t>单位</w:t>
            </w:r>
          </w:p>
        </w:tc>
        <w:tc>
          <w:tcPr>
            <w:tcW w:w="6291" w:type="dxa"/>
            <w:gridSpan w:val="3"/>
            <w:tcBorders>
              <w:top w:val="single" w:color="auto" w:sz="4" w:space="0"/>
              <w:bottom w:val="single" w:color="auto" w:sz="4" w:space="0"/>
            </w:tcBorders>
            <w:vAlign w:val="center"/>
          </w:tcPr>
          <w:p w14:paraId="25CA76B7">
            <w:pPr>
              <w:spacing w:line="360" w:lineRule="exact"/>
            </w:pPr>
            <w:r>
              <w:rPr>
                <w:rFonts w:hint="eastAsia"/>
              </w:rPr>
              <w:t>兰州大学数学与统计学院</w:t>
            </w:r>
          </w:p>
        </w:tc>
      </w:tr>
      <w:tr w14:paraId="25CA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restart"/>
            <w:textDirection w:val="tbRlV"/>
            <w:vAlign w:val="center"/>
          </w:tcPr>
          <w:p w14:paraId="25CA76B9">
            <w:pPr>
              <w:spacing w:line="360" w:lineRule="exact"/>
              <w:ind w:left="113" w:right="113"/>
            </w:pPr>
            <w:r>
              <w:rPr>
                <w:rFonts w:hint="eastAsia"/>
              </w:rPr>
              <w:t>校外指导教师</w:t>
            </w:r>
          </w:p>
          <w:p w14:paraId="25CA76BA">
            <w:pPr>
              <w:spacing w:line="360" w:lineRule="exact"/>
              <w:ind w:left="113" w:right="113"/>
            </w:pPr>
            <w:r>
              <w:rPr>
                <w:rFonts w:hint="eastAsia"/>
              </w:rPr>
              <w:t>（没有可不填）</w:t>
            </w:r>
          </w:p>
        </w:tc>
        <w:tc>
          <w:tcPr>
            <w:tcW w:w="1217" w:type="dxa"/>
            <w:tcBorders>
              <w:top w:val="single" w:color="auto" w:sz="4" w:space="0"/>
              <w:bottom w:val="single" w:color="auto" w:sz="4" w:space="0"/>
            </w:tcBorders>
            <w:vAlign w:val="center"/>
          </w:tcPr>
          <w:p w14:paraId="25CA76BB">
            <w:pPr>
              <w:spacing w:line="360" w:lineRule="exact"/>
            </w:pPr>
            <w:r>
              <w:rPr>
                <w:rFonts w:hint="eastAsia"/>
              </w:rPr>
              <w:t>姓名</w:t>
            </w:r>
          </w:p>
        </w:tc>
        <w:tc>
          <w:tcPr>
            <w:tcW w:w="1895" w:type="dxa"/>
            <w:tcBorders>
              <w:top w:val="single" w:color="auto" w:sz="4" w:space="0"/>
              <w:bottom w:val="single" w:color="auto" w:sz="4" w:space="0"/>
            </w:tcBorders>
            <w:vAlign w:val="center"/>
          </w:tcPr>
          <w:p w14:paraId="25CA76BC">
            <w:pPr>
              <w:spacing w:line="360" w:lineRule="exact"/>
            </w:pPr>
          </w:p>
        </w:tc>
        <w:tc>
          <w:tcPr>
            <w:tcW w:w="2038" w:type="dxa"/>
            <w:tcBorders>
              <w:top w:val="single" w:color="auto" w:sz="4" w:space="0"/>
              <w:bottom w:val="single" w:color="auto" w:sz="4" w:space="0"/>
            </w:tcBorders>
            <w:vAlign w:val="center"/>
          </w:tcPr>
          <w:p w14:paraId="25CA76BD">
            <w:pPr>
              <w:spacing w:line="360" w:lineRule="exact"/>
            </w:pPr>
            <w:r>
              <w:rPr>
                <w:rFonts w:hint="eastAsia"/>
              </w:rPr>
              <w:t>职务/职称</w:t>
            </w:r>
          </w:p>
        </w:tc>
        <w:tc>
          <w:tcPr>
            <w:tcW w:w="2358" w:type="dxa"/>
            <w:tcBorders>
              <w:top w:val="single" w:color="auto" w:sz="4" w:space="0"/>
              <w:bottom w:val="single" w:color="auto" w:sz="4" w:space="0"/>
            </w:tcBorders>
            <w:vAlign w:val="center"/>
          </w:tcPr>
          <w:p w14:paraId="25CA76BE">
            <w:pPr>
              <w:spacing w:line="360" w:lineRule="exact"/>
            </w:pPr>
          </w:p>
        </w:tc>
      </w:tr>
      <w:tr w14:paraId="25CA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014" w:type="dxa"/>
            <w:vMerge w:val="continue"/>
            <w:textDirection w:val="tbRlV"/>
            <w:vAlign w:val="center"/>
          </w:tcPr>
          <w:p w14:paraId="25CA76C0">
            <w:pPr>
              <w:spacing w:line="360" w:lineRule="exact"/>
              <w:ind w:left="113" w:right="113"/>
            </w:pPr>
          </w:p>
        </w:tc>
        <w:tc>
          <w:tcPr>
            <w:tcW w:w="1217" w:type="dxa"/>
            <w:tcBorders>
              <w:top w:val="single" w:color="auto" w:sz="4" w:space="0"/>
              <w:bottom w:val="single" w:color="auto" w:sz="4" w:space="0"/>
            </w:tcBorders>
            <w:vAlign w:val="center"/>
          </w:tcPr>
          <w:p w14:paraId="25CA76C1">
            <w:pPr>
              <w:spacing w:line="360" w:lineRule="exact"/>
            </w:pPr>
            <w:r>
              <w:rPr>
                <w:rFonts w:hint="eastAsia"/>
              </w:rPr>
              <w:t>电话</w:t>
            </w:r>
          </w:p>
        </w:tc>
        <w:tc>
          <w:tcPr>
            <w:tcW w:w="1895" w:type="dxa"/>
            <w:tcBorders>
              <w:top w:val="single" w:color="auto" w:sz="4" w:space="0"/>
              <w:bottom w:val="single" w:color="auto" w:sz="4" w:space="0"/>
            </w:tcBorders>
            <w:vAlign w:val="center"/>
          </w:tcPr>
          <w:p w14:paraId="25CA76C2">
            <w:pPr>
              <w:spacing w:line="360" w:lineRule="exact"/>
            </w:pPr>
          </w:p>
        </w:tc>
        <w:tc>
          <w:tcPr>
            <w:tcW w:w="2038" w:type="dxa"/>
            <w:tcBorders>
              <w:top w:val="single" w:color="auto" w:sz="4" w:space="0"/>
              <w:bottom w:val="single" w:color="auto" w:sz="4" w:space="0"/>
            </w:tcBorders>
            <w:vAlign w:val="center"/>
          </w:tcPr>
          <w:p w14:paraId="25CA76C3">
            <w:pPr>
              <w:spacing w:line="360" w:lineRule="exact"/>
            </w:pPr>
            <w:r>
              <w:rPr>
                <w:rFonts w:hint="eastAsia"/>
              </w:rPr>
              <w:t>E-mail</w:t>
            </w:r>
          </w:p>
        </w:tc>
        <w:tc>
          <w:tcPr>
            <w:tcW w:w="2358" w:type="dxa"/>
            <w:tcBorders>
              <w:top w:val="single" w:color="auto" w:sz="4" w:space="0"/>
              <w:bottom w:val="single" w:color="auto" w:sz="4" w:space="0"/>
            </w:tcBorders>
            <w:vAlign w:val="center"/>
          </w:tcPr>
          <w:p w14:paraId="25CA76C4">
            <w:pPr>
              <w:spacing w:line="360" w:lineRule="exact"/>
            </w:pPr>
          </w:p>
        </w:tc>
      </w:tr>
      <w:tr w14:paraId="25CA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24" w:hRule="atLeast"/>
          <w:jc w:val="center"/>
        </w:trPr>
        <w:tc>
          <w:tcPr>
            <w:tcW w:w="1014" w:type="dxa"/>
            <w:vMerge w:val="continue"/>
            <w:textDirection w:val="tbRlV"/>
            <w:vAlign w:val="center"/>
          </w:tcPr>
          <w:p w14:paraId="25CA76C6">
            <w:pPr>
              <w:spacing w:line="360" w:lineRule="exact"/>
              <w:ind w:left="113" w:right="113"/>
            </w:pPr>
          </w:p>
        </w:tc>
        <w:tc>
          <w:tcPr>
            <w:tcW w:w="1217" w:type="dxa"/>
            <w:tcBorders>
              <w:top w:val="single" w:color="auto" w:sz="4" w:space="0"/>
              <w:bottom w:val="single" w:color="auto" w:sz="4" w:space="0"/>
            </w:tcBorders>
            <w:vAlign w:val="center"/>
          </w:tcPr>
          <w:p w14:paraId="25CA76C7">
            <w:pPr>
              <w:spacing w:line="360" w:lineRule="exact"/>
            </w:pPr>
            <w:r>
              <w:rPr>
                <w:rFonts w:hint="eastAsia"/>
              </w:rPr>
              <w:t>单位</w:t>
            </w:r>
          </w:p>
        </w:tc>
        <w:tc>
          <w:tcPr>
            <w:tcW w:w="6291" w:type="dxa"/>
            <w:gridSpan w:val="3"/>
            <w:tcBorders>
              <w:top w:val="single" w:color="auto" w:sz="4" w:space="0"/>
              <w:bottom w:val="single" w:color="auto" w:sz="4" w:space="0"/>
            </w:tcBorders>
            <w:vAlign w:val="center"/>
          </w:tcPr>
          <w:p w14:paraId="25CA76C8">
            <w:pPr>
              <w:spacing w:line="360" w:lineRule="exact"/>
            </w:pPr>
          </w:p>
        </w:tc>
      </w:tr>
    </w:tbl>
    <w:p w14:paraId="25CA76CA">
      <w:r>
        <w:br w:type="page"/>
      </w:r>
    </w:p>
    <w:tbl>
      <w:tblPr>
        <w:tblStyle w:val="10"/>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6"/>
        <w:gridCol w:w="13"/>
      </w:tblGrid>
      <w:tr w14:paraId="25CA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cantSplit/>
          <w:trHeight w:val="3342" w:hRule="atLeast"/>
          <w:jc w:val="center"/>
        </w:trPr>
        <w:tc>
          <w:tcPr>
            <w:tcW w:w="8776" w:type="dxa"/>
          </w:tcPr>
          <w:p w14:paraId="25CA76CB">
            <w:pPr>
              <w:spacing w:line="360" w:lineRule="auto"/>
              <w:rPr>
                <w:szCs w:val="21"/>
              </w:rPr>
            </w:pPr>
            <w:r>
              <w:rPr>
                <w:rFonts w:hint="eastAsia"/>
                <w:b/>
                <w:szCs w:val="21"/>
              </w:rPr>
              <w:t>一</w:t>
            </w:r>
            <w:r>
              <w:rPr>
                <w:b/>
                <w:szCs w:val="21"/>
              </w:rPr>
              <w:t>、</w:t>
            </w:r>
            <w:r>
              <w:rPr>
                <w:rFonts w:hint="eastAsia"/>
                <w:b/>
                <w:szCs w:val="21"/>
              </w:rPr>
              <w:t>项目简介</w:t>
            </w:r>
            <w:r>
              <w:rPr>
                <w:rFonts w:hint="eastAsia"/>
                <w:szCs w:val="21"/>
              </w:rPr>
              <w:t>（300字左右）</w:t>
            </w:r>
          </w:p>
          <w:p w14:paraId="25CA76CC">
            <w:pPr>
              <w:spacing w:line="360" w:lineRule="auto"/>
              <w:ind w:firstLine="420" w:firstLineChars="200"/>
              <w:rPr>
                <w:rFonts w:cs="宋体"/>
                <w:color w:val="0000FF"/>
                <w:szCs w:val="21"/>
              </w:rPr>
            </w:pPr>
            <w:r>
              <w:rPr>
                <w:rFonts w:cs="宋体"/>
                <w:szCs w:val="21"/>
              </w:rPr>
              <w:t>本项目以巴西</w:t>
            </w:r>
            <w:r>
              <w:rPr>
                <w:rFonts w:hint="eastAsia" w:cs="宋体"/>
                <w:szCs w:val="21"/>
              </w:rPr>
              <w:t>基</w:t>
            </w:r>
            <w:r>
              <w:rPr>
                <w:rFonts w:cs="宋体"/>
                <w:szCs w:val="21"/>
              </w:rPr>
              <w:t>孔肯雅热</w:t>
            </w:r>
            <w:r>
              <w:rPr>
                <w:rFonts w:hint="eastAsia" w:cs="宋体"/>
                <w:szCs w:val="21"/>
              </w:rPr>
              <w:t>传染病</w:t>
            </w:r>
            <w:r>
              <w:rPr>
                <w:rFonts w:cs="宋体"/>
                <w:szCs w:val="21"/>
              </w:rPr>
              <w:t>为研究对象，基于传染病动力学理论构建兼顾传播机理与现实数据的预测分析模型。项目将结合基孔肯雅热作为典型蚊媒传染病的传播特征，从人群感染过程与媒介</w:t>
            </w:r>
            <w:r>
              <w:rPr>
                <w:rFonts w:hint="eastAsia" w:cs="宋体"/>
                <w:szCs w:val="21"/>
              </w:rPr>
              <w:t>伊</w:t>
            </w:r>
            <w:r>
              <w:rPr>
                <w:rFonts w:cs="宋体"/>
                <w:szCs w:val="21"/>
              </w:rPr>
              <w:t>蚊传播过程出发，</w:t>
            </w:r>
            <w:r>
              <w:rPr>
                <w:rFonts w:hint="eastAsia" w:cs="宋体"/>
                <w:szCs w:val="21"/>
              </w:rPr>
              <w:t>考虑</w:t>
            </w:r>
            <w:r>
              <w:rPr>
                <w:rFonts w:cs="宋体"/>
                <w:szCs w:val="21"/>
              </w:rPr>
              <w:t>人群异质性</w:t>
            </w:r>
            <w:r>
              <w:rPr>
                <w:rFonts w:hint="eastAsia" w:cs="宋体"/>
                <w:szCs w:val="21"/>
              </w:rPr>
              <w:t>和气候因子，</w:t>
            </w:r>
            <w:r>
              <w:rPr>
                <w:rFonts w:cs="宋体"/>
                <w:szCs w:val="21"/>
              </w:rPr>
              <w:t>建立人群—媒介耦合</w:t>
            </w:r>
            <w:r>
              <w:rPr>
                <w:rFonts w:hint="eastAsia" w:cs="宋体"/>
                <w:szCs w:val="21"/>
              </w:rPr>
              <w:t>的气候敏感</w:t>
            </w:r>
            <w:r>
              <w:rPr>
                <w:rFonts w:cs="宋体"/>
                <w:szCs w:val="21"/>
              </w:rPr>
              <w:t>动力学模型</w:t>
            </w:r>
            <w:r>
              <w:rPr>
                <w:rFonts w:hint="eastAsia" w:cs="宋体"/>
                <w:szCs w:val="21"/>
              </w:rPr>
              <w:t>。</w:t>
            </w:r>
          </w:p>
          <w:p w14:paraId="25CA76CD">
            <w:pPr>
              <w:spacing w:line="360" w:lineRule="auto"/>
              <w:ind w:firstLine="420" w:firstLineChars="200"/>
            </w:pPr>
            <w:r>
              <w:rPr>
                <w:rFonts w:cs="宋体"/>
                <w:szCs w:val="21"/>
              </w:rPr>
              <w:t>在研究方法上，项目拟依托巴西</w:t>
            </w:r>
            <w:r>
              <w:rPr>
                <w:rFonts w:hint="eastAsia" w:cs="宋体"/>
                <w:szCs w:val="21"/>
              </w:rPr>
              <w:t>流行病周</w:t>
            </w:r>
            <w:r>
              <w:rPr>
                <w:rFonts w:cs="宋体"/>
                <w:szCs w:val="21"/>
              </w:rPr>
              <w:t>病例数据、结合温度、降雨等环境变量刻画媒介传播强度的季节波动，开展参数估计、数值模拟、灵敏度分析和趋势预测，识别影响疫情扩散的关键参数与主要驱动因素。同时，结合公共卫生防控实际，分析灭蚊、环境治理、病例管理等干预手段对疫情峰值、传播周期和累计病例规模的作用效果。项目旨在形成一个具有解释性、预测性和应用性的基孔肯雅热建模分析框架，为巴西蚊媒传染病防控提供量化参考</w:t>
            </w:r>
            <w:r>
              <w:rPr>
                <w:rFonts w:hint="eastAsia" w:cs="宋体"/>
                <w:szCs w:val="21"/>
              </w:rPr>
              <w:t>。</w:t>
            </w:r>
          </w:p>
        </w:tc>
      </w:tr>
      <w:tr w14:paraId="25CA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cantSplit/>
          <w:trHeight w:val="3858" w:hRule="atLeast"/>
          <w:jc w:val="center"/>
        </w:trPr>
        <w:tc>
          <w:tcPr>
            <w:tcW w:w="8776" w:type="dxa"/>
          </w:tcPr>
          <w:p w14:paraId="25CA76CF">
            <w:pPr>
              <w:spacing w:line="360" w:lineRule="auto"/>
              <w:rPr>
                <w:szCs w:val="21"/>
              </w:rPr>
            </w:pPr>
            <w:r>
              <w:rPr>
                <w:rFonts w:hint="eastAsia"/>
                <w:b/>
                <w:szCs w:val="21"/>
              </w:rPr>
              <w:t>二、项目创新点</w:t>
            </w:r>
            <w:r>
              <w:rPr>
                <w:rFonts w:hint="eastAsia"/>
                <w:szCs w:val="21"/>
              </w:rPr>
              <w:t>（300字左右）</w:t>
            </w:r>
          </w:p>
          <w:p w14:paraId="25CA76D0">
            <w:pPr>
              <w:spacing w:line="360" w:lineRule="auto"/>
              <w:ind w:firstLine="420" w:firstLineChars="200"/>
              <w:rPr>
                <w:rFonts w:cs="宋体"/>
                <w:szCs w:val="21"/>
              </w:rPr>
            </w:pPr>
            <w:r>
              <w:rPr>
                <w:rFonts w:cs="宋体"/>
                <w:szCs w:val="21"/>
              </w:rPr>
              <w:t>本项目创新性主要体现在以下三个方面。</w:t>
            </w:r>
          </w:p>
          <w:p w14:paraId="25CA76D1">
            <w:pPr>
              <w:spacing w:line="360" w:lineRule="auto"/>
              <w:ind w:firstLine="420" w:firstLineChars="200"/>
              <w:rPr>
                <w:rFonts w:cs="宋体"/>
                <w:szCs w:val="21"/>
              </w:rPr>
            </w:pPr>
            <w:r>
              <w:rPr>
                <w:szCs w:val="21"/>
              </w:rPr>
              <w:t>1.</w:t>
            </w:r>
            <w:r>
              <w:rPr>
                <w:rStyle w:val="12"/>
                <w:rFonts w:cs="宋体"/>
                <w:bCs/>
                <w:szCs w:val="21"/>
              </w:rPr>
              <w:t>从静态S</w:t>
            </w:r>
            <w:r>
              <w:rPr>
                <w:rStyle w:val="12"/>
                <w:rFonts w:hint="eastAsia" w:cs="宋体"/>
                <w:bCs/>
                <w:szCs w:val="21"/>
              </w:rPr>
              <w:t>E</w:t>
            </w:r>
            <w:r>
              <w:rPr>
                <w:rStyle w:val="12"/>
                <w:rFonts w:cs="宋体"/>
                <w:bCs/>
                <w:szCs w:val="21"/>
              </w:rPr>
              <w:t>IR框架提升为宿主—媒介耦合的气候敏感模型</w:t>
            </w:r>
            <w:r>
              <w:rPr>
                <w:rFonts w:cs="宋体"/>
                <w:b/>
                <w:bCs/>
                <w:szCs w:val="21"/>
              </w:rPr>
              <w:t>。</w:t>
            </w:r>
            <w:r>
              <w:rPr>
                <w:rFonts w:cs="宋体"/>
                <w:szCs w:val="21"/>
              </w:rPr>
              <w:t>项目不再停留于单一人群仓室模型，而是结合基孔肯雅热“蚊媒传播、环境敏感、季节波动明显”的特征，建立人群—媒介耦合动力学模型，并探索将温度、降雨等因素嵌入传播率或媒介相关参数，使模型更贴近巴西实际传播过程。</w:t>
            </w:r>
          </w:p>
          <w:p w14:paraId="25CA76D2">
            <w:pPr>
              <w:spacing w:line="360" w:lineRule="auto"/>
              <w:ind w:firstLine="420" w:firstLineChars="200"/>
              <w:rPr>
                <w:rFonts w:cs="宋体"/>
                <w:szCs w:val="21"/>
              </w:rPr>
            </w:pPr>
            <w:r>
              <w:rPr>
                <w:szCs w:val="21"/>
              </w:rPr>
              <w:t>2</w:t>
            </w:r>
            <w:r>
              <w:rPr>
                <w:rFonts w:hint="eastAsia" w:cs="宋体"/>
                <w:szCs w:val="21"/>
              </w:rPr>
              <w:t>.</w:t>
            </w:r>
            <w:r>
              <w:rPr>
                <w:rStyle w:val="12"/>
                <w:rFonts w:cs="宋体"/>
                <w:szCs w:val="21"/>
              </w:rPr>
              <w:t>从单纯理论分析提升为“理论—数据—预测”闭环研究</w:t>
            </w:r>
            <w:r>
              <w:rPr>
                <w:rFonts w:cs="宋体"/>
                <w:b/>
                <w:bCs/>
                <w:szCs w:val="21"/>
              </w:rPr>
              <w:t>。</w:t>
            </w:r>
            <w:r>
              <w:rPr>
                <w:rFonts w:hint="eastAsia" w:cs="宋体"/>
                <w:szCs w:val="21"/>
              </w:rPr>
              <w:t>项目不仅</w:t>
            </w:r>
            <w:r>
              <w:rPr>
                <w:rFonts w:cs="宋体"/>
                <w:szCs w:val="21"/>
              </w:rPr>
              <w:t>通过</w:t>
            </w:r>
            <w:r>
              <w:rPr>
                <w:rFonts w:hint="eastAsia" w:cs="宋体"/>
                <w:szCs w:val="21"/>
              </w:rPr>
              <w:t>运用</w:t>
            </w:r>
            <w:r>
              <w:rPr>
                <w:szCs w:val="21"/>
              </w:rPr>
              <w:t>Lyapunov</w:t>
            </w:r>
            <w:r>
              <w:rPr>
                <w:rFonts w:hint="eastAsia" w:cs="宋体"/>
                <w:szCs w:val="21"/>
              </w:rPr>
              <w:t>函数和</w:t>
            </w:r>
            <w:r>
              <w:rPr>
                <w:szCs w:val="21"/>
              </w:rPr>
              <w:t>next-generation matrix (NGM)</w:t>
            </w:r>
            <w:r>
              <w:rPr>
                <w:rFonts w:hint="eastAsia" w:cs="宋体"/>
                <w:szCs w:val="21"/>
              </w:rPr>
              <w:t>(下一代矩阵)方法</w:t>
            </w:r>
            <w:r>
              <w:rPr>
                <w:rFonts w:cs="宋体"/>
                <w:szCs w:val="21"/>
              </w:rPr>
              <w:t>研究模型解的非负性、有界性、基本再生数</w:t>
            </w:r>
            <m:oMath>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rFonts w:cs="宋体"/>
                <w:szCs w:val="21"/>
              </w:rPr>
              <w:t>及平衡点稳定性，保证模型在数学上的严谨性与合理性</w:t>
            </w:r>
            <w:r>
              <w:rPr>
                <w:rFonts w:hint="eastAsia" w:cs="宋体"/>
                <w:szCs w:val="21"/>
              </w:rPr>
              <w:t>；</w:t>
            </w:r>
            <w:r>
              <w:rPr>
                <w:rFonts w:cs="宋体"/>
                <w:szCs w:val="21"/>
              </w:rPr>
              <w:t>还将基于巴西周尺度病例数据开展参数估计、滚动拟合与短期预测验证，形成“理论推导—数据校准—误差评估—结果解释”的完整研究链条。相比仅做理论或仅做统计预测，这种方式更强调模型的可解释性与可验证性。</w:t>
            </w:r>
          </w:p>
          <w:p w14:paraId="25CA76D3">
            <w:pPr>
              <w:spacing w:line="360" w:lineRule="auto"/>
              <w:ind w:firstLine="420" w:firstLineChars="200"/>
              <w:rPr>
                <w:rFonts w:cs="宋体"/>
                <w:szCs w:val="21"/>
              </w:rPr>
            </w:pPr>
            <w:r>
              <w:rPr>
                <w:szCs w:val="21"/>
              </w:rPr>
              <w:t>3</w:t>
            </w:r>
            <w:r>
              <w:rPr>
                <w:rFonts w:hint="eastAsia" w:cs="宋体"/>
                <w:szCs w:val="21"/>
              </w:rPr>
              <w:t>.</w:t>
            </w:r>
            <w:r>
              <w:rPr>
                <w:rFonts w:cs="宋体"/>
                <w:b/>
                <w:bCs/>
                <w:szCs w:val="21"/>
              </w:rPr>
              <w:t>从</w:t>
            </w:r>
            <w:r>
              <w:rPr>
                <w:rFonts w:hint="eastAsia" w:cs="宋体"/>
                <w:b/>
                <w:bCs/>
                <w:szCs w:val="21"/>
              </w:rPr>
              <w:t>简单</w:t>
            </w:r>
            <w:r>
              <w:rPr>
                <w:rFonts w:cs="宋体"/>
                <w:b/>
                <w:bCs/>
                <w:szCs w:val="21"/>
              </w:rPr>
              <w:t>疫情描述拓展到</w:t>
            </w:r>
            <w:r>
              <w:rPr>
                <w:rFonts w:hint="eastAsia" w:cs="宋体"/>
                <w:b/>
                <w:bCs/>
                <w:szCs w:val="21"/>
              </w:rPr>
              <w:t>量化</w:t>
            </w:r>
            <w:r>
              <w:rPr>
                <w:rFonts w:cs="宋体"/>
                <w:b/>
                <w:bCs/>
                <w:szCs w:val="21"/>
              </w:rPr>
              <w:t>防控情景评估</w:t>
            </w:r>
            <w:r>
              <w:rPr>
                <w:rFonts w:hint="eastAsia" w:cs="宋体"/>
                <w:b/>
                <w:bCs/>
                <w:szCs w:val="21"/>
              </w:rPr>
              <w:t>。</w:t>
            </w:r>
            <w:r>
              <w:rPr>
                <w:rFonts w:cs="宋体"/>
                <w:szCs w:val="21"/>
              </w:rPr>
              <w:t>项目不仅关注疫情趋势描述，还将设置多种防控情景，</w:t>
            </w:r>
            <w:r>
              <w:rPr>
                <w:rFonts w:hint="eastAsia" w:cs="宋体"/>
                <w:szCs w:val="21"/>
              </w:rPr>
              <w:t>通过最优控制的方法，</w:t>
            </w:r>
            <w:r>
              <w:rPr>
                <w:rFonts w:cs="宋体"/>
                <w:szCs w:val="21"/>
              </w:rPr>
              <w:t>比较灭蚊强度、环境治理和病例管理等措施的干预效果，</w:t>
            </w:r>
            <w:r>
              <w:rPr>
                <w:rFonts w:hint="eastAsia" w:cs="宋体"/>
                <w:szCs w:val="21"/>
              </w:rPr>
              <w:t>获得可行性强的防控政策。</w:t>
            </w:r>
          </w:p>
          <w:p w14:paraId="25CA76D4">
            <w:pPr>
              <w:spacing w:line="360" w:lineRule="auto"/>
              <w:ind w:firstLine="420" w:firstLineChars="200"/>
              <w:rPr>
                <w:b/>
              </w:rPr>
            </w:pPr>
            <w:r>
              <w:rPr>
                <w:rFonts w:cs="宋体"/>
                <w:szCs w:val="21"/>
              </w:rPr>
              <w:t>相较于单纯统计预测研究，本项目更强调数学理论深度、模型解释能力与公共卫生决策价值的统一，具有较强的学科交叉特色与本科生创新训练意义。</w:t>
            </w:r>
          </w:p>
        </w:tc>
      </w:tr>
      <w:tr w14:paraId="25CA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cantSplit/>
          <w:trHeight w:val="2747" w:hRule="atLeast"/>
          <w:jc w:val="center"/>
        </w:trPr>
        <w:tc>
          <w:tcPr>
            <w:tcW w:w="8776" w:type="dxa"/>
          </w:tcPr>
          <w:p w14:paraId="25CA76D6">
            <w:pPr>
              <w:spacing w:line="360" w:lineRule="auto"/>
              <w:rPr>
                <w:rFonts w:cs="宋体"/>
                <w:szCs w:val="21"/>
              </w:rPr>
            </w:pPr>
            <w:r>
              <w:rPr>
                <w:rFonts w:hint="eastAsia" w:cs="宋体"/>
                <w:b/>
                <w:bCs/>
                <w:szCs w:val="21"/>
              </w:rPr>
              <w:t>三、</w:t>
            </w:r>
            <w:r>
              <w:rPr>
                <w:rFonts w:hint="eastAsia"/>
                <w:b/>
                <w:bCs/>
                <w:szCs w:val="21"/>
              </w:rPr>
              <w:t>项目完成预期成果与形式</w:t>
            </w:r>
            <w:r>
              <w:rPr>
                <w:rFonts w:hint="eastAsia"/>
                <w:szCs w:val="21"/>
              </w:rPr>
              <w:t>（300字左右，请简述：专著或编著、调研或实验报告、论文篇数及论文级别，或专利、设计、产品、服务、公司性质及规模、社会融资或风险投资、营业额和利润额等。）</w:t>
            </w:r>
          </w:p>
          <w:p w14:paraId="25CA76D7">
            <w:pPr>
              <w:spacing w:line="360" w:lineRule="auto"/>
              <w:ind w:firstLine="420" w:firstLineChars="200"/>
              <w:rPr>
                <w:rFonts w:cs="宋体"/>
                <w:szCs w:val="21"/>
              </w:rPr>
            </w:pPr>
            <w:r>
              <w:rPr>
                <w:szCs w:val="21"/>
              </w:rPr>
              <w:t>1.</w:t>
            </w:r>
            <w:r>
              <w:rPr>
                <w:rFonts w:cs="宋体"/>
                <w:szCs w:val="21"/>
              </w:rPr>
              <w:t>构建</w:t>
            </w:r>
            <w:r>
              <w:rPr>
                <w:rFonts w:hint="eastAsia" w:cs="宋体"/>
                <w:szCs w:val="21"/>
              </w:rPr>
              <w:t>1</w:t>
            </w:r>
            <w:r>
              <w:rPr>
                <w:rFonts w:cs="宋体"/>
                <w:szCs w:val="21"/>
              </w:rPr>
              <w:t>个较为符合基孔肯雅热传播实际的人群—媒介传染病动力学模型，并结合病例数据与人口与</w:t>
            </w:r>
            <w:r>
              <w:rPr>
                <w:rFonts w:hint="eastAsia" w:cs="宋体"/>
                <w:szCs w:val="21"/>
              </w:rPr>
              <w:t>地域</w:t>
            </w:r>
            <w:r>
              <w:rPr>
                <w:rFonts w:cs="宋体"/>
                <w:szCs w:val="21"/>
              </w:rPr>
              <w:t>资料完成参数估计、数值模拟和短期预测分析，形成较完整的模型框架</w:t>
            </w:r>
            <w:r>
              <w:rPr>
                <w:rFonts w:hint="eastAsia" w:cs="宋体"/>
                <w:szCs w:val="21"/>
              </w:rPr>
              <w:t>。</w:t>
            </w:r>
          </w:p>
          <w:p w14:paraId="25CA76D8">
            <w:pPr>
              <w:spacing w:line="360" w:lineRule="auto"/>
              <w:ind w:firstLine="420" w:firstLineChars="200"/>
              <w:rPr>
                <w:rFonts w:cs="宋体"/>
                <w:szCs w:val="21"/>
              </w:rPr>
            </w:pPr>
            <w:r>
              <w:rPr>
                <w:szCs w:val="21"/>
              </w:rPr>
              <w:t>2.</w:t>
            </w:r>
            <w:r>
              <w:rPr>
                <w:rFonts w:cs="宋体"/>
                <w:szCs w:val="21"/>
              </w:rPr>
              <w:t>系统总结研究背景、数据来源、建模过程、结果分析及防控建议</w:t>
            </w:r>
            <w:r>
              <w:rPr>
                <w:rFonts w:hint="eastAsia" w:cs="宋体"/>
                <w:szCs w:val="21"/>
              </w:rPr>
              <w:t>,</w:t>
            </w:r>
            <w:r>
              <w:rPr>
                <w:rFonts w:cs="宋体"/>
                <w:szCs w:val="21"/>
              </w:rPr>
              <w:t>形成1份包含理论分析、拟合结果、预测检验和情景模拟的研究报告</w:t>
            </w:r>
            <w:r>
              <w:rPr>
                <w:rFonts w:hint="eastAsia" w:cs="宋体"/>
                <w:szCs w:val="21"/>
              </w:rPr>
              <w:t>。</w:t>
            </w:r>
          </w:p>
          <w:p w14:paraId="25CA76D9">
            <w:pPr>
              <w:spacing w:line="360" w:lineRule="auto"/>
              <w:ind w:firstLine="420" w:firstLineChars="200"/>
              <w:rPr>
                <w:rFonts w:cs="宋体"/>
                <w:szCs w:val="21"/>
              </w:rPr>
            </w:pPr>
            <w:r>
              <w:rPr>
                <w:szCs w:val="21"/>
              </w:rPr>
              <w:t>3.</w:t>
            </w:r>
            <w:r>
              <w:rPr>
                <w:rFonts w:cs="宋体"/>
                <w:szCs w:val="21"/>
              </w:rPr>
              <w:t>完成1篇学术论文</w:t>
            </w:r>
            <w:r>
              <w:rPr>
                <w:rFonts w:hint="eastAsia" w:cs="宋体"/>
                <w:szCs w:val="21"/>
              </w:rPr>
              <w:t>，</w:t>
            </w:r>
            <w:r>
              <w:rPr>
                <w:rFonts w:cs="宋体"/>
                <w:szCs w:val="21"/>
              </w:rPr>
              <w:t>内容达到本科生科研训练和学术投稿要求，争取投稿至传染病建模、应用数学或公共卫生交叉方向相关期刊</w:t>
            </w:r>
            <w:r>
              <w:rPr>
                <w:rFonts w:hint="eastAsia" w:cs="宋体"/>
                <w:szCs w:val="21"/>
              </w:rPr>
              <w:t>。</w:t>
            </w:r>
          </w:p>
          <w:p w14:paraId="25CA76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s="宋体"/>
                <w:sz w:val="21"/>
                <w:szCs w:val="21"/>
              </w:rPr>
            </w:pPr>
            <w:r>
              <w:rPr>
                <w:szCs w:val="21"/>
              </w:rPr>
              <w:t>4.</w:t>
            </w:r>
            <w:r>
              <w:rPr>
                <w:rFonts w:hint="eastAsia" w:cs="宋体"/>
                <w:szCs w:val="21"/>
              </w:rPr>
              <w:t>总结</w:t>
            </w:r>
            <w:r>
              <w:rPr>
                <w:rFonts w:cs="宋体"/>
                <w:szCs w:val="21"/>
              </w:rPr>
              <w:t>项目数据处理代码、模型求解程序及可视化结果，形成可复现的研究材料</w:t>
            </w:r>
            <w:r>
              <w:rPr>
                <w:rFonts w:hint="eastAsia" w:cs="宋体"/>
                <w:szCs w:val="21"/>
              </w:rPr>
              <w:t>，</w:t>
            </w:r>
            <w:r>
              <w:rPr>
                <w:rFonts w:cs="宋体"/>
                <w:szCs w:val="21"/>
              </w:rPr>
              <w:t>建立</w:t>
            </w:r>
            <w:r>
              <w:rPr>
                <w:szCs w:val="21"/>
              </w:rPr>
              <w:t>1</w:t>
            </w:r>
            <w:r>
              <w:rPr>
                <w:rFonts w:cs="宋体"/>
                <w:szCs w:val="21"/>
              </w:rPr>
              <w:t>个包含数据清洗、建模代码、结果图表的可复现仓库</w:t>
            </w:r>
            <w:r>
              <w:rPr>
                <w:rFonts w:hint="eastAsia" w:cs="宋体"/>
                <w:szCs w:val="21"/>
              </w:rPr>
              <w:t>上传到</w:t>
            </w:r>
            <w:r>
              <w:rPr>
                <w:szCs w:val="21"/>
              </w:rPr>
              <w:t>GitHub</w:t>
            </w:r>
            <w:r>
              <w:rPr>
                <w:rFonts w:hint="eastAsia" w:cs="宋体"/>
                <w:szCs w:val="21"/>
              </w:rPr>
              <w:t>开源。</w:t>
            </w:r>
          </w:p>
        </w:tc>
      </w:tr>
      <w:tr w14:paraId="5DBA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cantSplit/>
          <w:trHeight w:val="8460" w:hRule="atLeast"/>
          <w:jc w:val="center"/>
        </w:trPr>
        <w:tc>
          <w:tcPr>
            <w:tcW w:w="8776" w:type="dxa"/>
          </w:tcPr>
          <w:p w14:paraId="2374310F">
            <w:pPr>
              <w:spacing w:line="360" w:lineRule="auto"/>
              <w:rPr>
                <w:szCs w:val="21"/>
              </w:rPr>
            </w:pPr>
            <w:r>
              <w:rPr>
                <w:rFonts w:hint="eastAsia"/>
                <w:b/>
                <w:szCs w:val="21"/>
              </w:rPr>
              <w:t>四、申请理由</w:t>
            </w:r>
            <w:r>
              <w:rPr>
                <w:rFonts w:hint="eastAsia" w:cs="宋体"/>
                <w:color w:val="000000"/>
                <w:kern w:val="0"/>
                <w:szCs w:val="21"/>
              </w:rPr>
              <w:t>（可另附页。1500字左右，</w:t>
            </w:r>
            <w:r>
              <w:rPr>
                <w:rFonts w:cs="宋体"/>
                <w:color w:val="000000"/>
                <w:kern w:val="0"/>
                <w:szCs w:val="21"/>
              </w:rPr>
              <w:t>包括</w:t>
            </w:r>
            <w:r>
              <w:rPr>
                <w:rFonts w:hint="eastAsia" w:cs="宋体"/>
                <w:color w:val="000000"/>
                <w:kern w:val="0"/>
                <w:szCs w:val="21"/>
              </w:rPr>
              <w:t>项目实施目的、背景、内容、</w:t>
            </w:r>
            <w:r>
              <w:rPr>
                <w:rFonts w:cs="宋体"/>
                <w:color w:val="000000"/>
                <w:kern w:val="0"/>
                <w:szCs w:val="21"/>
              </w:rPr>
              <w:t>自身</w:t>
            </w:r>
            <w:r>
              <w:rPr>
                <w:rFonts w:hint="eastAsia" w:cs="宋体"/>
                <w:color w:val="000000"/>
                <w:kern w:val="0"/>
                <w:szCs w:val="21"/>
              </w:rPr>
              <w:t>/团队</w:t>
            </w:r>
            <w:r>
              <w:rPr>
                <w:rFonts w:cs="宋体"/>
                <w:color w:val="000000"/>
                <w:kern w:val="0"/>
                <w:szCs w:val="21"/>
              </w:rPr>
              <w:t>具备的知识</w:t>
            </w:r>
            <w:r>
              <w:rPr>
                <w:rFonts w:hint="eastAsia" w:cs="宋体"/>
                <w:color w:val="000000"/>
                <w:kern w:val="0"/>
                <w:szCs w:val="21"/>
              </w:rPr>
              <w:t>、</w:t>
            </w:r>
            <w:r>
              <w:rPr>
                <w:rFonts w:cs="宋体"/>
                <w:color w:val="000000"/>
                <w:kern w:val="0"/>
                <w:szCs w:val="21"/>
              </w:rPr>
              <w:t>条件</w:t>
            </w:r>
            <w:r>
              <w:rPr>
                <w:rFonts w:hint="eastAsia" w:cs="宋体"/>
                <w:color w:val="000000"/>
                <w:kern w:val="0"/>
                <w:szCs w:val="21"/>
              </w:rPr>
              <w:t>、</w:t>
            </w:r>
            <w:r>
              <w:rPr>
                <w:rFonts w:cs="宋体"/>
                <w:color w:val="000000"/>
                <w:kern w:val="0"/>
                <w:szCs w:val="21"/>
              </w:rPr>
              <w:t>特长、兴趣</w:t>
            </w:r>
            <w:r>
              <w:rPr>
                <w:rFonts w:hint="eastAsia" w:cs="宋体"/>
                <w:color w:val="000000"/>
                <w:kern w:val="0"/>
                <w:szCs w:val="21"/>
              </w:rPr>
              <w:t>、前期准备，以及参加哪些科技事件创新活动和取得的成绩等。需对项目可行性分析作专门论述，背景分析、成本分析、社会效益或经济效益分析等。）</w:t>
            </w:r>
          </w:p>
          <w:p w14:paraId="42BE22A4">
            <w:pPr>
              <w:pStyle w:val="8"/>
              <w:widowControl/>
              <w:spacing w:beforeAutospacing="0" w:afterAutospacing="0" w:line="360" w:lineRule="auto"/>
              <w:jc w:val="both"/>
              <w:rPr>
                <w:rFonts w:cs="宋体"/>
                <w:b/>
                <w:bCs/>
                <w:sz w:val="21"/>
                <w:szCs w:val="21"/>
              </w:rPr>
            </w:pPr>
            <w:r>
              <w:rPr>
                <w:rFonts w:hint="eastAsia" w:cs="宋体"/>
                <w:b/>
                <w:bCs/>
                <w:sz w:val="21"/>
                <w:szCs w:val="21"/>
              </w:rPr>
              <w:t>(一)研究目的与背景</w:t>
            </w:r>
          </w:p>
          <w:p w14:paraId="50BAF8BF">
            <w:pPr>
              <w:pStyle w:val="8"/>
              <w:widowControl/>
              <w:spacing w:beforeAutospacing="0" w:afterAutospacing="0" w:line="360" w:lineRule="auto"/>
              <w:ind w:firstLine="420" w:firstLineChars="200"/>
              <w:jc w:val="both"/>
              <w:rPr>
                <w:rFonts w:cs="宋体"/>
                <w:sz w:val="21"/>
                <w:szCs w:val="21"/>
              </w:rPr>
            </w:pPr>
            <w:r>
              <w:rPr>
                <w:rFonts w:cs="宋体"/>
                <w:sz w:val="21"/>
                <w:szCs w:val="21"/>
              </w:rPr>
              <w:t>基孔肯雅热是由基孔肯雅病毒引起、主要经埃及伊蚊和白纹伊蚊传播的蚊媒传染病，临床上常表现为发热、皮疹和明显关节疼痛，部分患者还可能出现持续数周至数月甚至更久的关节症状，对居民健康和公共卫生系统均造成持续负担</w:t>
            </w:r>
            <w:r>
              <w:rPr>
                <w:rFonts w:hint="eastAsia" w:cs="宋体"/>
                <w:b/>
                <w:bCs/>
                <w:sz w:val="21"/>
                <w:szCs w:val="21"/>
                <w:vertAlign w:val="superscript"/>
              </w:rPr>
              <w:t>[1]</w:t>
            </w:r>
            <w:r>
              <w:rPr>
                <w:rFonts w:hint="eastAsia" w:cs="宋体"/>
                <w:sz w:val="21"/>
                <w:szCs w:val="21"/>
              </w:rPr>
              <w:t>。世界卫生组织</w:t>
            </w:r>
            <w:r>
              <w:rPr>
                <w:sz w:val="21"/>
                <w:szCs w:val="21"/>
              </w:rPr>
              <w:t>WHO</w:t>
            </w:r>
            <w:r>
              <w:rPr>
                <w:rFonts w:cs="宋体"/>
                <w:sz w:val="21"/>
                <w:szCs w:val="21"/>
              </w:rPr>
              <w:t>指出，该病目前已在全球</w:t>
            </w:r>
            <w:r>
              <w:rPr>
                <w:sz w:val="21"/>
                <w:szCs w:val="21"/>
              </w:rPr>
              <w:t>110</w:t>
            </w:r>
            <w:r>
              <w:rPr>
                <w:rFonts w:cs="宋体"/>
                <w:sz w:val="21"/>
                <w:szCs w:val="21"/>
              </w:rPr>
              <w:t>多个国家发现传播，且近</w:t>
            </w:r>
            <w:r>
              <w:rPr>
                <w:rFonts w:hint="eastAsia" w:cs="宋体"/>
                <w:sz w:val="21"/>
                <w:szCs w:val="21"/>
              </w:rPr>
              <w:t>年来</w:t>
            </w:r>
            <w:r>
              <w:rPr>
                <w:rFonts w:cs="宋体"/>
                <w:sz w:val="21"/>
                <w:szCs w:val="21"/>
              </w:rPr>
              <w:t>仍在</w:t>
            </w:r>
            <w:r>
              <w:rPr>
                <w:rFonts w:hint="eastAsia" w:cs="宋体"/>
                <w:sz w:val="21"/>
                <w:szCs w:val="21"/>
              </w:rPr>
              <w:t>多个</w:t>
            </w:r>
            <w:r>
              <w:rPr>
                <w:rFonts w:cs="宋体"/>
                <w:sz w:val="21"/>
                <w:szCs w:val="21"/>
              </w:rPr>
              <w:t>地区持续活跃，</w:t>
            </w:r>
            <w:r>
              <w:rPr>
                <w:rFonts w:hint="eastAsia" w:cs="宋体"/>
                <w:sz w:val="21"/>
                <w:szCs w:val="21"/>
              </w:rPr>
              <w:t>巴西</w:t>
            </w:r>
            <w:r>
              <w:rPr>
                <w:rFonts w:cs="宋体"/>
                <w:sz w:val="21"/>
                <w:szCs w:val="21"/>
              </w:rPr>
              <w:t>仍是基孔肯雅热的重要流行区域之一。</w:t>
            </w:r>
            <w:r>
              <w:rPr>
                <w:rFonts w:hint="eastAsia" w:cs="宋体"/>
                <w:sz w:val="21"/>
                <w:szCs w:val="21"/>
              </w:rPr>
              <w:t>泛美卫生组织</w:t>
            </w:r>
            <w:r>
              <w:rPr>
                <w:sz w:val="21"/>
                <w:szCs w:val="21"/>
              </w:rPr>
              <w:t>PAHO</w:t>
            </w:r>
            <w:r>
              <w:rPr>
                <w:rFonts w:cs="宋体"/>
                <w:sz w:val="21"/>
                <w:szCs w:val="21"/>
              </w:rPr>
              <w:t>在</w:t>
            </w:r>
            <w:r>
              <w:rPr>
                <w:sz w:val="21"/>
                <w:szCs w:val="21"/>
              </w:rPr>
              <w:t>2026</w:t>
            </w:r>
            <w:r>
              <w:rPr>
                <w:rFonts w:cs="宋体"/>
                <w:sz w:val="21"/>
                <w:szCs w:val="21"/>
              </w:rPr>
              <w:t>年</w:t>
            </w:r>
            <w:r>
              <w:rPr>
                <w:sz w:val="21"/>
                <w:szCs w:val="21"/>
              </w:rPr>
              <w:t>2</w:t>
            </w:r>
            <w:r>
              <w:rPr>
                <w:rFonts w:cs="宋体"/>
                <w:sz w:val="21"/>
                <w:szCs w:val="21"/>
              </w:rPr>
              <w:t>月的警报中提到，巴西在</w:t>
            </w:r>
            <w:r>
              <w:rPr>
                <w:sz w:val="21"/>
                <w:szCs w:val="21"/>
              </w:rPr>
              <w:t>2025</w:t>
            </w:r>
            <w:r>
              <w:rPr>
                <w:rFonts w:cs="宋体"/>
                <w:sz w:val="21"/>
                <w:szCs w:val="21"/>
              </w:rPr>
              <w:t>年</w:t>
            </w:r>
            <w:r>
              <w:rPr>
                <w:sz w:val="21"/>
                <w:szCs w:val="21"/>
              </w:rPr>
              <w:t>EW1–EW53</w:t>
            </w:r>
            <w:r>
              <w:rPr>
                <w:rFonts w:cs="宋体"/>
                <w:sz w:val="21"/>
                <w:szCs w:val="21"/>
              </w:rPr>
              <w:t>期间报告</w:t>
            </w:r>
            <w:r>
              <w:rPr>
                <w:sz w:val="21"/>
                <w:szCs w:val="21"/>
              </w:rPr>
              <w:t>129,123</w:t>
            </w:r>
            <w:r>
              <w:rPr>
                <w:rFonts w:cs="宋体"/>
                <w:sz w:val="21"/>
                <w:szCs w:val="21"/>
              </w:rPr>
              <w:t>例可能病例和</w:t>
            </w:r>
            <w:r>
              <w:rPr>
                <w:sz w:val="21"/>
                <w:szCs w:val="21"/>
              </w:rPr>
              <w:t>121</w:t>
            </w:r>
            <w:r>
              <w:rPr>
                <w:rFonts w:cs="宋体"/>
                <w:sz w:val="21"/>
                <w:szCs w:val="21"/>
              </w:rPr>
              <w:t>例死亡，且其中</w:t>
            </w:r>
            <w:r>
              <w:rPr>
                <w:sz w:val="21"/>
                <w:szCs w:val="21"/>
              </w:rPr>
              <w:t>107,975</w:t>
            </w:r>
            <w:r>
              <w:rPr>
                <w:rFonts w:cs="宋体"/>
                <w:sz w:val="21"/>
                <w:szCs w:val="21"/>
              </w:rPr>
              <w:t>例为本地病例。与此同时，巴西卫生部门已建立按流行病学周更新的虫媒病毒监测平台</w:t>
            </w:r>
            <w:r>
              <w:rPr>
                <w:rFonts w:hint="eastAsia" w:cs="宋体"/>
                <w:sz w:val="21"/>
                <w:szCs w:val="21"/>
              </w:rPr>
              <w:t>和国家气象研究所平台</w:t>
            </w:r>
            <w:r>
              <w:rPr>
                <w:rFonts w:cs="宋体"/>
                <w:sz w:val="21"/>
                <w:szCs w:val="21"/>
              </w:rPr>
              <w:t>，为开展全国尺度的动力学建模提供了较好的数据基础。</w:t>
            </w:r>
          </w:p>
          <w:p w14:paraId="160326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szCs w:val="21"/>
              </w:rPr>
            </w:pPr>
            <w:r>
              <w:rPr>
                <w:rFonts w:hint="eastAsia" w:cs="宋体"/>
                <w:sz w:val="21"/>
                <w:szCs w:val="21"/>
              </w:rPr>
              <w:t>本项目的实施目的主要有三点。第一，构建一个能够较好地反映巴西基孔肯雅热传播机制的动力学模型，在理论上解释疫情变化的内在机理。第二，基于公开病例数据及人口等数据，对模型参数进行估计与校准，实现对巴西短期疫情走势的初步预测，并分析温度、降雨等外部因素对传播强度的影响。第三，在模型与数据分析基础上，形成具有一定公共卫生意义的结论，为蚊媒传染病防控提供量化参考，同时提升团队成员在文献阅读、科研写作、代码实现、跨学科协作等方面的综合能力。</w:t>
            </w:r>
          </w:p>
        </w:tc>
      </w:tr>
      <w:tr w14:paraId="25CA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9252" w:hRule="atLeast"/>
          <w:jc w:val="center"/>
        </w:trPr>
        <w:tc>
          <w:tcPr>
            <w:tcW w:w="8776" w:type="dxa"/>
            <w:tcBorders>
              <w:bottom w:val="single" w:color="auto" w:sz="4" w:space="0"/>
            </w:tcBorders>
          </w:tcPr>
          <w:p w14:paraId="25CA76E0">
            <w:pPr>
              <w:pStyle w:val="8"/>
              <w:widowControl/>
              <w:spacing w:beforeAutospacing="0" w:afterAutospacing="0" w:line="360" w:lineRule="auto"/>
              <w:jc w:val="both"/>
              <w:rPr>
                <w:rFonts w:cs="宋体"/>
                <w:b/>
                <w:bCs/>
                <w:sz w:val="21"/>
                <w:szCs w:val="21"/>
              </w:rPr>
            </w:pPr>
            <w:r>
              <w:rPr>
                <w:rFonts w:hint="eastAsia" w:cs="宋体"/>
                <w:b/>
                <w:bCs/>
                <w:sz w:val="21"/>
                <w:szCs w:val="21"/>
              </w:rPr>
              <w:t>(二)研究内容</w:t>
            </w:r>
          </w:p>
          <w:p w14:paraId="25CA76E1">
            <w:pPr>
              <w:pStyle w:val="8"/>
              <w:widowControl/>
              <w:spacing w:beforeAutospacing="0" w:afterAutospacing="0" w:line="360" w:lineRule="auto"/>
              <w:ind w:firstLine="420" w:firstLineChars="200"/>
              <w:jc w:val="both"/>
              <w:rPr>
                <w:rFonts w:cs="宋体"/>
                <w:sz w:val="18"/>
                <w:szCs w:val="18"/>
              </w:rPr>
            </w:pPr>
            <w:r>
              <w:rPr>
                <w:rFonts w:hint="eastAsia" w:cs="宋体"/>
                <w:sz w:val="21"/>
                <w:szCs w:val="21"/>
              </w:rPr>
              <w:t>在研究内容上，本项目将参考已发表传染病动力学研究中“建立仓室模型—开展稳定性分析—进行参数拟合与敏感性分析—完成数值模拟和策略讨论”的基本思路</w:t>
            </w:r>
            <w:r>
              <w:rPr>
                <w:rFonts w:hint="eastAsia" w:cs="宋体"/>
                <w:b/>
                <w:bCs/>
                <w:sz w:val="21"/>
                <w:szCs w:val="21"/>
                <w:vertAlign w:val="superscript"/>
              </w:rPr>
              <w:t>[2]</w:t>
            </w:r>
            <w:r>
              <w:rPr>
                <w:rFonts w:hint="eastAsia" w:cs="宋体"/>
                <w:sz w:val="21"/>
                <w:szCs w:val="21"/>
              </w:rPr>
              <w:t>，并结合基孔肯雅热在</w:t>
            </w:r>
            <w:r>
              <w:rPr>
                <w:rFonts w:cs="宋体"/>
                <w:sz w:val="21"/>
                <w:szCs w:val="21"/>
              </w:rPr>
              <w:t>留尼汪岛</w:t>
            </w:r>
            <w:r>
              <w:rPr>
                <w:rFonts w:hint="eastAsia" w:cs="宋体"/>
                <w:b/>
                <w:bCs/>
                <w:sz w:val="21"/>
                <w:szCs w:val="21"/>
                <w:vertAlign w:val="superscript"/>
              </w:rPr>
              <w:t>[3]</w:t>
            </w:r>
            <w:r>
              <w:rPr>
                <w:rFonts w:hint="eastAsia" w:cs="宋体"/>
                <w:sz w:val="21"/>
                <w:szCs w:val="21"/>
              </w:rPr>
              <w:t>和哥伦比亚</w:t>
            </w:r>
            <w:r>
              <w:rPr>
                <w:rFonts w:hint="eastAsia" w:cs="宋体"/>
                <w:b/>
                <w:bCs/>
                <w:sz w:val="21"/>
                <w:szCs w:val="21"/>
                <w:vertAlign w:val="superscript"/>
              </w:rPr>
              <w:t>[4]</w:t>
            </w:r>
            <w:r>
              <w:rPr>
                <w:rFonts w:hint="eastAsia" w:cs="宋体"/>
                <w:sz w:val="21"/>
                <w:szCs w:val="21"/>
              </w:rPr>
              <w:t>的数学模型。</w:t>
            </w:r>
          </w:p>
          <w:p w14:paraId="25CA76E2">
            <w:pPr>
              <w:pStyle w:val="8"/>
              <w:widowControl/>
              <w:spacing w:beforeAutospacing="0" w:afterAutospacing="0" w:line="360" w:lineRule="auto"/>
              <w:ind w:firstLine="422" w:firstLineChars="200"/>
              <w:jc w:val="both"/>
              <w:rPr>
                <w:rFonts w:cs="宋体"/>
                <w:sz w:val="21"/>
                <w:szCs w:val="21"/>
              </w:rPr>
            </w:pPr>
            <w:r>
              <w:rPr>
                <w:b/>
                <w:bCs/>
                <w:sz w:val="21"/>
                <w:szCs w:val="21"/>
                <w:lang w:bidi="ar"/>
              </w:rPr>
              <w:t>(1)</w:t>
            </w:r>
            <w:r>
              <w:rPr>
                <w:rFonts w:hint="eastAsia" w:cs="宋体"/>
                <w:sz w:val="21"/>
                <w:szCs w:val="21"/>
              </w:rPr>
              <w:t>建立一个人群-媒介耦合的传染病动力学模型。模型将区分人群中的易感者(</w:t>
            </w:r>
            <w:r>
              <w:rPr>
                <w:sz w:val="21"/>
                <w:szCs w:val="21"/>
              </w:rPr>
              <w:t>S</w:t>
            </w:r>
            <w:r>
              <w:rPr>
                <w:rFonts w:hint="eastAsia" w:cs="宋体"/>
                <w:sz w:val="21"/>
                <w:szCs w:val="21"/>
              </w:rPr>
              <w:t>)、潜伏期者(</w:t>
            </w:r>
            <w:r>
              <w:rPr>
                <w:sz w:val="21"/>
                <w:szCs w:val="21"/>
              </w:rPr>
              <w:t>E</w:t>
            </w:r>
            <w:r>
              <w:rPr>
                <w:rFonts w:hint="eastAsia" w:cs="宋体"/>
                <w:sz w:val="21"/>
                <w:szCs w:val="21"/>
              </w:rPr>
              <w:t>)、感染者(</w:t>
            </w:r>
            <w:r>
              <w:rPr>
                <w:sz w:val="21"/>
                <w:szCs w:val="21"/>
              </w:rPr>
              <w:t>I</w:t>
            </w:r>
            <w:r>
              <w:rPr>
                <w:rFonts w:hint="eastAsia" w:cs="宋体"/>
                <w:sz w:val="21"/>
                <w:szCs w:val="21"/>
              </w:rPr>
              <w:t>)和康复者(</w:t>
            </w:r>
            <w:r>
              <w:rPr>
                <w:sz w:val="21"/>
                <w:szCs w:val="21"/>
              </w:rPr>
              <w:t>R</w:t>
            </w:r>
            <w:r>
              <w:rPr>
                <w:rFonts w:hint="eastAsia" w:cs="宋体"/>
                <w:sz w:val="21"/>
                <w:szCs w:val="21"/>
              </w:rPr>
              <w:t>)，以及蚊媒中的易感(</w:t>
            </w:r>
            <m:oMath>
              <m:r>
                <m:rPr/>
                <w:rPr>
                  <w:rFonts w:ascii="Cambria Math" w:hAnsi="Cambria Math" w:cs="宋体"/>
                  <w:sz w:val="21"/>
                  <w:szCs w:val="21"/>
                </w:rPr>
                <m:t>X</m:t>
              </m:r>
            </m:oMath>
            <w:r>
              <w:rPr>
                <w:rFonts w:hint="eastAsia" w:cs="宋体"/>
                <w:sz w:val="21"/>
                <w:szCs w:val="21"/>
              </w:rPr>
              <w:t>)、潜伏(</w:t>
            </w:r>
            <m:oMath>
              <m:r>
                <m:rPr/>
                <w:rPr>
                  <w:rFonts w:ascii="Cambria Math" w:hAnsi="Cambria Math" w:cs="宋体"/>
                  <w:sz w:val="21"/>
                  <w:szCs w:val="21"/>
                </w:rPr>
                <m:t>Y</m:t>
              </m:r>
            </m:oMath>
            <w:r>
              <w:rPr>
                <w:rFonts w:hint="eastAsia" w:cs="宋体"/>
                <w:sz w:val="21"/>
                <w:szCs w:val="21"/>
              </w:rPr>
              <w:t>)、感染(</w:t>
            </w:r>
            <m:oMath>
              <m:r>
                <m:rPr/>
                <w:rPr>
                  <w:rFonts w:ascii="Cambria Math" w:hAnsi="Cambria Math" w:cs="宋体"/>
                  <w:sz w:val="21"/>
                  <w:szCs w:val="21"/>
                </w:rPr>
                <m:t>Z</m:t>
              </m:r>
            </m:oMath>
            <w:r>
              <w:rPr>
                <w:rFonts w:hint="eastAsia" w:cs="宋体"/>
                <w:sz w:val="21"/>
                <w:szCs w:val="21"/>
              </w:rPr>
              <w:t>)状态。</w:t>
            </w:r>
          </w:p>
          <w:p w14:paraId="25CA76E3">
            <w:pPr>
              <w:pStyle w:val="8"/>
              <w:widowControl/>
              <w:spacing w:beforeAutospacing="0" w:afterAutospacing="0" w:line="360" w:lineRule="auto"/>
              <w:ind w:firstLine="422" w:firstLineChars="200"/>
              <w:jc w:val="both"/>
              <w:rPr>
                <w:rFonts w:cs="宋体"/>
                <w:sz w:val="21"/>
                <w:szCs w:val="21"/>
              </w:rPr>
            </w:pPr>
            <w:r>
              <w:rPr>
                <w:b/>
                <w:bCs/>
                <w:sz w:val="21"/>
                <w:szCs w:val="21"/>
              </w:rPr>
              <w:t>(2)</w:t>
            </w:r>
            <w:r>
              <w:rPr>
                <w:rFonts w:hint="eastAsia" w:cs="宋体"/>
                <w:sz w:val="21"/>
                <w:szCs w:val="21"/>
              </w:rPr>
              <w:t>理论分析：对模型进行严格的数学分析，包括证明解的非负性与有界性，利用NGM方法</w:t>
            </w:r>
            <w:r>
              <w:rPr>
                <w:rFonts w:hint="eastAsia" w:cs="宋体"/>
                <w:b/>
                <w:bCs/>
                <w:sz w:val="21"/>
                <w:szCs w:val="21"/>
                <w:vertAlign w:val="superscript"/>
              </w:rPr>
              <w:t>[5]</w:t>
            </w:r>
            <w:r>
              <w:rPr>
                <w:rFonts w:hint="eastAsia" w:cs="宋体"/>
                <w:sz w:val="21"/>
                <w:szCs w:val="21"/>
              </w:rPr>
              <w:t>计算基本再生数（</w:t>
            </w:r>
            <m:oMath>
              <m:sSub>
                <m:sSubPr>
                  <m:ctrlPr>
                    <w:rPr>
                      <w:rFonts w:ascii="Cambria Math" w:hAnsi="Cambria Math"/>
                      <w:sz w:val="21"/>
                    </w:rPr>
                  </m:ctrlPr>
                </m:sSubPr>
                <m:e>
                  <m:r>
                    <m:rPr/>
                    <w:rPr>
                      <w:rFonts w:ascii="Cambria Math" w:hAnsi="Cambria Math"/>
                      <w:sz w:val="21"/>
                    </w:rPr>
                    <m:t>R</m:t>
                  </m:r>
                  <m:ctrlPr>
                    <w:rPr>
                      <w:rFonts w:ascii="Cambria Math" w:hAnsi="Cambria Math"/>
                      <w:sz w:val="21"/>
                    </w:rPr>
                  </m:ctrlPr>
                </m:e>
                <m:sub>
                  <m:r>
                    <m:rPr/>
                    <w:rPr>
                      <w:rFonts w:ascii="Cambria Math" w:hAnsi="Cambria Math"/>
                      <w:sz w:val="21"/>
                    </w:rPr>
                    <m:t>0</m:t>
                  </m:r>
                  <m:ctrlPr>
                    <w:rPr>
                      <w:rFonts w:ascii="Cambria Math" w:hAnsi="Cambria Math"/>
                      <w:sz w:val="21"/>
                    </w:rPr>
                  </m:ctrlPr>
                </m:sub>
              </m:sSub>
            </m:oMath>
            <w:r>
              <w:rPr>
                <w:rFonts w:hint="eastAsia" w:cs="宋体"/>
                <w:sz w:val="21"/>
                <w:szCs w:val="21"/>
              </w:rPr>
              <w:t>）,</w:t>
            </w:r>
            <w:r>
              <w:rPr>
                <w:rFonts w:cs="宋体"/>
                <w:sz w:val="21"/>
                <w:szCs w:val="21"/>
              </w:rPr>
              <w:t xml:space="preserve"> </w:t>
            </w:r>
            <w:r>
              <w:rPr>
                <w:rFonts w:hint="eastAsia" w:cs="宋体"/>
                <w:sz w:val="21"/>
                <w:szCs w:val="21"/>
              </w:rPr>
              <w:t>并分析无病平衡点与地方病平衡点的稳定性。</w:t>
            </w:r>
          </w:p>
          <w:p w14:paraId="25CA76E4">
            <w:pPr>
              <w:pStyle w:val="8"/>
              <w:widowControl/>
              <w:spacing w:beforeAutospacing="0" w:afterAutospacing="0" w:line="360" w:lineRule="auto"/>
              <w:ind w:firstLine="422" w:firstLineChars="200"/>
              <w:jc w:val="both"/>
              <w:rPr>
                <w:rFonts w:cs="宋体"/>
                <w:sz w:val="21"/>
                <w:szCs w:val="21"/>
              </w:rPr>
            </w:pPr>
            <w:r>
              <w:rPr>
                <w:b/>
                <w:bCs/>
                <w:sz w:val="21"/>
                <w:szCs w:val="21"/>
              </w:rPr>
              <w:t>(3)</w:t>
            </w:r>
            <w:r>
              <w:rPr>
                <w:rFonts w:hint="eastAsia" w:cs="宋体"/>
                <w:sz w:val="21"/>
                <w:szCs w:val="21"/>
              </w:rPr>
              <w:t>数据拟合与参数估计：收集巴西基孔肯雅热病例的周报数据，并采用非线性最小二乘法等优化算法对模型关键气候敏感参数（如传播率、潜伏期等）进行估计与校准</w:t>
            </w:r>
            <w:r>
              <w:rPr>
                <w:rStyle w:val="16"/>
                <w:rFonts w:hint="eastAsia"/>
                <w:kern w:val="2"/>
              </w:rPr>
              <w:t>。</w:t>
            </w:r>
          </w:p>
          <w:p w14:paraId="25CA76E5">
            <w:pPr>
              <w:pStyle w:val="8"/>
              <w:widowControl/>
              <w:spacing w:beforeAutospacing="0" w:afterAutospacing="0" w:line="360" w:lineRule="auto"/>
              <w:ind w:firstLine="422" w:firstLineChars="200"/>
              <w:jc w:val="both"/>
              <w:rPr>
                <w:rFonts w:cs="宋体"/>
                <w:sz w:val="21"/>
                <w:szCs w:val="21"/>
              </w:rPr>
            </w:pPr>
            <w:r>
              <w:rPr>
                <w:b/>
                <w:bCs/>
                <w:sz w:val="21"/>
                <w:szCs w:val="21"/>
              </w:rPr>
              <w:t>(4)</w:t>
            </w:r>
            <w:r>
              <w:rPr>
                <w:rFonts w:hint="eastAsia" w:cs="宋体"/>
                <w:sz w:val="21"/>
                <w:szCs w:val="21"/>
              </w:rPr>
              <w:t>敏感性分析与预测：通过局部敏感性分析（如归一化前向敏感性指数）和全局敏感性分析，识别影响疫情发展的关键参数，并基于拟合模型进行短期疫情趋势预测。</w:t>
            </w:r>
          </w:p>
          <w:p w14:paraId="25CA76E6">
            <w:pPr>
              <w:pStyle w:val="4"/>
              <w:spacing w:line="360" w:lineRule="auto"/>
              <w:ind w:firstLine="422" w:firstLineChars="200"/>
              <w:jc w:val="both"/>
              <w:rPr>
                <w:rFonts w:cs="宋体"/>
                <w:szCs w:val="21"/>
              </w:rPr>
            </w:pPr>
            <w:r>
              <w:rPr>
                <w:b/>
                <w:bCs/>
                <w:szCs w:val="21"/>
              </w:rPr>
              <w:t>(5)</w:t>
            </w:r>
            <w:r>
              <w:rPr>
                <w:rFonts w:hint="eastAsia" w:cs="宋体"/>
                <w:szCs w:val="21"/>
              </w:rPr>
              <w:t>干预策略模拟：借鉴最优控制理论框架，在模型中考虑如加强灭蚊（提高蚊媒死亡率</w:t>
            </w:r>
            <m:oMath>
              <m:r>
                <m:rPr/>
                <w:rPr>
                  <w:rFonts w:ascii="Cambria Math" w:hAnsi="Cambria Math" w:cs="宋体"/>
                  <w:szCs w:val="21"/>
                </w:rPr>
                <m:t>μ</m:t>
              </m:r>
            </m:oMath>
            <w:r>
              <w:rPr>
                <w:rFonts w:hint="eastAsia" w:cs="宋体"/>
                <w:szCs w:val="21"/>
              </w:rPr>
              <w:t>）、推广驱蚊剂使用（</w:t>
            </w:r>
            <w:r>
              <w:rPr>
                <w:rStyle w:val="16"/>
                <w:rFonts w:hint="eastAsia"/>
              </w:rPr>
              <w:t>蚊子到</w:t>
            </w:r>
            <w:r>
              <w:rPr>
                <w:rFonts w:hint="eastAsia" w:cs="宋体"/>
                <w:szCs w:val="21"/>
              </w:rPr>
              <w:t>人的传染率</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oMath>
            <w:r>
              <w:rPr>
                <w:rFonts w:hint="eastAsia"/>
              </w:rPr>
              <w:t>人到蚊子的传染率</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cs="宋体"/>
                <w:szCs w:val="21"/>
              </w:rPr>
              <w:t>）、以及基于症状的隔离等干预措施，模拟比较不同策略对降低疫情峰值和规模的效果。</w:t>
            </w:r>
          </w:p>
          <w:p w14:paraId="25CA76E7">
            <w:pPr>
              <w:pStyle w:val="8"/>
              <w:widowControl/>
              <w:spacing w:beforeAutospacing="0" w:afterAutospacing="0" w:line="360" w:lineRule="auto"/>
              <w:jc w:val="both"/>
              <w:rPr>
                <w:rFonts w:cs="宋体"/>
                <w:b/>
                <w:bCs/>
                <w:sz w:val="21"/>
                <w:szCs w:val="21"/>
              </w:rPr>
            </w:pPr>
            <w:r>
              <w:rPr>
                <w:rFonts w:hint="eastAsia" w:cs="宋体"/>
                <w:b/>
                <w:bCs/>
                <w:sz w:val="21"/>
                <w:szCs w:val="21"/>
              </w:rPr>
              <w:t>（三）团队条件和前期准备</w:t>
            </w:r>
          </w:p>
          <w:p w14:paraId="25CA76E8">
            <w:pPr>
              <w:pStyle w:val="8"/>
              <w:widowControl/>
              <w:spacing w:beforeAutospacing="0" w:afterAutospacing="0" w:line="360" w:lineRule="auto"/>
              <w:jc w:val="both"/>
              <w:rPr>
                <w:rFonts w:cs="宋体"/>
                <w:b/>
                <w:bCs/>
                <w:sz w:val="21"/>
                <w:szCs w:val="21"/>
              </w:rPr>
            </w:pPr>
            <w:r>
              <w:rPr>
                <w:rFonts w:hint="eastAsia" w:cs="宋体"/>
                <w:b/>
                <w:bCs/>
                <w:sz w:val="21"/>
                <w:szCs w:val="21"/>
              </w:rPr>
              <w:t>团队条件:</w:t>
            </w:r>
          </w:p>
          <w:p w14:paraId="25CA76E9">
            <w:pPr>
              <w:pStyle w:val="8"/>
              <w:widowControl/>
              <w:spacing w:beforeAutospacing="0" w:afterAutospacing="0" w:line="360" w:lineRule="auto"/>
              <w:ind w:firstLine="420" w:firstLineChars="200"/>
              <w:jc w:val="both"/>
              <w:rPr>
                <w:rFonts w:cs="宋体"/>
                <w:sz w:val="21"/>
                <w:szCs w:val="21"/>
              </w:rPr>
            </w:pPr>
            <w:r>
              <w:rPr>
                <w:rFonts w:hint="eastAsia" w:cs="宋体"/>
                <w:sz w:val="21"/>
                <w:szCs w:val="21"/>
              </w:rPr>
              <w:t>本项目具有较好的实施基础。团队共</w:t>
            </w:r>
            <w:r>
              <w:rPr>
                <w:sz w:val="21"/>
                <w:szCs w:val="21"/>
              </w:rPr>
              <w:t>4</w:t>
            </w:r>
            <w:r>
              <w:rPr>
                <w:rFonts w:hint="eastAsia" w:cs="宋体"/>
                <w:sz w:val="21"/>
                <w:szCs w:val="21"/>
              </w:rPr>
              <w:t>人，分工相对明确：数学院成员负责整体模型研究设计、数学理论分析、数据处理、代码实现、数值模拟，公共卫生学院成员负责疾病背景整理、防控措施分析、机理解释与核心文献梳理。</w:t>
            </w:r>
          </w:p>
          <w:p w14:paraId="25CA76EA">
            <w:pPr>
              <w:pStyle w:val="8"/>
              <w:widowControl/>
              <w:spacing w:beforeAutospacing="0" w:afterAutospacing="0" w:line="360" w:lineRule="auto"/>
              <w:ind w:firstLine="420" w:firstLineChars="200"/>
              <w:jc w:val="both"/>
              <w:rPr>
                <w:rFonts w:cs="宋体"/>
                <w:sz w:val="21"/>
                <w:szCs w:val="21"/>
              </w:rPr>
            </w:pPr>
            <w:r>
              <w:rPr>
                <w:rFonts w:hint="eastAsia" w:cs="宋体"/>
                <w:sz w:val="21"/>
                <w:szCs w:val="21"/>
              </w:rPr>
              <w:t>这样的配置使团队兼具数学建模能力与公共卫生理解能力，作为数学院本科生团队成员，我们已具备常微分方程、高等代数、概率论与数理统计、数学建模、数值分析、</w:t>
            </w:r>
            <w:r>
              <w:rPr>
                <w:sz w:val="21"/>
                <w:szCs w:val="21"/>
              </w:rPr>
              <w:t>Python</w:t>
            </w:r>
            <w:r>
              <w:rPr>
                <w:rFonts w:hint="eastAsia" w:cs="宋体"/>
                <w:sz w:val="21"/>
                <w:szCs w:val="21"/>
              </w:rPr>
              <w:t>和</w:t>
            </w:r>
            <w:r>
              <w:rPr>
                <w:sz w:val="21"/>
                <w:szCs w:val="21"/>
              </w:rPr>
              <w:t>Matlab</w:t>
            </w:r>
            <w:r>
              <w:rPr>
                <w:rFonts w:hint="eastAsia" w:cs="宋体"/>
                <w:sz w:val="21"/>
                <w:szCs w:val="21"/>
              </w:rPr>
              <w:t>编程等基础知识，有过多次大创经历，能够开展基本的数据处理、模型建立与数值计算工作，并参加过全国大学生数学建模比赛和美国大学生建模比赛。同时，团队成员对科研训练和交叉问题具有较强兴趣，愿意投入较长时间持续学习相关理论与方法。</w:t>
            </w:r>
          </w:p>
          <w:p w14:paraId="25CA76EB">
            <w:pPr>
              <w:pStyle w:val="8"/>
              <w:widowControl/>
              <w:spacing w:beforeAutospacing="0" w:afterAutospacing="0" w:line="360" w:lineRule="auto"/>
              <w:jc w:val="both"/>
              <w:rPr>
                <w:rFonts w:cs="宋体"/>
                <w:b/>
                <w:bCs/>
                <w:sz w:val="21"/>
                <w:szCs w:val="21"/>
              </w:rPr>
            </w:pPr>
            <w:r>
              <w:rPr>
                <w:rFonts w:hint="eastAsia" w:cs="宋体"/>
                <w:b/>
                <w:bCs/>
                <w:sz w:val="21"/>
                <w:szCs w:val="21"/>
              </w:rPr>
              <w:t>前期准备：</w:t>
            </w:r>
          </w:p>
          <w:p w14:paraId="25CA76EC">
            <w:pPr>
              <w:pStyle w:val="8"/>
              <w:widowControl/>
              <w:spacing w:beforeAutospacing="0" w:afterAutospacing="0" w:line="360" w:lineRule="auto"/>
              <w:ind w:firstLine="420" w:firstLineChars="200"/>
              <w:jc w:val="both"/>
              <w:rPr>
                <w:sz w:val="21"/>
                <w:szCs w:val="21"/>
              </w:rPr>
            </w:pPr>
            <w:r>
              <w:rPr>
                <w:rFonts w:hint="eastAsia"/>
                <w:sz w:val="21"/>
                <w:szCs w:val="21"/>
              </w:rPr>
              <w:t>1.熟练掌握了有关建模思路与方法以及相应的软件(Python、Latex、Matlab、R等)；</w:t>
            </w:r>
          </w:p>
          <w:p w14:paraId="25CA76ED">
            <w:pPr>
              <w:pStyle w:val="8"/>
              <w:widowControl/>
              <w:spacing w:beforeAutospacing="0" w:afterAutospacing="0" w:line="360" w:lineRule="auto"/>
              <w:ind w:firstLine="420" w:firstLineChars="200"/>
              <w:jc w:val="both"/>
              <w:rPr>
                <w:rFonts w:cs="宋体"/>
                <w:sz w:val="21"/>
                <w:szCs w:val="21"/>
              </w:rPr>
            </w:pPr>
            <w:r>
              <w:rPr>
                <w:rFonts w:hint="eastAsia"/>
                <w:sz w:val="21"/>
                <w:szCs w:val="21"/>
              </w:rPr>
              <w:t>2.对</w:t>
            </w:r>
            <w:r>
              <w:rPr>
                <w:rFonts w:hint="eastAsia" w:cs="宋体"/>
                <w:sz w:val="21"/>
                <w:szCs w:val="21"/>
              </w:rPr>
              <w:t>传染病动力学的相关知识有着较深入的了解，能够将相关方法应用于实际模型中；</w:t>
            </w:r>
          </w:p>
          <w:p w14:paraId="25CA76EE">
            <w:pPr>
              <w:pStyle w:val="8"/>
              <w:widowControl/>
              <w:spacing w:beforeAutospacing="0" w:afterAutospacing="0" w:line="360" w:lineRule="auto"/>
              <w:ind w:firstLine="420" w:firstLineChars="200"/>
              <w:jc w:val="both"/>
              <w:rPr>
                <w:rFonts w:cs="宋体"/>
                <w:sz w:val="21"/>
                <w:szCs w:val="21"/>
              </w:rPr>
            </w:pPr>
            <w:r>
              <w:rPr>
                <w:sz w:val="21"/>
                <w:szCs w:val="21"/>
              </w:rPr>
              <w:t>3.</w:t>
            </w:r>
            <w:r>
              <w:rPr>
                <w:rFonts w:hint="eastAsia" w:cs="宋体"/>
                <w:sz w:val="21"/>
                <w:szCs w:val="21"/>
              </w:rPr>
              <w:t>对相关的传染病动力学文献进行了广泛阅读，并学习了马知恩的经典书籍《传染病动力学的数学建模与研究》和</w:t>
            </w:r>
            <w:r>
              <w:rPr>
                <w:sz w:val="21"/>
                <w:szCs w:val="21"/>
              </w:rPr>
              <w:t>Fred Brauer</w:t>
            </w:r>
            <w:r>
              <w:rPr>
                <w:rFonts w:hint="eastAsia" w:cs="宋体"/>
                <w:sz w:val="21"/>
                <w:szCs w:val="21"/>
              </w:rPr>
              <w:t>的《</w:t>
            </w:r>
            <w:r>
              <w:rPr>
                <w:sz w:val="21"/>
                <w:szCs w:val="21"/>
              </w:rPr>
              <w:t>Mathematical Models in Population Biology and Epidemiology</w:t>
            </w:r>
            <w:r>
              <w:rPr>
                <w:rFonts w:hint="eastAsia"/>
                <w:sz w:val="21"/>
                <w:szCs w:val="21"/>
              </w:rPr>
              <w:t>》；</w:t>
            </w:r>
          </w:p>
          <w:p w14:paraId="25CA76EF">
            <w:pPr>
              <w:pStyle w:val="8"/>
              <w:widowControl/>
              <w:spacing w:beforeAutospacing="0" w:afterAutospacing="0" w:line="360" w:lineRule="auto"/>
              <w:ind w:firstLine="420" w:firstLineChars="200"/>
              <w:jc w:val="both"/>
              <w:rPr>
                <w:rFonts w:cs="宋体"/>
                <w:sz w:val="21"/>
                <w:szCs w:val="21"/>
              </w:rPr>
            </w:pPr>
            <w:r>
              <w:rPr>
                <w:sz w:val="21"/>
                <w:szCs w:val="21"/>
              </w:rPr>
              <w:t>4.</w:t>
            </w:r>
            <w:r>
              <w:rPr>
                <w:rFonts w:hint="eastAsia" w:cs="宋体"/>
                <w:sz w:val="21"/>
                <w:szCs w:val="21"/>
              </w:rPr>
              <w:t>已经获得巴西基孔肯雅热病周感染数据，并对后续引入的气候因子和人口异质性数据类型进行了初步筛选；</w:t>
            </w:r>
          </w:p>
          <w:p w14:paraId="25CA76F0">
            <w:pPr>
              <w:pStyle w:val="8"/>
              <w:widowControl/>
              <w:spacing w:beforeAutospacing="0" w:afterAutospacing="0" w:line="360" w:lineRule="auto"/>
              <w:jc w:val="both"/>
              <w:rPr>
                <w:rFonts w:cs="宋体"/>
                <w:b/>
                <w:bCs/>
                <w:sz w:val="21"/>
                <w:szCs w:val="21"/>
              </w:rPr>
            </w:pPr>
            <w:r>
              <w:rPr>
                <w:rFonts w:hint="eastAsia" w:cs="宋体"/>
                <w:b/>
                <w:bCs/>
                <w:sz w:val="21"/>
                <w:szCs w:val="21"/>
              </w:rPr>
              <w:t>（四）项目可行性</w:t>
            </w:r>
          </w:p>
          <w:p w14:paraId="25CA76F1">
            <w:pPr>
              <w:pStyle w:val="8"/>
              <w:widowControl/>
              <w:spacing w:beforeAutospacing="0" w:afterAutospacing="0" w:line="360" w:lineRule="auto"/>
              <w:ind w:firstLine="420" w:firstLineChars="200"/>
              <w:jc w:val="both"/>
              <w:rPr>
                <w:rFonts w:cs="宋体"/>
                <w:sz w:val="21"/>
                <w:szCs w:val="21"/>
              </w:rPr>
            </w:pPr>
            <w:r>
              <w:rPr>
                <w:rFonts w:hint="eastAsia" w:cs="宋体"/>
                <w:sz w:val="21"/>
                <w:szCs w:val="21"/>
              </w:rPr>
              <w:t>本项目的可行性较强。</w:t>
            </w:r>
          </w:p>
          <w:p w14:paraId="25CA76F2">
            <w:pPr>
              <w:pStyle w:val="8"/>
              <w:widowControl/>
              <w:numPr>
                <w:ilvl w:val="0"/>
                <w:numId w:val="1"/>
              </w:numPr>
              <w:spacing w:beforeAutospacing="0" w:afterAutospacing="0" w:line="360" w:lineRule="auto"/>
              <w:ind w:firstLine="420" w:firstLineChars="200"/>
              <w:jc w:val="both"/>
              <w:rPr>
                <w:rStyle w:val="16"/>
                <w:kern w:val="2"/>
              </w:rPr>
            </w:pPr>
            <w:r>
              <w:rPr>
                <w:rFonts w:hint="eastAsia" w:cs="宋体"/>
                <w:sz w:val="21"/>
                <w:szCs w:val="21"/>
              </w:rPr>
              <w:t>本研究采用的研究方法（动力学建模、下一代矩阵法、非线性最小二乘拟合、敏感性分析、最优控制理论）是传染病动力学领域的成熟技术。参考的猴痘模型研究已成功展示了将此完整流程应用于现实疫情数据的可行性，为本项目提供了可直接借鉴的技术蓝图。现有的基孔肯雅热模型研究则为关键生物学参数和气候因子（如人类潜伏期</w:t>
            </w:r>
            <w:r>
              <w:rPr>
                <w:sz w:val="21"/>
                <w:szCs w:val="21"/>
              </w:rPr>
              <w:t>2-6</w:t>
            </w:r>
            <w:r>
              <w:rPr>
                <w:rFonts w:hint="eastAsia" w:cs="宋体"/>
                <w:sz w:val="21"/>
                <w:szCs w:val="21"/>
              </w:rPr>
              <w:t>天，前驱症状期</w:t>
            </w:r>
            <w:r>
              <w:rPr>
                <w:sz w:val="21"/>
                <w:szCs w:val="21"/>
              </w:rPr>
              <w:t>4-7</w:t>
            </w:r>
            <w:r>
              <w:rPr>
                <w:rFonts w:hint="eastAsia" w:cs="宋体"/>
                <w:sz w:val="21"/>
                <w:szCs w:val="21"/>
              </w:rPr>
              <w:t>天，蚊媒寿命</w:t>
            </w:r>
            <w:r>
              <w:rPr>
                <w:sz w:val="21"/>
                <w:szCs w:val="21"/>
              </w:rPr>
              <w:t>20-30</w:t>
            </w:r>
            <w:r>
              <w:rPr>
                <w:rFonts w:hint="eastAsia" w:cs="宋体"/>
                <w:sz w:val="21"/>
                <w:szCs w:val="21"/>
              </w:rPr>
              <w:t>天等）提供了可靠的文献依据和取值范围，确保了模型生物学基础的合理性。</w:t>
            </w:r>
          </w:p>
          <w:p w14:paraId="25CA76F3">
            <w:pPr>
              <w:pStyle w:val="8"/>
              <w:widowControl/>
              <w:numPr>
                <w:ilvl w:val="0"/>
                <w:numId w:val="1"/>
              </w:numPr>
              <w:spacing w:beforeAutospacing="0" w:afterAutospacing="0" w:line="360" w:lineRule="auto"/>
              <w:ind w:firstLine="420" w:firstLineChars="200"/>
              <w:jc w:val="both"/>
              <w:rPr>
                <w:rStyle w:val="16"/>
                <w:kern w:val="2"/>
              </w:rPr>
            </w:pPr>
            <w:r>
              <w:rPr>
                <w:rFonts w:hint="eastAsia" w:cs="宋体"/>
                <w:sz w:val="21"/>
                <w:szCs w:val="21"/>
              </w:rPr>
              <w:t>数据与资源可行性：巴西拥有相对完善的传染病监测系统，其基孔肯雅热病例数据按流行病学周定期公布，可获得性高，满足模型拟合的数据需求。研究主要计算资源为个人计算机，使用</w:t>
            </w:r>
            <w:r>
              <w:rPr>
                <w:sz w:val="21"/>
                <w:szCs w:val="21"/>
              </w:rPr>
              <w:t>Matlab、Python</w:t>
            </w:r>
            <w:r>
              <w:rPr>
                <w:rFonts w:hint="eastAsia" w:cs="宋体"/>
                <w:sz w:val="21"/>
                <w:szCs w:val="21"/>
              </w:rPr>
              <w:t>等开源软件完成全部数值模拟与数据分析。</w:t>
            </w:r>
          </w:p>
          <w:p w14:paraId="25CA76F4">
            <w:pPr>
              <w:pStyle w:val="8"/>
              <w:widowControl/>
              <w:numPr>
                <w:ilvl w:val="0"/>
                <w:numId w:val="1"/>
              </w:numPr>
              <w:spacing w:beforeAutospacing="0" w:afterAutospacing="0" w:line="360" w:lineRule="auto"/>
              <w:ind w:firstLine="420" w:firstLineChars="200"/>
              <w:jc w:val="both"/>
              <w:rPr>
                <w:rStyle w:val="16"/>
                <w:kern w:val="2"/>
              </w:rPr>
            </w:pPr>
            <w:r>
              <w:rPr>
                <w:rFonts w:hint="eastAsia" w:cs="宋体"/>
                <w:sz w:val="21"/>
                <w:szCs w:val="21"/>
              </w:rPr>
              <w:t>实施可行性：项目周期为一年，团队分工明确（数学理论、编程实现、公共卫生分析），进度规划合理。指导教师在该领域经验丰富，能为项目提供关键指导。项目产出目标明确（模型、代码、论文初稿），符合大学生创新训练项目的要求。</w:t>
            </w:r>
          </w:p>
          <w:p w14:paraId="25CA76F5">
            <w:pPr>
              <w:pStyle w:val="8"/>
              <w:widowControl/>
              <w:spacing w:beforeAutospacing="0" w:afterAutospacing="0" w:line="360" w:lineRule="auto"/>
              <w:ind w:firstLine="420" w:firstLineChars="200"/>
              <w:jc w:val="both"/>
              <w:rPr>
                <w:rStyle w:val="16"/>
                <w:kern w:val="2"/>
              </w:rPr>
            </w:pPr>
            <w:r>
              <w:rPr>
                <w:rFonts w:hint="eastAsia" w:cs="宋体"/>
                <w:sz w:val="21"/>
                <w:szCs w:val="21"/>
              </w:rPr>
              <w:t>综上所述，本项目选题明确，研究意义较强，技术路线清晰，团队分工合理，前期已有一定准备，且数据来源、方法工具和实施成本均较为可控，具备较好的可行性和完成前景。我们希望通过本项目，完成一次扎实的本科科研训练，形成较高质量的研究成果，并在真实问题中提升独立思考、协同研究和创新实践能力。</w:t>
            </w:r>
          </w:p>
          <w:p w14:paraId="25CA76F6">
            <w:pPr>
              <w:pStyle w:val="8"/>
              <w:widowControl/>
              <w:spacing w:beforeAutospacing="0" w:afterAutospacing="0" w:line="360" w:lineRule="auto"/>
              <w:jc w:val="both"/>
              <w:rPr>
                <w:rStyle w:val="16"/>
                <w:b/>
                <w:bCs/>
                <w:kern w:val="2"/>
              </w:rPr>
            </w:pPr>
            <w:r>
              <w:rPr>
                <w:rStyle w:val="16"/>
                <w:rFonts w:hint="eastAsia"/>
                <w:b/>
                <w:bCs/>
                <w:kern w:val="2"/>
              </w:rPr>
              <w:t>参考文献:</w:t>
            </w:r>
          </w:p>
          <w:p w14:paraId="25CA76F7">
            <w:pPr>
              <w:pStyle w:val="8"/>
              <w:widowControl/>
              <w:numPr>
                <w:ilvl w:val="0"/>
                <w:numId w:val="2"/>
              </w:numPr>
              <w:spacing w:beforeAutospacing="0" w:afterAutospacing="0" w:line="360" w:lineRule="auto"/>
              <w:jc w:val="both"/>
              <w:rPr>
                <w:color w:val="212121"/>
                <w:sz w:val="21"/>
                <w:szCs w:val="18"/>
                <w:shd w:val="clear" w:color="auto" w:fill="FFFFFF"/>
              </w:rPr>
            </w:pPr>
            <w:r>
              <w:rPr>
                <w:color w:val="212121"/>
                <w:sz w:val="21"/>
                <w:szCs w:val="18"/>
                <w:shd w:val="clear" w:color="auto" w:fill="FFFFFF"/>
              </w:rPr>
              <w:t>Pialoux G, Gaüzère BA, Jauréguiberry S, Strobel M. Chikungunya, an epidemic arbovirosis. </w:t>
            </w:r>
            <w:r>
              <w:rPr>
                <w:i/>
                <w:iCs/>
                <w:color w:val="212121"/>
                <w:sz w:val="21"/>
                <w:szCs w:val="18"/>
                <w:shd w:val="clear" w:color="auto" w:fill="FFFFFF"/>
              </w:rPr>
              <w:t>Lancet Infect Dis</w:t>
            </w:r>
            <w:r>
              <w:rPr>
                <w:color w:val="212121"/>
                <w:sz w:val="21"/>
                <w:szCs w:val="18"/>
                <w:shd w:val="clear" w:color="auto" w:fill="FFFFFF"/>
              </w:rPr>
              <w:t>. 2007;7(5):319-327. doi:10.1016/S1473-3099(07)70107-X</w:t>
            </w:r>
          </w:p>
          <w:p w14:paraId="25CA76F8">
            <w:pPr>
              <w:pStyle w:val="8"/>
              <w:widowControl/>
              <w:numPr>
                <w:ilvl w:val="0"/>
                <w:numId w:val="2"/>
              </w:numPr>
              <w:spacing w:beforeAutospacing="0" w:afterAutospacing="0" w:line="360" w:lineRule="auto"/>
              <w:jc w:val="both"/>
              <w:rPr>
                <w:color w:val="212121"/>
                <w:sz w:val="21"/>
                <w:szCs w:val="18"/>
                <w:shd w:val="clear" w:color="auto" w:fill="FFFFFF"/>
              </w:rPr>
            </w:pPr>
            <w:r>
              <w:rPr>
                <w:color w:val="1B1B1B"/>
                <w:sz w:val="21"/>
                <w:szCs w:val="18"/>
                <w:shd w:val="clear" w:color="auto" w:fill="FFFFFF"/>
              </w:rPr>
              <w:t>Qian M, Li D, Hao Z, Hu S, Li W. An epidemiological model of monkeypox: model prediction and control application. </w:t>
            </w:r>
            <w:r>
              <w:rPr>
                <w:i/>
                <w:iCs/>
                <w:color w:val="1B1B1B"/>
                <w:sz w:val="21"/>
                <w:szCs w:val="18"/>
                <w:shd w:val="clear" w:color="auto" w:fill="FFFFFF"/>
              </w:rPr>
              <w:t>BMC Infect Dis</w:t>
            </w:r>
            <w:r>
              <w:rPr>
                <w:color w:val="1B1B1B"/>
                <w:sz w:val="21"/>
                <w:szCs w:val="18"/>
                <w:shd w:val="clear" w:color="auto" w:fill="FFFFFF"/>
              </w:rPr>
              <w:t>. 2025;25(1):485. Published 2025 Apr 9. doi:10.1186/s12879-025-10873-y</w:t>
            </w:r>
          </w:p>
          <w:p w14:paraId="25CA76F9">
            <w:pPr>
              <w:pStyle w:val="8"/>
              <w:widowControl/>
              <w:numPr>
                <w:ilvl w:val="0"/>
                <w:numId w:val="2"/>
              </w:numPr>
              <w:spacing w:beforeAutospacing="0" w:afterAutospacing="0" w:line="360" w:lineRule="auto"/>
              <w:jc w:val="both"/>
              <w:rPr>
                <w:color w:val="212121"/>
                <w:sz w:val="21"/>
                <w:szCs w:val="18"/>
                <w:shd w:val="clear" w:color="auto" w:fill="FFFFFF"/>
              </w:rPr>
            </w:pPr>
            <w:r>
              <w:rPr>
                <w:color w:val="1B1B1B"/>
                <w:sz w:val="21"/>
                <w:szCs w:val="18"/>
                <w:shd w:val="clear" w:color="auto" w:fill="FFFFFF"/>
              </w:rPr>
              <w:t>Yakob L, Clements AC. A mathematical model of chikungunya dynamics and control: the major epidemic on Réunion Island. </w:t>
            </w:r>
            <w:r>
              <w:rPr>
                <w:i/>
                <w:iCs/>
                <w:color w:val="1B1B1B"/>
                <w:sz w:val="21"/>
                <w:szCs w:val="18"/>
                <w:shd w:val="clear" w:color="auto" w:fill="FFFFFF"/>
              </w:rPr>
              <w:t>PLoS One</w:t>
            </w:r>
            <w:r>
              <w:rPr>
                <w:color w:val="1B1B1B"/>
                <w:sz w:val="21"/>
                <w:szCs w:val="18"/>
                <w:shd w:val="clear" w:color="auto" w:fill="FFFFFF"/>
              </w:rPr>
              <w:t>. 2013;8(3):e57448. doi:10.1371/journal.pone.0057448</w:t>
            </w:r>
          </w:p>
          <w:p w14:paraId="25CA76FA">
            <w:pPr>
              <w:pStyle w:val="8"/>
              <w:widowControl/>
              <w:numPr>
                <w:ilvl w:val="0"/>
                <w:numId w:val="2"/>
              </w:numPr>
              <w:spacing w:beforeAutospacing="0" w:afterAutospacing="0" w:line="360" w:lineRule="auto"/>
              <w:jc w:val="both"/>
              <w:rPr>
                <w:color w:val="222222"/>
                <w:sz w:val="21"/>
                <w:szCs w:val="18"/>
                <w:shd w:val="clear" w:color="auto" w:fill="FFFFFF"/>
              </w:rPr>
            </w:pPr>
            <w:r>
              <w:rPr>
                <w:color w:val="222222"/>
                <w:sz w:val="21"/>
                <w:szCs w:val="18"/>
                <w:shd w:val="clear" w:color="auto" w:fill="FFFFFF"/>
              </w:rPr>
              <w:t>González-Parra GC, Aranda DF, Chen-Charpentier B, Díaz-Rodríguez M, Castellanos JE. Mathematical Modeling and Characterization of the Spread of Chikungunya in Colombia. </w:t>
            </w:r>
            <w:r>
              <w:rPr>
                <w:rStyle w:val="14"/>
                <w:iCs/>
                <w:color w:val="222222"/>
                <w:sz w:val="21"/>
                <w:szCs w:val="18"/>
                <w:shd w:val="clear" w:color="auto" w:fill="FFFFFF"/>
              </w:rPr>
              <w:t>Mathematical and Computational Applications</w:t>
            </w:r>
            <w:r>
              <w:rPr>
                <w:color w:val="222222"/>
                <w:sz w:val="21"/>
                <w:szCs w:val="18"/>
                <w:shd w:val="clear" w:color="auto" w:fill="FFFFFF"/>
              </w:rPr>
              <w:t xml:space="preserve">. 2019; 24(1):6. </w:t>
            </w:r>
            <w:r>
              <w:fldChar w:fldCharType="begin"/>
            </w:r>
            <w:r>
              <w:instrText xml:space="preserve"> HYPERLINK "https://doi.org/10.3390/mca24010006" </w:instrText>
            </w:r>
            <w:r>
              <w:fldChar w:fldCharType="separate"/>
            </w:r>
            <w:r>
              <w:rPr>
                <w:color w:val="222222"/>
                <w:sz w:val="21"/>
                <w:szCs w:val="18"/>
                <w:shd w:val="clear" w:color="auto" w:fill="FFFFFF"/>
              </w:rPr>
              <w:t>doi</w:t>
            </w:r>
            <w:r>
              <w:rPr>
                <w:rFonts w:hint="eastAsia"/>
                <w:color w:val="222222"/>
                <w:sz w:val="21"/>
                <w:szCs w:val="18"/>
                <w:shd w:val="clear" w:color="auto" w:fill="FFFFFF"/>
              </w:rPr>
              <w:t>:</w:t>
            </w:r>
            <w:r>
              <w:rPr>
                <w:color w:val="222222"/>
                <w:sz w:val="21"/>
                <w:szCs w:val="18"/>
                <w:shd w:val="clear" w:color="auto" w:fill="FFFFFF"/>
              </w:rPr>
              <w:t>10.3390/mca24010006</w:t>
            </w:r>
            <w:r>
              <w:rPr>
                <w:color w:val="222222"/>
                <w:sz w:val="21"/>
                <w:szCs w:val="18"/>
                <w:shd w:val="clear" w:color="auto" w:fill="FFFFFF"/>
              </w:rPr>
              <w:fldChar w:fldCharType="end"/>
            </w:r>
          </w:p>
          <w:p w14:paraId="25CA76FB">
            <w:pPr>
              <w:pStyle w:val="8"/>
              <w:widowControl/>
              <w:numPr>
                <w:ilvl w:val="0"/>
                <w:numId w:val="2"/>
              </w:numPr>
              <w:spacing w:beforeAutospacing="0" w:afterAutospacing="0" w:line="360" w:lineRule="auto"/>
              <w:jc w:val="both"/>
              <w:rPr>
                <w:sz w:val="21"/>
                <w:szCs w:val="18"/>
              </w:rPr>
            </w:pPr>
            <w:r>
              <w:rPr>
                <w:color w:val="212121"/>
                <w:sz w:val="21"/>
                <w:szCs w:val="18"/>
                <w:shd w:val="clear" w:color="auto" w:fill="FFFFFF"/>
              </w:rPr>
              <w:t>Diekmann O, Heesterbeek JA, Roberts MG. The construction of next-generation matrices for compartmental epidemic models. </w:t>
            </w:r>
            <w:r>
              <w:rPr>
                <w:i/>
                <w:iCs/>
                <w:color w:val="212121"/>
                <w:sz w:val="21"/>
                <w:szCs w:val="18"/>
                <w:shd w:val="clear" w:color="auto" w:fill="FFFFFF"/>
              </w:rPr>
              <w:t>J R Soc Interface</w:t>
            </w:r>
            <w:r>
              <w:rPr>
                <w:color w:val="212121"/>
                <w:sz w:val="21"/>
                <w:szCs w:val="18"/>
                <w:shd w:val="clear" w:color="auto" w:fill="FFFFFF"/>
              </w:rPr>
              <w:t>. 2010;7(47):873-885. doi:10.1098/rsif.2009.0386</w:t>
            </w:r>
          </w:p>
          <w:p w14:paraId="25CA76FC">
            <w:pPr>
              <w:pStyle w:val="8"/>
              <w:widowControl/>
              <w:spacing w:beforeAutospacing="0" w:afterAutospacing="0" w:line="360" w:lineRule="auto"/>
              <w:jc w:val="both"/>
              <w:rPr>
                <w:b/>
                <w:bCs/>
                <w:color w:val="212121"/>
                <w:sz w:val="21"/>
                <w:szCs w:val="21"/>
                <w:shd w:val="clear" w:color="auto" w:fill="FFFFFF"/>
              </w:rPr>
            </w:pPr>
            <w:r>
              <w:rPr>
                <w:rFonts w:hint="eastAsia"/>
                <w:b/>
                <w:bCs/>
                <w:color w:val="212121"/>
                <w:sz w:val="21"/>
                <w:szCs w:val="21"/>
                <w:shd w:val="clear" w:color="auto" w:fill="FFFFFF"/>
              </w:rPr>
              <w:t>数据来源:</w:t>
            </w:r>
          </w:p>
          <w:p w14:paraId="25CA76FD">
            <w:pPr>
              <w:widowControl/>
              <w:spacing w:line="360" w:lineRule="auto"/>
              <w:jc w:val="left"/>
              <w:rPr>
                <w:szCs w:val="18"/>
              </w:rPr>
            </w:pPr>
            <w:r>
              <w:rPr>
                <w:color w:val="000000"/>
                <w:kern w:val="0"/>
                <w:szCs w:val="18"/>
                <w:lang w:bidi="ar"/>
              </w:rPr>
              <w:t>Brazilian Public Health System DATASUS. Chikungunya Database</w:t>
            </w:r>
            <w:r>
              <w:rPr>
                <w:i/>
                <w:iCs/>
                <w:color w:val="000000"/>
                <w:kern w:val="0"/>
                <w:szCs w:val="18"/>
                <w:lang w:bidi="ar"/>
              </w:rPr>
              <w:t xml:space="preserve"> </w:t>
            </w:r>
            <w:r>
              <w:rPr>
                <w:color w:val="000000"/>
                <w:kern w:val="0"/>
                <w:szCs w:val="18"/>
                <w:lang w:bidi="ar"/>
              </w:rPr>
              <w:t>[EB/OL].</w:t>
            </w:r>
          </w:p>
          <w:p w14:paraId="25CA76FE">
            <w:pPr>
              <w:pStyle w:val="8"/>
              <w:widowControl/>
              <w:spacing w:beforeAutospacing="0" w:afterAutospacing="0" w:line="360" w:lineRule="auto"/>
              <w:jc w:val="both"/>
              <w:rPr>
                <w:sz w:val="21"/>
                <w:szCs w:val="18"/>
              </w:rPr>
            </w:pPr>
            <w:r>
              <w:fldChar w:fldCharType="begin"/>
            </w:r>
            <w:r>
              <w:instrText xml:space="preserve"> HYPERLINK "http://tabnet.datasus.gov.br/cgi/deftohtm.exe?sinannet/cnv/chikunbr.def" \t "_new" </w:instrText>
            </w:r>
            <w:r>
              <w:fldChar w:fldCharType="separate"/>
            </w:r>
            <w:r>
              <w:rPr>
                <w:rStyle w:val="15"/>
                <w:sz w:val="21"/>
                <w:szCs w:val="18"/>
              </w:rPr>
              <w:t>http://tabnet.datasus.gov.br/cgi/deftohtm.exe?sinannet/cnv/chikunbr.def</w:t>
            </w:r>
            <w:r>
              <w:rPr>
                <w:rStyle w:val="15"/>
                <w:sz w:val="21"/>
                <w:szCs w:val="18"/>
              </w:rPr>
              <w:fldChar w:fldCharType="end"/>
            </w:r>
            <w:r>
              <w:rPr>
                <w:sz w:val="21"/>
                <w:szCs w:val="18"/>
              </w:rPr>
              <w:t>.</w:t>
            </w:r>
          </w:p>
          <w:p w14:paraId="25CA76FF">
            <w:pPr>
              <w:pStyle w:val="8"/>
              <w:widowControl/>
              <w:spacing w:beforeAutospacing="0" w:afterAutospacing="0" w:line="360" w:lineRule="auto"/>
              <w:jc w:val="left"/>
              <w:rPr>
                <w:sz w:val="21"/>
                <w:szCs w:val="18"/>
              </w:rPr>
            </w:pPr>
            <w:r>
              <w:rPr>
                <w:sz w:val="21"/>
                <w:szCs w:val="18"/>
              </w:rPr>
              <w:t>World</w:t>
            </w:r>
            <w:r>
              <w:rPr>
                <w:rFonts w:hint="eastAsia"/>
                <w:sz w:val="21"/>
                <w:szCs w:val="18"/>
                <w:lang w:val="en-US" w:eastAsia="zh-CN"/>
              </w:rPr>
              <w:t xml:space="preserve"> </w:t>
            </w:r>
            <w:r>
              <w:rPr>
                <w:sz w:val="21"/>
                <w:szCs w:val="18"/>
              </w:rPr>
              <w:t>Health</w:t>
            </w:r>
            <w:r>
              <w:rPr>
                <w:rFonts w:hint="eastAsia"/>
                <w:sz w:val="21"/>
                <w:szCs w:val="18"/>
                <w:lang w:val="en-US" w:eastAsia="zh-CN"/>
              </w:rPr>
              <w:t xml:space="preserve"> </w:t>
            </w:r>
            <w:r>
              <w:rPr>
                <w:sz w:val="21"/>
                <w:szCs w:val="18"/>
              </w:rPr>
              <w:t xml:space="preserve">Organization.Chikungunya[EB/OL]. </w:t>
            </w:r>
            <w:r>
              <w:fldChar w:fldCharType="begin"/>
            </w:r>
            <w:r>
              <w:instrText xml:space="preserve"> HYPERLINK "https://www.who.int/health-topics/chikungunya" \l "tab=tab_1" \t "_new" </w:instrText>
            </w:r>
            <w:r>
              <w:fldChar w:fldCharType="separate"/>
            </w:r>
            <w:r>
              <w:rPr>
                <w:rStyle w:val="15"/>
                <w:sz w:val="21"/>
                <w:szCs w:val="18"/>
              </w:rPr>
              <w:t>https://www.who.int/health-topics/chikungunya#tab=tab_1</w:t>
            </w:r>
            <w:r>
              <w:rPr>
                <w:rStyle w:val="15"/>
                <w:sz w:val="21"/>
                <w:szCs w:val="18"/>
              </w:rPr>
              <w:fldChar w:fldCharType="end"/>
            </w:r>
            <w:r>
              <w:rPr>
                <w:sz w:val="21"/>
                <w:szCs w:val="18"/>
              </w:rPr>
              <w:t>.</w:t>
            </w:r>
          </w:p>
          <w:p w14:paraId="25CA7700">
            <w:pPr>
              <w:pStyle w:val="8"/>
              <w:widowControl/>
              <w:spacing w:beforeAutospacing="0" w:afterAutospacing="0" w:line="360" w:lineRule="auto"/>
              <w:jc w:val="left"/>
              <w:rPr>
                <w:sz w:val="21"/>
                <w:szCs w:val="18"/>
              </w:rPr>
            </w:pPr>
            <w:r>
              <w:rPr>
                <w:sz w:val="21"/>
                <w:szCs w:val="18"/>
              </w:rPr>
              <w:t>Pan</w:t>
            </w:r>
            <w:r>
              <w:rPr>
                <w:rFonts w:hint="eastAsia"/>
                <w:sz w:val="21"/>
                <w:szCs w:val="18"/>
                <w:lang w:val="en-US" w:eastAsia="zh-CN"/>
              </w:rPr>
              <w:t xml:space="preserve"> </w:t>
            </w:r>
            <w:r>
              <w:rPr>
                <w:sz w:val="21"/>
                <w:szCs w:val="18"/>
              </w:rPr>
              <w:t>American</w:t>
            </w:r>
            <w:r>
              <w:rPr>
                <w:rFonts w:hint="eastAsia"/>
                <w:sz w:val="21"/>
                <w:szCs w:val="18"/>
                <w:lang w:val="en-US" w:eastAsia="zh-CN"/>
              </w:rPr>
              <w:t xml:space="preserve"> </w:t>
            </w:r>
            <w:r>
              <w:rPr>
                <w:sz w:val="21"/>
                <w:szCs w:val="18"/>
              </w:rPr>
              <w:t>Health</w:t>
            </w:r>
            <w:r>
              <w:rPr>
                <w:rFonts w:hint="eastAsia"/>
                <w:sz w:val="21"/>
                <w:szCs w:val="18"/>
                <w:lang w:val="en-US" w:eastAsia="zh-CN"/>
              </w:rPr>
              <w:t xml:space="preserve"> </w:t>
            </w:r>
            <w:r>
              <w:rPr>
                <w:sz w:val="21"/>
                <w:szCs w:val="18"/>
              </w:rPr>
              <w:t xml:space="preserve">Organization.Chikungunya[EB/OL]. </w:t>
            </w:r>
            <w:r>
              <w:fldChar w:fldCharType="begin"/>
            </w:r>
            <w:r>
              <w:instrText xml:space="preserve"> HYPERLINK "https://www.paho.org/en/topics/chikungunya" \t "_new" </w:instrText>
            </w:r>
            <w:r>
              <w:fldChar w:fldCharType="separate"/>
            </w:r>
            <w:r>
              <w:rPr>
                <w:rStyle w:val="15"/>
                <w:sz w:val="21"/>
                <w:szCs w:val="18"/>
              </w:rPr>
              <w:t>https://www.paho.org/en/topics/chikungunya</w:t>
            </w:r>
            <w:r>
              <w:rPr>
                <w:rStyle w:val="15"/>
                <w:sz w:val="21"/>
                <w:szCs w:val="18"/>
              </w:rPr>
              <w:fldChar w:fldCharType="end"/>
            </w:r>
            <w:r>
              <w:rPr>
                <w:sz w:val="21"/>
                <w:szCs w:val="18"/>
              </w:rPr>
              <w:t>.</w:t>
            </w:r>
          </w:p>
          <w:p w14:paraId="25CA7701">
            <w:pPr>
              <w:widowControl/>
              <w:spacing w:line="360" w:lineRule="auto"/>
              <w:jc w:val="left"/>
              <w:rPr>
                <w:szCs w:val="18"/>
              </w:rPr>
            </w:pPr>
            <w:r>
              <w:rPr>
                <w:color w:val="000000"/>
                <w:kern w:val="0"/>
                <w:szCs w:val="18"/>
                <w:lang w:bidi="ar"/>
              </w:rPr>
              <w:t>Brazilian National Institute of Meteorology. Historical Meteorological Data [EB/OL].</w:t>
            </w:r>
          </w:p>
          <w:p w14:paraId="25CA7702">
            <w:pPr>
              <w:pStyle w:val="8"/>
              <w:widowControl/>
              <w:spacing w:beforeAutospacing="0" w:afterAutospacing="0" w:line="360" w:lineRule="auto"/>
              <w:jc w:val="both"/>
              <w:rPr>
                <w:rFonts w:ascii="宋体" w:hAnsi="宋体" w:cs="宋体"/>
                <w:color w:val="212121"/>
                <w:sz w:val="18"/>
                <w:szCs w:val="18"/>
                <w:shd w:val="clear" w:color="auto" w:fill="FFFFFF"/>
              </w:rPr>
            </w:pPr>
            <w:r>
              <w:fldChar w:fldCharType="begin"/>
            </w:r>
            <w:r>
              <w:instrText xml:space="preserve"> HYPERLINK "https://portal.inmet.gov.br/dadoshistoricos" \t "_new" </w:instrText>
            </w:r>
            <w:r>
              <w:fldChar w:fldCharType="separate"/>
            </w:r>
            <w:r>
              <w:rPr>
                <w:rStyle w:val="15"/>
                <w:sz w:val="21"/>
                <w:szCs w:val="18"/>
              </w:rPr>
              <w:t>https://portal.inmet.gov.br/dadoshistoricos</w:t>
            </w:r>
            <w:r>
              <w:rPr>
                <w:rStyle w:val="15"/>
                <w:sz w:val="21"/>
                <w:szCs w:val="18"/>
              </w:rPr>
              <w:fldChar w:fldCharType="end"/>
            </w:r>
            <w:r>
              <w:rPr>
                <w:sz w:val="21"/>
                <w:szCs w:val="18"/>
              </w:rPr>
              <w:t>.</w:t>
            </w:r>
          </w:p>
        </w:tc>
      </w:tr>
      <w:tr w14:paraId="25CA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4389" w:hRule="atLeast"/>
          <w:jc w:val="center"/>
        </w:trPr>
        <w:tc>
          <w:tcPr>
            <w:tcW w:w="8776" w:type="dxa"/>
          </w:tcPr>
          <w:p w14:paraId="25CA7704">
            <w:pPr>
              <w:spacing w:before="156" w:beforeLines="50"/>
              <w:rPr>
                <w:szCs w:val="21"/>
              </w:rPr>
            </w:pPr>
            <w:r>
              <w:rPr>
                <w:rFonts w:hint="eastAsia"/>
                <w:b/>
                <w:szCs w:val="21"/>
              </w:rPr>
              <w:br w:type="page"/>
            </w:r>
            <w:r>
              <w:rPr>
                <w:rFonts w:hint="eastAsia"/>
                <w:b/>
                <w:szCs w:val="21"/>
              </w:rPr>
              <w:t>五、项目方案</w:t>
            </w:r>
            <w:r>
              <w:rPr>
                <w:rFonts w:hint="eastAsia"/>
                <w:szCs w:val="21"/>
              </w:rPr>
              <w:t>（可另附页。1500字左右，包括目标任务、技术路线或运作模式、行动方案及进度安排、及人员分工和资源整合等。）</w:t>
            </w:r>
          </w:p>
          <w:p w14:paraId="25CA7705">
            <w:pPr>
              <w:pStyle w:val="8"/>
              <w:widowControl/>
              <w:spacing w:beforeAutospacing="0" w:afterAutospacing="0" w:line="360" w:lineRule="auto"/>
              <w:jc w:val="both"/>
              <w:rPr>
                <w:rFonts w:cs="宋体"/>
                <w:b/>
                <w:bCs/>
                <w:color w:val="000000" w:themeColor="text1"/>
                <w:sz w:val="21"/>
                <w:szCs w:val="21"/>
                <w14:textFill>
                  <w14:solidFill>
                    <w14:schemeClr w14:val="tx1"/>
                  </w14:solidFill>
                </w14:textFill>
              </w:rPr>
            </w:pPr>
            <w:r>
              <w:rPr>
                <w:rFonts w:hint="eastAsia" w:cs="宋体"/>
                <w:b/>
                <w:bCs/>
                <w:color w:val="000000" w:themeColor="text1"/>
                <w:sz w:val="21"/>
                <w:szCs w:val="21"/>
                <w14:textFill>
                  <w14:solidFill>
                    <w14:schemeClr w14:val="tx1"/>
                  </w14:solidFill>
                </w14:textFill>
              </w:rPr>
              <w:t>(一)</w:t>
            </w:r>
            <w:r>
              <w:rPr>
                <w:rFonts w:cs="宋体"/>
                <w:sz w:val="21"/>
                <w:szCs w:val="21"/>
              </w:rPr>
              <w:t xml:space="preserve"> </w:t>
            </w:r>
            <w:r>
              <w:rPr>
                <w:rFonts w:hint="eastAsia" w:cs="宋体"/>
                <w:b/>
                <w:bCs/>
                <w:color w:val="000000" w:themeColor="text1"/>
                <w:sz w:val="21"/>
                <w:szCs w:val="21"/>
                <w14:textFill>
                  <w14:solidFill>
                    <w14:schemeClr w14:val="tx1"/>
                  </w14:solidFill>
                </w14:textFill>
              </w:rPr>
              <w:t>目标任务</w:t>
            </w:r>
          </w:p>
          <w:p w14:paraId="25CA7706">
            <w:pPr>
              <w:pStyle w:val="8"/>
              <w:widowControl/>
              <w:spacing w:beforeAutospacing="0" w:afterAutospacing="0" w:line="360" w:lineRule="auto"/>
              <w:ind w:firstLine="420" w:firstLineChars="200"/>
              <w:jc w:val="both"/>
              <w:rPr>
                <w:sz w:val="21"/>
                <w:szCs w:val="21"/>
              </w:rPr>
            </w:pPr>
            <w:r>
              <w:rPr>
                <w:sz w:val="21"/>
                <w:szCs w:val="21"/>
              </w:rPr>
              <w:t>本项目的总体目标是构建一个能够较好反映巴西基孔肯雅热传播规律、并具备一定短期预测与防控情景评估能力的动力学模型。围绕该总体目标，拟完成以下四项核心任务：</w:t>
            </w:r>
          </w:p>
          <w:p w14:paraId="25CA7707">
            <w:pPr>
              <w:widowControl/>
              <w:spacing w:line="360" w:lineRule="auto"/>
              <w:ind w:firstLine="420" w:firstLineChars="200"/>
              <w:rPr>
                <w:szCs w:val="21"/>
              </w:rPr>
            </w:pPr>
            <w:r>
              <w:rPr>
                <w:szCs w:val="21"/>
              </w:rPr>
              <w:t>1.建立宿主—媒介耦合</w:t>
            </w:r>
            <w:r>
              <w:rPr>
                <w:rFonts w:hint="eastAsia"/>
                <w:szCs w:val="21"/>
              </w:rPr>
              <w:t>的</w:t>
            </w:r>
            <w:r>
              <w:rPr>
                <w:szCs w:val="21"/>
              </w:rPr>
              <w:t>动力学模型，并完成模型的基本数学性质分析</w:t>
            </w:r>
            <w:r>
              <w:rPr>
                <w:rFonts w:hint="eastAsia"/>
                <w:szCs w:val="21"/>
              </w:rPr>
              <w:t>。</w:t>
            </w:r>
          </w:p>
          <w:p w14:paraId="25CA7708">
            <w:pPr>
              <w:widowControl/>
              <w:spacing w:line="360" w:lineRule="auto"/>
              <w:ind w:firstLine="420" w:firstLineChars="200"/>
              <w:rPr>
                <w:szCs w:val="21"/>
              </w:rPr>
            </w:pPr>
            <w:r>
              <w:rPr>
                <w:szCs w:val="21"/>
              </w:rPr>
              <w:t>2.基于巴西周尺度病例数据完成参数估计、模型拟合与短期预测检验</w:t>
            </w:r>
            <w:r>
              <w:rPr>
                <w:rFonts w:hint="eastAsia"/>
                <w:szCs w:val="21"/>
              </w:rPr>
              <w:t>。</w:t>
            </w:r>
          </w:p>
          <w:p w14:paraId="25CA7709">
            <w:pPr>
              <w:widowControl/>
              <w:spacing w:line="360" w:lineRule="auto"/>
              <w:ind w:firstLine="420" w:firstLineChars="200"/>
              <w:rPr>
                <w:szCs w:val="21"/>
              </w:rPr>
            </w:pPr>
            <w:r>
              <w:rPr>
                <w:szCs w:val="21"/>
              </w:rPr>
              <w:t>3.结合局部与全局灵敏度分析识别关键参数，解释主要驱动机制</w:t>
            </w:r>
            <w:r>
              <w:rPr>
                <w:rFonts w:hint="eastAsia"/>
                <w:szCs w:val="21"/>
              </w:rPr>
              <w:t>。</w:t>
            </w:r>
            <w:r>
              <w:rPr>
                <w:szCs w:val="21"/>
              </w:rPr>
              <w:t xml:space="preserve"> </w:t>
            </w:r>
          </w:p>
          <w:p w14:paraId="25CA770A">
            <w:pPr>
              <w:widowControl/>
              <w:spacing w:line="360" w:lineRule="auto"/>
              <w:ind w:firstLine="420" w:firstLineChars="200"/>
              <w:rPr>
                <w:szCs w:val="21"/>
              </w:rPr>
            </w:pPr>
            <w:r>
              <w:rPr>
                <w:szCs w:val="21"/>
              </w:rPr>
              <w:t>4.设置典型干预情景，评估灭蚊、环境治理和病例管理等措施的潜在效果。</w:t>
            </w:r>
          </w:p>
          <w:p w14:paraId="25CA770B">
            <w:pPr>
              <w:pStyle w:val="3"/>
              <w:widowControl/>
              <w:spacing w:beforeAutospacing="0" w:afterAutospacing="0" w:line="360" w:lineRule="auto"/>
              <w:jc w:val="both"/>
              <w:rPr>
                <w:rFonts w:hint="default" w:ascii="Times New Roman" w:hAnsi="Times New Roman"/>
                <w:sz w:val="21"/>
                <w:szCs w:val="21"/>
              </w:rPr>
            </w:pPr>
            <w:r>
              <w:rPr>
                <w:rFonts w:ascii="Times New Roman" w:hAnsi="Times New Roman" w:cs="宋体"/>
                <w:sz w:val="21"/>
                <w:szCs w:val="21"/>
              </w:rPr>
              <w:t>(二) 技术路线与运作模式</w:t>
            </w:r>
          </w:p>
          <w:p w14:paraId="25CA7717">
            <w:pPr>
              <w:pStyle w:val="8"/>
              <w:widowControl/>
              <w:spacing w:beforeAutospacing="0" w:afterAutospacing="0" w:line="360" w:lineRule="auto"/>
              <w:jc w:val="both"/>
              <w:rPr>
                <w:rFonts w:hint="eastAsia" w:cs="宋体"/>
                <w:sz w:val="21"/>
                <w:szCs w:val="21"/>
              </w:rPr>
            </w:pPr>
            <w:r>
              <w:rPr>
                <w:rFonts w:hint="eastAsia" w:cs="宋体"/>
                <w:sz w:val="21"/>
                <w:szCs w:val="21"/>
              </w:rPr>
              <w:t>本项目采取“数学建模—数据驱动—交叉协作”的运作模式。技术路线拟如图推进。</w:t>
            </w:r>
          </w:p>
          <w:p w14:paraId="25CA7718">
            <w:pPr>
              <w:pStyle w:val="8"/>
              <w:widowControl/>
              <w:jc w:val="both"/>
              <w:rPr>
                <w:rFonts w:ascii="宋体" w:hAnsi="宋体" w:cs="宋体"/>
                <w:sz w:val="21"/>
                <w:szCs w:val="21"/>
              </w:rPr>
            </w:pPr>
            <w:r>
              <w:rPr>
                <w:rFonts w:ascii="宋体" w:hAnsi="宋体" w:cs="宋体"/>
                <w:sz w:val="21"/>
                <w:szCs w:val="21"/>
              </w:rPr>
              <mc:AlternateContent>
                <mc:Choice Requires="wps">
                  <w:drawing>
                    <wp:anchor distT="0" distB="0" distL="114300" distR="114300" simplePos="0" relativeHeight="251661312" behindDoc="0" locked="0" layoutInCell="1" allowOverlap="1">
                      <wp:simplePos x="0" y="0"/>
                      <wp:positionH relativeFrom="column">
                        <wp:posOffset>1481455</wp:posOffset>
                      </wp:positionH>
                      <wp:positionV relativeFrom="paragraph">
                        <wp:posOffset>8890</wp:posOffset>
                      </wp:positionV>
                      <wp:extent cx="2147570" cy="1208405"/>
                      <wp:effectExtent l="6350" t="6350" r="8255" b="4445"/>
                      <wp:wrapNone/>
                      <wp:docPr id="39" name="流程图: 多文档 39"/>
                      <wp:cNvGraphicFramePr/>
                      <a:graphic xmlns:a="http://schemas.openxmlformats.org/drawingml/2006/main">
                        <a:graphicData uri="http://schemas.microsoft.com/office/word/2010/wordprocessingShape">
                          <wps:wsp>
                            <wps:cNvSpPr/>
                            <wps:spPr>
                              <a:xfrm>
                                <a:off x="4498340" y="3324225"/>
                                <a:ext cx="2147570" cy="1208405"/>
                              </a:xfrm>
                              <a:prstGeom prst="flowChartMultidocumen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2F2E065">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1数据收集与预处理</w:t>
                                  </w:r>
                                </w:p>
                                <w:p w14:paraId="2A97532B">
                                  <w:pPr>
                                    <w:rPr>
                                      <w:color w:val="000000" w:themeColor="text1"/>
                                      <w14:textFill>
                                        <w14:solidFill>
                                          <w14:schemeClr w14:val="tx1"/>
                                        </w14:solidFill>
                                      </w14:textFill>
                                    </w:rPr>
                                  </w:pPr>
                                  <w:r>
                                    <w:rPr>
                                      <w:rFonts w:hint="eastAsia"/>
                                      <w:color w:val="000000" w:themeColor="text1"/>
                                      <w14:textFill>
                                        <w14:solidFill>
                                          <w14:schemeClr w14:val="tx1"/>
                                        </w14:solidFill>
                                      </w14:textFill>
                                    </w:rPr>
                                    <w:t>流行病周病例数据</w:t>
                                  </w:r>
                                </w:p>
                                <w:p w14:paraId="0A5E4F3F">
                                  <w:pPr>
                                    <w:rPr>
                                      <w:color w:val="000000" w:themeColor="text1"/>
                                      <w14:textFill>
                                        <w14:solidFill>
                                          <w14:schemeClr w14:val="tx1"/>
                                        </w14:solidFill>
                                      </w14:textFill>
                                    </w:rPr>
                                  </w:pPr>
                                  <w:r>
                                    <w:rPr>
                                      <w:rFonts w:hint="eastAsia"/>
                                      <w:color w:val="000000" w:themeColor="text1"/>
                                      <w14:textFill>
                                        <w14:solidFill>
                                          <w14:schemeClr w14:val="tx1"/>
                                        </w14:solidFill>
                                      </w14:textFill>
                                    </w:rPr>
                                    <w:t>温度、降雨等气候数据</w:t>
                                  </w:r>
                                </w:p>
                                <w:p w14:paraId="5F12E752">
                                  <w:pPr>
                                    <w:rPr>
                                      <w:color w:val="000000" w:themeColor="text1"/>
                                      <w14:textFill>
                                        <w14:solidFill>
                                          <w14:schemeClr w14:val="tx1"/>
                                        </w14:solidFill>
                                      </w14:textFill>
                                    </w:rPr>
                                  </w:pPr>
                                  <w:r>
                                    <w:rPr>
                                      <w:rFonts w:hint="eastAsia"/>
                                      <w:color w:val="000000" w:themeColor="text1"/>
                                      <w14:textFill>
                                        <w14:solidFill>
                                          <w14:schemeClr w14:val="tx1"/>
                                        </w14:solidFill>
                                      </w14:textFill>
                                    </w:rPr>
                                    <w:t>数据清洗、时间对齐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5" type="#_x0000_t115" style="position:absolute;left:0pt;margin-left:116.65pt;margin-top:0.7pt;height:95.15pt;width:169.1pt;z-index:251661312;v-text-anchor:middle;mso-width-relative:page;mso-height-relative:page;" fillcolor="#FFFFFF [3212]" filled="t" stroked="t" coordsize="21600,21600" o:gfxdata="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B3pbBXXAAAACQEAAA8AAAAAAAAAAQAg&#10;AAAAIgAAAGRycy9kb3ducmV2LnhtbFBLAQIUABQAAAAIAIdO4kAobitgugIAAFAFAAAOAAAAAAAA&#10;AAEAIAAAACYBAABkcnMvZTJvRG9jLnhtbFBLBQYAAAAABgAGAFkBAABSBgAAAAA=&#10;">
                      <v:fill on="t" focussize="0,0"/>
                      <v:stroke weight="1pt" color="#2E54A1 [2404]" miterlimit="8" joinstyle="miter"/>
                      <v:imagedata o:title=""/>
                      <o:lock v:ext="edit" aspectratio="f"/>
                      <v:textbox>
                        <w:txbxContent>
                          <w:p w14:paraId="32F2E065">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1数据收集与预处理</w:t>
                            </w:r>
                          </w:p>
                          <w:p w14:paraId="2A97532B">
                            <w:pPr>
                              <w:rPr>
                                <w:color w:val="000000" w:themeColor="text1"/>
                                <w14:textFill>
                                  <w14:solidFill>
                                    <w14:schemeClr w14:val="tx1"/>
                                  </w14:solidFill>
                                </w14:textFill>
                              </w:rPr>
                            </w:pPr>
                            <w:r>
                              <w:rPr>
                                <w:rFonts w:hint="eastAsia"/>
                                <w:color w:val="000000" w:themeColor="text1"/>
                                <w14:textFill>
                                  <w14:solidFill>
                                    <w14:schemeClr w14:val="tx1"/>
                                  </w14:solidFill>
                                </w14:textFill>
                              </w:rPr>
                              <w:t>流行病周病例数据</w:t>
                            </w:r>
                          </w:p>
                          <w:p w14:paraId="0A5E4F3F">
                            <w:pPr>
                              <w:rPr>
                                <w:color w:val="000000" w:themeColor="text1"/>
                                <w14:textFill>
                                  <w14:solidFill>
                                    <w14:schemeClr w14:val="tx1"/>
                                  </w14:solidFill>
                                </w14:textFill>
                              </w:rPr>
                            </w:pPr>
                            <w:r>
                              <w:rPr>
                                <w:rFonts w:hint="eastAsia"/>
                                <w:color w:val="000000" w:themeColor="text1"/>
                                <w14:textFill>
                                  <w14:solidFill>
                                    <w14:schemeClr w14:val="tx1"/>
                                  </w14:solidFill>
                                </w14:textFill>
                              </w:rPr>
                              <w:t>温度、降雨等气候数据</w:t>
                            </w:r>
                          </w:p>
                          <w:p w14:paraId="5F12E752">
                            <w:pPr>
                              <w:rPr>
                                <w:color w:val="000000" w:themeColor="text1"/>
                                <w14:textFill>
                                  <w14:solidFill>
                                    <w14:schemeClr w14:val="tx1"/>
                                  </w14:solidFill>
                                </w14:textFill>
                              </w:rPr>
                            </w:pPr>
                            <w:r>
                              <w:rPr>
                                <w:rFonts w:hint="eastAsia"/>
                                <w:color w:val="000000" w:themeColor="text1"/>
                                <w14:textFill>
                                  <w14:solidFill>
                                    <w14:schemeClr w14:val="tx1"/>
                                  </w14:solidFill>
                                </w14:textFill>
                              </w:rPr>
                              <w:t>数据清洗、时间对齐</w:t>
                            </w:r>
                          </w:p>
                        </w:txbxContent>
                      </v:textbox>
                    </v:shape>
                  </w:pict>
                </mc:Fallback>
              </mc:AlternateContent>
            </w:r>
            <w:r>
              <w:rPr>
                <w:rFonts w:ascii="宋体" w:hAnsi="宋体" w:cs="宋体"/>
                <w:sz w:val="21"/>
                <w:szCs w:val="21"/>
              </w:rPr>
              <mc:AlternateContent>
                <mc:Choice Requires="wps">
                  <w:drawing>
                    <wp:anchor distT="0" distB="0" distL="114300" distR="114300" simplePos="0" relativeHeight="251662336" behindDoc="0" locked="0" layoutInCell="1" allowOverlap="1">
                      <wp:simplePos x="0" y="0"/>
                      <wp:positionH relativeFrom="column">
                        <wp:posOffset>2369185</wp:posOffset>
                      </wp:positionH>
                      <wp:positionV relativeFrom="paragraph">
                        <wp:posOffset>1198245</wp:posOffset>
                      </wp:positionV>
                      <wp:extent cx="154305" cy="245745"/>
                      <wp:effectExtent l="15240" t="6350" r="20955" b="14605"/>
                      <wp:wrapNone/>
                      <wp:docPr id="44" name="下箭头 20"/>
                      <wp:cNvGraphicFramePr/>
                      <a:graphic xmlns:a="http://schemas.openxmlformats.org/drawingml/2006/main">
                        <a:graphicData uri="http://schemas.microsoft.com/office/word/2010/wordprocessingShape">
                          <wps:wsp>
                            <wps:cNvSpPr/>
                            <wps:spPr>
                              <a:xfrm>
                                <a:off x="4124960" y="2828290"/>
                                <a:ext cx="154305" cy="24574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20" o:spid="_x0000_s1026" o:spt="67" type="#_x0000_t67" style="position:absolute;left:0pt;margin-left:186.55pt;margin-top:94.35pt;height:19.35pt;width:12.15pt;z-index:251662336;v-text-anchor:middle;mso-width-relative:page;mso-height-relative:page;" fillcolor="#FFFFFF [3212]" filled="t" stroked="t" coordsize="21600,21600" o:gfxdata="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A+HTCPaAAAACwEAAA8AAAAAAAAAAQAgAAAAIgAAAGRycy9kb3ducmV2LnhtbFBLAQIUABQA&#10;AAAIAIdO4kB3c0n+mQIAACsFAAAOAAAAAAAAAAEAIAAAACkBAABkcnMvZTJvRG9jLnhtbFBLBQYA&#10;AAAABgAGAFkBAAA0BgAAAAA=&#10;" adj="14819,5400">
                      <v:fill on="t" focussize="0,0"/>
                      <v:stroke weight="1pt" color="#2E54A1 [2404]" miterlimit="8" joinstyle="miter"/>
                      <v:imagedata o:title=""/>
                      <o:lock v:ext="edit" aspectratio="f"/>
                    </v:shape>
                  </w:pict>
                </mc:Fallback>
              </mc:AlternateContent>
            </w:r>
            <w:r>
              <w:rPr>
                <w:rFonts w:ascii="宋体" w:hAnsi="宋体" w:cs="宋体"/>
                <w:sz w:val="21"/>
                <w:szCs w:val="21"/>
              </w:rPr>
              <mc:AlternateContent>
                <mc:Choice Requires="wps">
                  <w:drawing>
                    <wp:anchor distT="0" distB="0" distL="114300" distR="114300" simplePos="0" relativeHeight="251663360" behindDoc="0" locked="0" layoutInCell="1" allowOverlap="1">
                      <wp:simplePos x="0" y="0"/>
                      <wp:positionH relativeFrom="column">
                        <wp:posOffset>1364615</wp:posOffset>
                      </wp:positionH>
                      <wp:positionV relativeFrom="paragraph">
                        <wp:posOffset>1449705</wp:posOffset>
                      </wp:positionV>
                      <wp:extent cx="2115185" cy="1054100"/>
                      <wp:effectExtent l="6350" t="6350" r="12065" b="6350"/>
                      <wp:wrapNone/>
                      <wp:docPr id="48" name="圆角矩形 22"/>
                      <wp:cNvGraphicFramePr/>
                      <a:graphic xmlns:a="http://schemas.openxmlformats.org/drawingml/2006/main">
                        <a:graphicData uri="http://schemas.microsoft.com/office/word/2010/wordprocessingShape">
                          <wps:wsp>
                            <wps:cNvSpPr/>
                            <wps:spPr>
                              <a:xfrm>
                                <a:off x="3320415" y="3639185"/>
                                <a:ext cx="2115185" cy="1054100"/>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734120E8">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2基线模型构建</w:t>
                                  </w:r>
                                </w:p>
                                <w:p w14:paraId="2498689B">
                                  <w:pPr>
                                    <w:rPr>
                                      <w:color w:val="000000" w:themeColor="text1"/>
                                      <w14:textFill>
                                        <w14:solidFill>
                                          <w14:schemeClr w14:val="tx1"/>
                                        </w14:solidFill>
                                      </w14:textFill>
                                    </w:rPr>
                                  </w:pPr>
                                  <w:r>
                                    <w:rPr>
                                      <w:rFonts w:hint="eastAsia"/>
                                      <w:color w:val="000000" w:themeColor="text1"/>
                                      <w14:textFill>
                                        <w14:solidFill>
                                          <w14:schemeClr w14:val="tx1"/>
                                        </w14:solidFill>
                                      </w14:textFill>
                                    </w:rPr>
                                    <w:t>建立宿主—媒介耦合仓室模型</w:t>
                                  </w:r>
                                </w:p>
                                <w:p w14:paraId="05F1D3C2">
                                  <w:pPr>
                                    <w:rPr>
                                      <w:rFonts w:hAnsi="Cambria Math"/>
                                      <w:color w:val="000000" w:themeColor="text1"/>
                                      <w14:textFill>
                                        <w14:solidFill>
                                          <w14:schemeClr w14:val="tx1"/>
                                        </w14:solidFill>
                                      </w14:textFill>
                                    </w:rPr>
                                  </w:pPr>
                                  <w:r>
                                    <w:rPr>
                                      <w:rFonts w:hint="eastAsia"/>
                                      <w:color w:val="000000" w:themeColor="text1"/>
                                      <w14:textFill>
                                        <w14:solidFill>
                                          <w14:schemeClr w14:val="tx1"/>
                                        </w14:solidFill>
                                      </w14:textFill>
                                    </w:rPr>
                                    <w:t>人群:</w:t>
                                  </w:r>
                                  <m:oMath>
                                    <m:r>
                                      <m:rPr/>
                                      <w:rPr>
                                        <w:rFonts w:ascii="Cambria Math" w:hAnsi="Cambria Math"/>
                                        <w:color w:val="000000" w:themeColor="text1"/>
                                        <w14:textFill>
                                          <w14:solidFill>
                                            <w14:schemeClr w14:val="tx1"/>
                                          </w14:solidFill>
                                        </w14:textFill>
                                      </w:rPr>
                                      <m:t>S,E,I,R</m:t>
                                    </m:r>
                                  </m:oMath>
                                  <w:r>
                                    <w:rPr>
                                      <w:rFonts w:hint="eastAsia" w:hAnsi="Cambria Math"/>
                                      <w:color w:val="000000" w:themeColor="text1"/>
                                      <w14:textFill>
                                        <w14:solidFill>
                                          <w14:schemeClr w14:val="tx1"/>
                                        </w14:solidFill>
                                      </w14:textFill>
                                    </w:rPr>
                                    <w:t xml:space="preserve">    蚊媒:</w:t>
                                  </w:r>
                                  <m:oMath>
                                    <m:r>
                                      <m:rPr/>
                                      <w:rPr>
                                        <w:rFonts w:ascii="Cambria Math" w:hAnsi="Cambria Math"/>
                                      </w:rPr>
                                      <m:t>X</m:t>
                                    </m:r>
                                    <m:r>
                                      <m:rPr/>
                                      <w:rPr>
                                        <w:rFonts w:ascii="Cambria Math" w:hAnsi="Cambria Math"/>
                                        <w:color w:val="000000" w:themeColor="text1"/>
                                        <w14:textFill>
                                          <w14:solidFill>
                                            <w14:schemeClr w14:val="tx1"/>
                                          </w14:solidFill>
                                        </w14:textFill>
                                      </w:rPr>
                                      <m:t>X,Y,Z</m:t>
                                    </m:r>
                                  </m:oMath>
                                </w:p>
                                <w:p w14:paraId="29557DF6">
                                  <w:pPr>
                                    <w:rPr>
                                      <w:rFonts w:hAnsi="Cambria Math"/>
                                      <w:color w:val="000000" w:themeColor="text1"/>
                                      <w14:textFill>
                                        <w14:solidFill>
                                          <w14:schemeClr w14:val="tx1"/>
                                        </w14:solidFill>
                                      </w14:textFill>
                                    </w:rPr>
                                  </w:pPr>
                                  <w:r>
                                    <w:rPr>
                                      <w:rFonts w:hint="eastAsia" w:hAnsi="Cambria Math"/>
                                      <w:color w:val="000000" w:themeColor="text1"/>
                                      <w14:textFill>
                                        <w14:solidFill>
                                          <w14:schemeClr w14:val="tx1"/>
                                        </w14:solidFill>
                                      </w14:textFill>
                                    </w:rPr>
                                    <w:t>明确变量、参数和传播路径</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22" o:spid="_x0000_s1026" o:spt="2" style="position:absolute;left:0pt;margin-left:107.45pt;margin-top:114.15pt;height:83pt;width:166.55pt;z-index:251663360;v-text-anchor:middle;mso-width-relative:page;mso-height-relative:page;" fillcolor="#FFFFFF [3212]" filled="t" stroked="t" coordsize="21600,21600" arcsize="0.166666666666667" o:gfxdata="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xmBY7ZAAAACwEAAA8AAAAAAAAAAQAgAAAAIgAAAGRycy9kb3du&#10;cmV2LnhtbFBLAQIUABQAAAAIAIdO4kDvXSlhqQIAADsFAAAOAAAAAAAAAAEAIAAAACgBAABkcnMv&#10;ZTJvRG9jLnhtbFBLBQYAAAAABgAGAFkBAABDBgAAAAA=&#10;">
                      <v:fill on="t" focussize="0,0"/>
                      <v:stroke weight="1pt" color="#2E54A1 [2404]" miterlimit="8" joinstyle="miter"/>
                      <v:imagedata o:title=""/>
                      <o:lock v:ext="edit" aspectratio="f"/>
                      <v:textbox>
                        <w:txbxContent>
                          <w:p w14:paraId="734120E8">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2基线模型构建</w:t>
                            </w:r>
                          </w:p>
                          <w:p w14:paraId="2498689B">
                            <w:pPr>
                              <w:rPr>
                                <w:color w:val="000000" w:themeColor="text1"/>
                                <w14:textFill>
                                  <w14:solidFill>
                                    <w14:schemeClr w14:val="tx1"/>
                                  </w14:solidFill>
                                </w14:textFill>
                              </w:rPr>
                            </w:pPr>
                            <w:r>
                              <w:rPr>
                                <w:rFonts w:hint="eastAsia"/>
                                <w:color w:val="000000" w:themeColor="text1"/>
                                <w14:textFill>
                                  <w14:solidFill>
                                    <w14:schemeClr w14:val="tx1"/>
                                  </w14:solidFill>
                                </w14:textFill>
                              </w:rPr>
                              <w:t>建立宿主—媒介耦合仓室模型</w:t>
                            </w:r>
                          </w:p>
                          <w:p w14:paraId="05F1D3C2">
                            <w:pPr>
                              <w:rPr>
                                <w:rFonts w:hAnsi="Cambria Math"/>
                                <w:color w:val="000000" w:themeColor="text1"/>
                                <w14:textFill>
                                  <w14:solidFill>
                                    <w14:schemeClr w14:val="tx1"/>
                                  </w14:solidFill>
                                </w14:textFill>
                              </w:rPr>
                            </w:pPr>
                            <w:r>
                              <w:rPr>
                                <w:rFonts w:hint="eastAsia"/>
                                <w:color w:val="000000" w:themeColor="text1"/>
                                <w14:textFill>
                                  <w14:solidFill>
                                    <w14:schemeClr w14:val="tx1"/>
                                  </w14:solidFill>
                                </w14:textFill>
                              </w:rPr>
                              <w:t>人群:</w:t>
                            </w:r>
                            <m:oMath>
                              <m:r>
                                <m:rPr/>
                                <w:rPr>
                                  <w:rFonts w:ascii="Cambria Math" w:hAnsi="Cambria Math"/>
                                  <w:color w:val="000000" w:themeColor="text1"/>
                                  <w14:textFill>
                                    <w14:solidFill>
                                      <w14:schemeClr w14:val="tx1"/>
                                    </w14:solidFill>
                                  </w14:textFill>
                                </w:rPr>
                                <m:t>S,E,I,R</m:t>
                              </m:r>
                            </m:oMath>
                            <w:r>
                              <w:rPr>
                                <w:rFonts w:hint="eastAsia" w:hAnsi="Cambria Math"/>
                                <w:color w:val="000000" w:themeColor="text1"/>
                                <w14:textFill>
                                  <w14:solidFill>
                                    <w14:schemeClr w14:val="tx1"/>
                                  </w14:solidFill>
                                </w14:textFill>
                              </w:rPr>
                              <w:t xml:space="preserve">    蚊媒:</w:t>
                            </w:r>
                            <m:oMath>
                              <m:r>
                                <m:rPr/>
                                <w:rPr>
                                  <w:rFonts w:ascii="Cambria Math" w:hAnsi="Cambria Math"/>
                                </w:rPr>
                                <m:t>X</m:t>
                              </m:r>
                              <m:r>
                                <m:rPr/>
                                <w:rPr>
                                  <w:rFonts w:ascii="Cambria Math" w:hAnsi="Cambria Math"/>
                                  <w:color w:val="000000" w:themeColor="text1"/>
                                  <w14:textFill>
                                    <w14:solidFill>
                                      <w14:schemeClr w14:val="tx1"/>
                                    </w14:solidFill>
                                  </w14:textFill>
                                </w:rPr>
                                <m:t>X,Y,Z</m:t>
                              </m:r>
                            </m:oMath>
                          </w:p>
                          <w:p w14:paraId="29557DF6">
                            <w:pPr>
                              <w:rPr>
                                <w:rFonts w:hAnsi="Cambria Math"/>
                                <w:color w:val="000000" w:themeColor="text1"/>
                                <w14:textFill>
                                  <w14:solidFill>
                                    <w14:schemeClr w14:val="tx1"/>
                                  </w14:solidFill>
                                </w14:textFill>
                              </w:rPr>
                            </w:pPr>
                            <w:r>
                              <w:rPr>
                                <w:rFonts w:hint="eastAsia" w:hAnsi="Cambria Math"/>
                                <w:color w:val="000000" w:themeColor="text1"/>
                                <w14:textFill>
                                  <w14:solidFill>
                                    <w14:schemeClr w14:val="tx1"/>
                                  </w14:solidFill>
                                </w14:textFill>
                              </w:rPr>
                              <w:t>明确变量、参数和传播路径</w:t>
                            </w:r>
                          </w:p>
                        </w:txbxContent>
                      </v:textbox>
                    </v:roundrect>
                  </w:pict>
                </mc:Fallback>
              </mc:AlternateContent>
            </w:r>
            <w:r>
              <w:rPr>
                <w:rFonts w:ascii="宋体" w:hAnsi="宋体" w:cs="宋体"/>
                <w:sz w:val="21"/>
                <w:szCs w:val="21"/>
              </w:rPr>
              <mc:AlternateContent>
                <mc:Choice Requires="wps">
                  <w:drawing>
                    <wp:anchor distT="0" distB="0" distL="114300" distR="114300" simplePos="0" relativeHeight="251664384" behindDoc="0" locked="0" layoutInCell="1" allowOverlap="1">
                      <wp:simplePos x="0" y="0"/>
                      <wp:positionH relativeFrom="column">
                        <wp:posOffset>849630</wp:posOffset>
                      </wp:positionH>
                      <wp:positionV relativeFrom="paragraph">
                        <wp:posOffset>2774950</wp:posOffset>
                      </wp:positionV>
                      <wp:extent cx="3417570" cy="785495"/>
                      <wp:effectExtent l="6350" t="6350" r="14605" b="8255"/>
                      <wp:wrapNone/>
                      <wp:docPr id="49" name="圆角矩形 23"/>
                      <wp:cNvGraphicFramePr/>
                      <a:graphic xmlns:a="http://schemas.openxmlformats.org/drawingml/2006/main">
                        <a:graphicData uri="http://schemas.microsoft.com/office/word/2010/wordprocessingShape">
                          <wps:wsp>
                            <wps:cNvSpPr/>
                            <wps:spPr>
                              <a:xfrm>
                                <a:off x="3294380" y="4817110"/>
                                <a:ext cx="3417570" cy="785495"/>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FCE20F4">
                                  <w:pPr>
                                    <w:ind w:firstLine="1897" w:firstLineChars="900"/>
                                    <w:jc w:val="left"/>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3理论分析</w:t>
                                  </w:r>
                                </w:p>
                                <w:p w14:paraId="31D321A2">
                                  <w:pPr>
                                    <w:rPr>
                                      <w:rFonts w:hAnsi="Cambria Math"/>
                                      <w:color w:val="000000" w:themeColor="text1"/>
                                      <w14:textFill>
                                        <w14:solidFill>
                                          <w14:schemeClr w14:val="tx1"/>
                                        </w14:solidFill>
                                      </w14:textFill>
                                    </w:rPr>
                                  </w:pPr>
                                  <w:r>
                                    <w:rPr>
                                      <w:rFonts w:hint="eastAsia"/>
                                      <w:color w:val="000000" w:themeColor="text1"/>
                                      <w14:textFill>
                                        <w14:solidFill>
                                          <w14:schemeClr w14:val="tx1"/>
                                        </w14:solidFill>
                                      </w14:textFill>
                                    </w:rPr>
                                    <w:t>证明解的非负性和有界性、计算基本再生数</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0</m:t>
                                        </m:r>
                                        <m:ctrlPr>
                                          <w:rPr>
                                            <w:rFonts w:ascii="Cambria Math" w:hAnsi="Cambria Math"/>
                                            <w:color w:val="000000" w:themeColor="text1"/>
                                            <w14:textFill>
                                              <w14:solidFill>
                                                <w14:schemeClr w14:val="tx1"/>
                                              </w14:solidFill>
                                            </w14:textFill>
                                          </w:rPr>
                                        </m:ctrlPr>
                                      </m:sub>
                                    </m:sSub>
                                  </m:oMath>
                                </w:p>
                                <w:p w14:paraId="0BBE1A66">
                                  <w:pPr>
                                    <w:rPr>
                                      <w:rFonts w:hAnsi="Cambria Math"/>
                                      <w:color w:val="000000" w:themeColor="text1"/>
                                      <w14:textFill>
                                        <w14:solidFill>
                                          <w14:schemeClr w14:val="tx1"/>
                                        </w14:solidFill>
                                      </w14:textFill>
                                    </w:rPr>
                                  </w:pPr>
                                  <w:r>
                                    <w:rPr>
                                      <w:rFonts w:hint="eastAsia" w:hAnsi="Cambria Math"/>
                                      <w:color w:val="000000" w:themeColor="text1"/>
                                      <w14:textFill>
                                        <w14:solidFill>
                                          <w14:schemeClr w14:val="tx1"/>
                                        </w14:solidFill>
                                      </w14:textFill>
                                    </w:rPr>
                                    <w:t>求无病平衡点和地方病平衡点、分析模型稳定性</w:t>
                                  </w:r>
                                </w:p>
                                <w:p w14:paraId="170766AA">
                                  <w:pPr>
                                    <w:rPr>
                                      <w:rFonts w:hAnsi="Cambria Math"/>
                                      <w:color w:val="000000" w:themeColor="text1"/>
                                      <w14:textFill>
                                        <w14:solidFill>
                                          <w14:schemeClr w14:val="tx1"/>
                                        </w14:solidFill>
                                      </w14:textFill>
                                    </w:rPr>
                                  </w:pPr>
                                </w:p>
                                <w:p w14:paraId="11FA56A9">
                                  <w:pPr>
                                    <w:jc w:val="center"/>
                                    <w:rPr>
                                      <w:b/>
                                      <w:bCs/>
                                      <w:color w:val="000000" w:themeColor="text1"/>
                                      <w14:textFill>
                                        <w14:solidFill>
                                          <w14:schemeClr w14:val="tx1"/>
                                        </w14:solidFill>
                                      </w14:textFill>
                                    </w:rPr>
                                  </w:pPr>
                                </w:p>
                                <w:p w14:paraId="4BDB4F23">
                                  <w:pPr>
                                    <w:jc w:val="center"/>
                                    <w:rPr>
                                      <w:b/>
                                      <w:bCs/>
                                      <w:color w:val="000000" w:themeColor="text1"/>
                                      <w14:textFill>
                                        <w14:solidFill>
                                          <w14:schemeClr w14:val="tx1"/>
                                        </w14:solidFill>
                                      </w14:textFill>
                                    </w:rPr>
                                  </w:pPr>
                                </w:p>
                                <w:p w14:paraId="3777BEF7">
                                  <w:pPr>
                                    <w:jc w:val="center"/>
                                    <w:rPr>
                                      <w:b/>
                                      <w:bCs/>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23" o:spid="_x0000_s1026" o:spt="2" style="position:absolute;left:0pt;margin-left:66.9pt;margin-top:218.5pt;height:61.85pt;width:269.1pt;z-index:251664384;v-text-anchor:middle;mso-width-relative:page;mso-height-relative:page;" fillcolor="#FFFFFF [3212]" filled="t" stroked="t" coordsize="21600,21600" arcsize="0.166666666666667" o:gfxdata="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zm+7Q9kAAAALAQAADwAAAAAAAAABACAAAAAiAAAAZHJzL2Rvd25y&#10;ZXYueG1sUEsBAhQAFAAAAAgAh07iQJC6FqGoAgAAOgUAAA4AAAAAAAAAAQAgAAAAKAEAAGRycy9l&#10;Mm9Eb2MueG1sUEsFBgAAAAAGAAYAWQEAAEIGAAAAAA==&#10;">
                      <v:fill on="t" focussize="0,0"/>
                      <v:stroke weight="1pt" color="#2E54A1 [2404]" miterlimit="8" joinstyle="miter"/>
                      <v:imagedata o:title=""/>
                      <o:lock v:ext="edit" aspectratio="f"/>
                      <v:textbox>
                        <w:txbxContent>
                          <w:p w14:paraId="4FCE20F4">
                            <w:pPr>
                              <w:ind w:firstLine="1897" w:firstLineChars="900"/>
                              <w:jc w:val="left"/>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3理论分析</w:t>
                            </w:r>
                          </w:p>
                          <w:p w14:paraId="31D321A2">
                            <w:pPr>
                              <w:rPr>
                                <w:rFonts w:hAnsi="Cambria Math"/>
                                <w:color w:val="000000" w:themeColor="text1"/>
                                <w14:textFill>
                                  <w14:solidFill>
                                    <w14:schemeClr w14:val="tx1"/>
                                  </w14:solidFill>
                                </w14:textFill>
                              </w:rPr>
                            </w:pPr>
                            <w:r>
                              <w:rPr>
                                <w:rFonts w:hint="eastAsia"/>
                                <w:color w:val="000000" w:themeColor="text1"/>
                                <w14:textFill>
                                  <w14:solidFill>
                                    <w14:schemeClr w14:val="tx1"/>
                                  </w14:solidFill>
                                </w14:textFill>
                              </w:rPr>
                              <w:t>证明解的非负性和有界性、计算基本再生数</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0</m:t>
                                  </m:r>
                                  <m:ctrlPr>
                                    <w:rPr>
                                      <w:rFonts w:ascii="Cambria Math" w:hAnsi="Cambria Math"/>
                                      <w:color w:val="000000" w:themeColor="text1"/>
                                      <w14:textFill>
                                        <w14:solidFill>
                                          <w14:schemeClr w14:val="tx1"/>
                                        </w14:solidFill>
                                      </w14:textFill>
                                    </w:rPr>
                                  </m:ctrlPr>
                                </m:sub>
                              </m:sSub>
                            </m:oMath>
                          </w:p>
                          <w:p w14:paraId="0BBE1A66">
                            <w:pPr>
                              <w:rPr>
                                <w:rFonts w:hAnsi="Cambria Math"/>
                                <w:color w:val="000000" w:themeColor="text1"/>
                                <w14:textFill>
                                  <w14:solidFill>
                                    <w14:schemeClr w14:val="tx1"/>
                                  </w14:solidFill>
                                </w14:textFill>
                              </w:rPr>
                            </w:pPr>
                            <w:r>
                              <w:rPr>
                                <w:rFonts w:hint="eastAsia" w:hAnsi="Cambria Math"/>
                                <w:color w:val="000000" w:themeColor="text1"/>
                                <w14:textFill>
                                  <w14:solidFill>
                                    <w14:schemeClr w14:val="tx1"/>
                                  </w14:solidFill>
                                </w14:textFill>
                              </w:rPr>
                              <w:t>求无病平衡点和地方病平衡点、分析模型稳定性</w:t>
                            </w:r>
                          </w:p>
                          <w:p w14:paraId="170766AA">
                            <w:pPr>
                              <w:rPr>
                                <w:rFonts w:hAnsi="Cambria Math"/>
                                <w:color w:val="000000" w:themeColor="text1"/>
                                <w14:textFill>
                                  <w14:solidFill>
                                    <w14:schemeClr w14:val="tx1"/>
                                  </w14:solidFill>
                                </w14:textFill>
                              </w:rPr>
                            </w:pPr>
                          </w:p>
                          <w:p w14:paraId="11FA56A9">
                            <w:pPr>
                              <w:jc w:val="center"/>
                              <w:rPr>
                                <w:b/>
                                <w:bCs/>
                                <w:color w:val="000000" w:themeColor="text1"/>
                                <w14:textFill>
                                  <w14:solidFill>
                                    <w14:schemeClr w14:val="tx1"/>
                                  </w14:solidFill>
                                </w14:textFill>
                              </w:rPr>
                            </w:pPr>
                          </w:p>
                          <w:p w14:paraId="4BDB4F23">
                            <w:pPr>
                              <w:jc w:val="center"/>
                              <w:rPr>
                                <w:b/>
                                <w:bCs/>
                                <w:color w:val="000000" w:themeColor="text1"/>
                                <w14:textFill>
                                  <w14:solidFill>
                                    <w14:schemeClr w14:val="tx1"/>
                                  </w14:solidFill>
                                </w14:textFill>
                              </w:rPr>
                            </w:pPr>
                          </w:p>
                          <w:p w14:paraId="3777BEF7">
                            <w:pPr>
                              <w:jc w:val="center"/>
                              <w:rPr>
                                <w:b/>
                                <w:bCs/>
                                <w:color w:val="000000" w:themeColor="text1"/>
                                <w14:textFill>
                                  <w14:solidFill>
                                    <w14:schemeClr w14:val="tx1"/>
                                  </w14:solidFill>
                                </w14:textFill>
                              </w:rPr>
                            </w:pPr>
                          </w:p>
                        </w:txbxContent>
                      </v:textbox>
                    </v:roundrect>
                  </w:pict>
                </mc:Fallback>
              </mc:AlternateContent>
            </w:r>
            <w:r>
              <w:rPr>
                <w:rFonts w:ascii="宋体" w:hAnsi="宋体" w:cs="宋体"/>
                <w:sz w:val="21"/>
                <w:szCs w:val="21"/>
              </w:rPr>
              <mc:AlternateContent>
                <mc:Choice Requires="wps">
                  <w:drawing>
                    <wp:anchor distT="0" distB="0" distL="114300" distR="114300" simplePos="0" relativeHeight="251665408" behindDoc="0" locked="0" layoutInCell="1" allowOverlap="1">
                      <wp:simplePos x="0" y="0"/>
                      <wp:positionH relativeFrom="column">
                        <wp:posOffset>2379980</wp:posOffset>
                      </wp:positionH>
                      <wp:positionV relativeFrom="paragraph">
                        <wp:posOffset>2515235</wp:posOffset>
                      </wp:positionV>
                      <wp:extent cx="154305" cy="245745"/>
                      <wp:effectExtent l="15240" t="6350" r="20955" b="14605"/>
                      <wp:wrapNone/>
                      <wp:docPr id="50" name="下箭头 26"/>
                      <wp:cNvGraphicFramePr/>
                      <a:graphic xmlns:a="http://schemas.openxmlformats.org/drawingml/2006/main">
                        <a:graphicData uri="http://schemas.microsoft.com/office/word/2010/wordprocessingShape">
                          <wps:wsp>
                            <wps:cNvSpPr/>
                            <wps:spPr>
                              <a:xfrm>
                                <a:off x="0" y="0"/>
                                <a:ext cx="154305" cy="24574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26" o:spid="_x0000_s1026" o:spt="67" type="#_x0000_t67" style="position:absolute;left:0pt;margin-left:187.4pt;margin-top:198.05pt;height:19.35pt;width:12.15pt;z-index:251665408;v-text-anchor:middle;mso-width-relative:page;mso-height-relative:page;" fillcolor="#FFFFFF [3212]" filled="t" stroked="t" coordsize="21600,21600" o:gfxdata="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48+jGNkAAAAL&#10;AQAADwAAAAAAAAABACAAAAAiAAAAZHJzL2Rvd25yZXYueG1sUEsBAhQAFAAAAAgAh07iQPuhf9KN&#10;AgAAHwUAAA4AAAAAAAAAAQAgAAAAKAEAAGRycy9lMm9Eb2MueG1sUEsFBgAAAAAGAAYAWQEAACcG&#10;AAAAAA==&#10;" adj="14819,5400">
                      <v:fill on="t" focussize="0,0"/>
                      <v:stroke weight="1pt" color="#2E54A1 [2404]" miterlimit="8" joinstyle="miter"/>
                      <v:imagedata o:title=""/>
                      <o:lock v:ext="edit" aspectratio="f"/>
                    </v:shape>
                  </w:pict>
                </mc:Fallback>
              </mc:AlternateContent>
            </w:r>
            <w:r>
              <w:rPr>
                <w:rFonts w:ascii="宋体" w:hAnsi="宋体" w:cs="宋体"/>
                <w:sz w:val="21"/>
                <w:szCs w:val="21"/>
              </w:rPr>
              <mc:AlternateContent>
                <mc:Choice Requires="wps">
                  <w:drawing>
                    <wp:anchor distT="0" distB="0" distL="114300" distR="114300" simplePos="0" relativeHeight="251666432" behindDoc="0" locked="0" layoutInCell="1" allowOverlap="1">
                      <wp:simplePos x="0" y="0"/>
                      <wp:positionH relativeFrom="column">
                        <wp:posOffset>836295</wp:posOffset>
                      </wp:positionH>
                      <wp:positionV relativeFrom="paragraph">
                        <wp:posOffset>3850005</wp:posOffset>
                      </wp:positionV>
                      <wp:extent cx="3463290" cy="836930"/>
                      <wp:effectExtent l="6350" t="6350" r="6985" b="13970"/>
                      <wp:wrapNone/>
                      <wp:docPr id="51" name="圆角矩形 27"/>
                      <wp:cNvGraphicFramePr/>
                      <a:graphic xmlns:a="http://schemas.openxmlformats.org/drawingml/2006/main">
                        <a:graphicData uri="http://schemas.microsoft.com/office/word/2010/wordprocessingShape">
                          <wps:wsp>
                            <wps:cNvSpPr/>
                            <wps:spPr>
                              <a:xfrm>
                                <a:off x="2522220" y="5775960"/>
                                <a:ext cx="3463290" cy="836930"/>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7E5EDFD">
                                  <w:pPr>
                                    <w:ind w:firstLine="1265" w:firstLineChars="60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4参数估计与模型拟合</w:t>
                                  </w:r>
                                </w:p>
                                <w:p w14:paraId="1AE7B7BD">
                                  <w:pPr>
                                    <w:rPr>
                                      <w:color w:val="000000" w:themeColor="text1"/>
                                      <w14:textFill>
                                        <w14:solidFill>
                                          <w14:schemeClr w14:val="tx1"/>
                                        </w14:solidFill>
                                      </w14:textFill>
                                    </w:rPr>
                                  </w:pPr>
                                  <w:r>
                                    <w:rPr>
                                      <w:rFonts w:hint="eastAsia"/>
                                      <w:color w:val="000000" w:themeColor="text1"/>
                                      <w14:textFill>
                                        <w14:solidFill>
                                          <w14:schemeClr w14:val="tx1"/>
                                        </w14:solidFill>
                                      </w14:textFill>
                                    </w:rPr>
                                    <w:t>基于病例周数据估计相关参数</w:t>
                                  </w:r>
                                </w:p>
                                <w:p w14:paraId="4680834F">
                                  <w:pPr>
                                    <w:rPr>
                                      <w:color w:val="000000" w:themeColor="text1"/>
                                      <w14:textFill>
                                        <w14:solidFill>
                                          <w14:schemeClr w14:val="tx1"/>
                                        </w14:solidFill>
                                      </w14:textFill>
                                    </w:rPr>
                                  </w:pPr>
                                  <w:r>
                                    <w:rPr>
                                      <w:rFonts w:hint="eastAsia"/>
                                      <w:color w:val="000000" w:themeColor="text1"/>
                                      <w14:textFill>
                                        <w14:solidFill>
                                          <w14:schemeClr w14:val="tx1"/>
                                        </w14:solidFill>
                                      </w14:textFill>
                                    </w:rPr>
                                    <w:t>采用最小二乘法等方法完成模型校准与误差分析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27" o:spid="_x0000_s1026" o:spt="2" style="position:absolute;left:0pt;margin-left:65.85pt;margin-top:303.15pt;height:65.9pt;width:272.7pt;z-index:251666432;v-text-anchor:middle;mso-width-relative:page;mso-height-relative:page;" fillcolor="#FFFFFF [3212]" filled="t" stroked="t" coordsize="21600,21600" arcsize="0.166666666666667" o:gfxdata="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8RMhq2QAAAAsBAAAPAAAAAAAAAAEAIAAAACIAAABkcnMvZG93bnJl&#10;di54bWxQSwECFAAUAAAACACHTuJA8rr966cCAAA6BQAADgAAAAAAAAABACAAAAAoAQAAZHJzL2Uy&#10;b0RvYy54bWxQSwUGAAAAAAYABgBZAQAAQQYAAAAA&#10;">
                      <v:fill on="t" focussize="0,0"/>
                      <v:stroke weight="1pt" color="#2E54A1 [2404]" miterlimit="8" joinstyle="miter"/>
                      <v:imagedata o:title=""/>
                      <o:lock v:ext="edit" aspectratio="f"/>
                      <v:textbox>
                        <w:txbxContent>
                          <w:p w14:paraId="07E5EDFD">
                            <w:pPr>
                              <w:ind w:firstLine="1265" w:firstLineChars="60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4参数估计与模型拟合</w:t>
                            </w:r>
                          </w:p>
                          <w:p w14:paraId="1AE7B7BD">
                            <w:pPr>
                              <w:rPr>
                                <w:color w:val="000000" w:themeColor="text1"/>
                                <w14:textFill>
                                  <w14:solidFill>
                                    <w14:schemeClr w14:val="tx1"/>
                                  </w14:solidFill>
                                </w14:textFill>
                              </w:rPr>
                            </w:pPr>
                            <w:r>
                              <w:rPr>
                                <w:rFonts w:hint="eastAsia"/>
                                <w:color w:val="000000" w:themeColor="text1"/>
                                <w14:textFill>
                                  <w14:solidFill>
                                    <w14:schemeClr w14:val="tx1"/>
                                  </w14:solidFill>
                                </w14:textFill>
                              </w:rPr>
                              <w:t>基于病例周数据估计相关参数</w:t>
                            </w:r>
                          </w:p>
                          <w:p w14:paraId="4680834F">
                            <w:pPr>
                              <w:rPr>
                                <w:color w:val="000000" w:themeColor="text1"/>
                                <w14:textFill>
                                  <w14:solidFill>
                                    <w14:schemeClr w14:val="tx1"/>
                                  </w14:solidFill>
                                </w14:textFill>
                              </w:rPr>
                            </w:pPr>
                            <w:r>
                              <w:rPr>
                                <w:rFonts w:hint="eastAsia"/>
                                <w:color w:val="000000" w:themeColor="text1"/>
                                <w14:textFill>
                                  <w14:solidFill>
                                    <w14:schemeClr w14:val="tx1"/>
                                  </w14:solidFill>
                                </w14:textFill>
                              </w:rPr>
                              <w:t>采用最小二乘法等方法完成模型校准与误差分析</w:t>
                            </w:r>
                          </w:p>
                        </w:txbxContent>
                      </v:textbox>
                    </v:roundrect>
                  </w:pict>
                </mc:Fallback>
              </mc:AlternateContent>
            </w:r>
            <w:r>
              <w:rPr>
                <w:rFonts w:ascii="宋体" w:hAnsi="宋体" w:cs="宋体"/>
                <w:sz w:val="21"/>
                <w:szCs w:val="21"/>
              </w:rPr>
              <mc:AlternateContent>
                <mc:Choice Requires="wps">
                  <w:drawing>
                    <wp:anchor distT="0" distB="0" distL="114300" distR="114300" simplePos="0" relativeHeight="251667456" behindDoc="0" locked="0" layoutInCell="1" allowOverlap="1">
                      <wp:simplePos x="0" y="0"/>
                      <wp:positionH relativeFrom="column">
                        <wp:posOffset>2371090</wp:posOffset>
                      </wp:positionH>
                      <wp:positionV relativeFrom="paragraph">
                        <wp:posOffset>3581400</wp:posOffset>
                      </wp:positionV>
                      <wp:extent cx="154305" cy="245745"/>
                      <wp:effectExtent l="15240" t="6350" r="20955" b="14605"/>
                      <wp:wrapNone/>
                      <wp:docPr id="52" name="下箭头 29"/>
                      <wp:cNvGraphicFramePr/>
                      <a:graphic xmlns:a="http://schemas.openxmlformats.org/drawingml/2006/main">
                        <a:graphicData uri="http://schemas.microsoft.com/office/word/2010/wordprocessingShape">
                          <wps:wsp>
                            <wps:cNvSpPr/>
                            <wps:spPr>
                              <a:xfrm>
                                <a:off x="0" y="0"/>
                                <a:ext cx="154305" cy="24574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下箭头 29" o:spid="_x0000_s1026" o:spt="67" type="#_x0000_t67" style="position:absolute;left:0pt;margin-left:186.7pt;margin-top:282pt;height:19.35pt;width:12.15pt;z-index:251667456;v-text-anchor:middle;mso-width-relative:page;mso-height-relative:page;" fillcolor="#FFFFFF [3212]" filled="t" stroked="t" coordsize="21600,21600" o:gfxdata="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c8ksn2gAA&#10;AAsBAAAPAAAAAAAAAAEAIAAAACIAAABkcnMvZG93bnJldi54bWxQSwECFAAUAAAACACHTuJAUbx1&#10;3Y4CAAAfBQAADgAAAAAAAAABACAAAAApAQAAZHJzL2Uyb0RvYy54bWxQSwUGAAAAAAYABgBZAQAA&#10;KQYAAAAA&#10;" adj="14819,5400">
                      <v:fill on="t" focussize="0,0"/>
                      <v:stroke weight="1pt" color="#2E54A1 [2404]" miterlimit="8" joinstyle="miter"/>
                      <v:imagedata o:title=""/>
                      <o:lock v:ext="edit" aspectratio="f"/>
                    </v:shape>
                  </w:pict>
                </mc:Fallback>
              </mc:AlternateContent>
            </w:r>
            <w:r>
              <w:rPr>
                <w:rFonts w:ascii="宋体" w:hAnsi="宋体" w:cs="宋体"/>
                <w:sz w:val="21"/>
                <w:szCs w:val="21"/>
              </w:rPr>
              <mc:AlternateContent>
                <mc:Choice Requires="wps">
                  <w:drawing>
                    <wp:anchor distT="0" distB="0" distL="114300" distR="114300" simplePos="0" relativeHeight="251669504" behindDoc="0" locked="0" layoutInCell="1" allowOverlap="1">
                      <wp:simplePos x="0" y="0"/>
                      <wp:positionH relativeFrom="column">
                        <wp:posOffset>861695</wp:posOffset>
                      </wp:positionH>
                      <wp:positionV relativeFrom="paragraph">
                        <wp:posOffset>4951730</wp:posOffset>
                      </wp:positionV>
                      <wp:extent cx="3448685" cy="977265"/>
                      <wp:effectExtent l="6350" t="6350" r="12065" b="6985"/>
                      <wp:wrapNone/>
                      <wp:docPr id="41" name="圆角矩形 41"/>
                      <wp:cNvGraphicFramePr/>
                      <a:graphic xmlns:a="http://schemas.openxmlformats.org/drawingml/2006/main">
                        <a:graphicData uri="http://schemas.microsoft.com/office/word/2010/wordprocessingShape">
                          <wps:wsp>
                            <wps:cNvSpPr/>
                            <wps:spPr>
                              <a:xfrm>
                                <a:off x="2882900" y="7198995"/>
                                <a:ext cx="3448685" cy="977265"/>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B3A49A3">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5气候因子的引入与扩展模型</w:t>
                                  </w:r>
                                </w:p>
                                <w:p w14:paraId="1627C730">
                                  <w:pPr>
                                    <w:rPr>
                                      <w:color w:val="000000" w:themeColor="text1"/>
                                      <w14:textFill>
                                        <w14:solidFill>
                                          <w14:schemeClr w14:val="tx1"/>
                                        </w14:solidFill>
                                      </w14:textFill>
                                    </w:rPr>
                                  </w:pPr>
                                  <w:r>
                                    <w:rPr>
                                      <w:rFonts w:hint="eastAsia"/>
                                      <w:color w:val="000000" w:themeColor="text1"/>
                                      <w14:textFill>
                                        <w14:solidFill>
                                          <w14:schemeClr w14:val="tx1"/>
                                        </w14:solidFill>
                                      </w14:textFill>
                                    </w:rPr>
                                    <w:t>将温度、降雨等环境变量引入传播率或媒介相关参数</w:t>
                                  </w:r>
                                </w:p>
                                <w:p w14:paraId="0F112F2B">
                                  <w:pPr>
                                    <w:rPr>
                                      <w:color w:val="000000" w:themeColor="text1"/>
                                      <w14:textFill>
                                        <w14:solidFill>
                                          <w14:schemeClr w14:val="tx1"/>
                                        </w14:solidFill>
                                      </w14:textFill>
                                    </w:rPr>
                                  </w:pPr>
                                  <w:r>
                                    <w:rPr>
                                      <w:rFonts w:hint="eastAsia"/>
                                      <w:color w:val="000000" w:themeColor="text1"/>
                                      <w14:textFill>
                                        <w14:solidFill>
                                          <w14:schemeClr w14:val="tx1"/>
                                        </w14:solidFill>
                                      </w14:textFill>
                                    </w:rPr>
                                    <w:t>刻画传播强度的季节波动</w:t>
                                  </w:r>
                                </w:p>
                                <w:p w14:paraId="214B36FA">
                                  <w:pPr>
                                    <w:rPr>
                                      <w:color w:val="000000" w:themeColor="text1"/>
                                      <w14:textFill>
                                        <w14:solidFill>
                                          <w14:schemeClr w14:val="tx1"/>
                                        </w14:solidFill>
                                      </w14:textFill>
                                    </w:rPr>
                                  </w:pPr>
                                  <w:r>
                                    <w:rPr>
                                      <w:rFonts w:hint="eastAsia"/>
                                      <w:color w:val="000000" w:themeColor="text1"/>
                                      <w14:textFill>
                                        <w14:solidFill>
                                          <w14:schemeClr w14:val="tx1"/>
                                        </w14:solidFill>
                                      </w14:textFill>
                                    </w:rPr>
                                    <w:t>比较基线模型与扩展模型效果</w:t>
                                  </w:r>
                                </w:p>
                                <w:p w14:paraId="5D88CAB1">
                                  <w:pPr>
                                    <w:jc w:val="center"/>
                                    <w:rPr>
                                      <w:b/>
                                      <w:bCs/>
                                      <w:color w:val="000000" w:themeColor="text1"/>
                                      <w14:textFill>
                                        <w14:solidFill>
                                          <w14:schemeClr w14:val="tx1"/>
                                        </w14:solidFill>
                                      </w14:textFill>
                                    </w:rPr>
                                  </w:pPr>
                                </w:p>
                                <w:p w14:paraId="63D4D924">
                                  <w:pPr>
                                    <w:jc w:val="center"/>
                                    <w:rPr>
                                      <w:b/>
                                      <w:bCs/>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7.85pt;margin-top:389.9pt;height:76.95pt;width:271.55pt;z-index:251669504;v-text-anchor:middle;mso-width-relative:page;mso-height-relative:page;" fillcolor="#FFFFFF [3212]" filled="t" stroked="t" coordsize="21600,21600" arcsize="0.166666666666667" o:gfxdata="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1WmVmtkAAAALAQAADwAAAAAAAAABACAAAAAiAAAAZHJzL2Rv&#10;d25yZXYueG1sUEsBAhQAFAAAAAgAh07iQBxKw+WrAgAAOgUAAA4AAAAAAAAAAQAgAAAAKAEAAGRy&#10;cy9lMm9Eb2MueG1sUEsFBgAAAAAGAAYAWQEAAEUGAAAAAA==&#10;">
                      <v:fill on="t" focussize="0,0"/>
                      <v:stroke weight="1pt" color="#2E54A1 [2404]" miterlimit="8" joinstyle="miter"/>
                      <v:imagedata o:title=""/>
                      <o:lock v:ext="edit" aspectratio="f"/>
                      <v:textbox>
                        <w:txbxContent>
                          <w:p w14:paraId="4B3A49A3">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5气候因子的引入与扩展模型</w:t>
                            </w:r>
                          </w:p>
                          <w:p w14:paraId="1627C730">
                            <w:pPr>
                              <w:rPr>
                                <w:color w:val="000000" w:themeColor="text1"/>
                                <w14:textFill>
                                  <w14:solidFill>
                                    <w14:schemeClr w14:val="tx1"/>
                                  </w14:solidFill>
                                </w14:textFill>
                              </w:rPr>
                            </w:pPr>
                            <w:r>
                              <w:rPr>
                                <w:rFonts w:hint="eastAsia"/>
                                <w:color w:val="000000" w:themeColor="text1"/>
                                <w14:textFill>
                                  <w14:solidFill>
                                    <w14:schemeClr w14:val="tx1"/>
                                  </w14:solidFill>
                                </w14:textFill>
                              </w:rPr>
                              <w:t>将温度、降雨等环境变量引入传播率或媒介相关参数</w:t>
                            </w:r>
                          </w:p>
                          <w:p w14:paraId="0F112F2B">
                            <w:pPr>
                              <w:rPr>
                                <w:color w:val="000000" w:themeColor="text1"/>
                                <w14:textFill>
                                  <w14:solidFill>
                                    <w14:schemeClr w14:val="tx1"/>
                                  </w14:solidFill>
                                </w14:textFill>
                              </w:rPr>
                            </w:pPr>
                            <w:r>
                              <w:rPr>
                                <w:rFonts w:hint="eastAsia"/>
                                <w:color w:val="000000" w:themeColor="text1"/>
                                <w14:textFill>
                                  <w14:solidFill>
                                    <w14:schemeClr w14:val="tx1"/>
                                  </w14:solidFill>
                                </w14:textFill>
                              </w:rPr>
                              <w:t>刻画传播强度的季节波动</w:t>
                            </w:r>
                          </w:p>
                          <w:p w14:paraId="214B36FA">
                            <w:pPr>
                              <w:rPr>
                                <w:color w:val="000000" w:themeColor="text1"/>
                                <w14:textFill>
                                  <w14:solidFill>
                                    <w14:schemeClr w14:val="tx1"/>
                                  </w14:solidFill>
                                </w14:textFill>
                              </w:rPr>
                            </w:pPr>
                            <w:r>
                              <w:rPr>
                                <w:rFonts w:hint="eastAsia"/>
                                <w:color w:val="000000" w:themeColor="text1"/>
                                <w14:textFill>
                                  <w14:solidFill>
                                    <w14:schemeClr w14:val="tx1"/>
                                  </w14:solidFill>
                                </w14:textFill>
                              </w:rPr>
                              <w:t>比较基线模型与扩展模型效果</w:t>
                            </w:r>
                          </w:p>
                          <w:p w14:paraId="5D88CAB1">
                            <w:pPr>
                              <w:jc w:val="center"/>
                              <w:rPr>
                                <w:b/>
                                <w:bCs/>
                                <w:color w:val="000000" w:themeColor="text1"/>
                                <w14:textFill>
                                  <w14:solidFill>
                                    <w14:schemeClr w14:val="tx1"/>
                                  </w14:solidFill>
                                </w14:textFill>
                              </w:rPr>
                            </w:pPr>
                          </w:p>
                          <w:p w14:paraId="63D4D924">
                            <w:pPr>
                              <w:jc w:val="center"/>
                              <w:rPr>
                                <w:b/>
                                <w:bCs/>
                                <w:color w:val="000000" w:themeColor="text1"/>
                                <w14:textFill>
                                  <w14:solidFill>
                                    <w14:schemeClr w14:val="tx1"/>
                                  </w14:solidFill>
                                </w14:textFill>
                              </w:rPr>
                            </w:pPr>
                          </w:p>
                        </w:txbxContent>
                      </v:textbox>
                    </v:roundrect>
                  </w:pict>
                </mc:Fallback>
              </mc:AlternateContent>
            </w:r>
            <w:r>
              <w:rPr>
                <w:rFonts w:ascii="宋体" w:hAnsi="宋体" w:cs="宋体"/>
                <w:sz w:val="21"/>
                <w:szCs w:val="21"/>
              </w:rPr>
              <mc:AlternateContent>
                <mc:Choice Requires="wps">
                  <w:drawing>
                    <wp:anchor distT="0" distB="0" distL="114300" distR="114300" simplePos="0" relativeHeight="251670528" behindDoc="0" locked="0" layoutInCell="1" allowOverlap="1">
                      <wp:simplePos x="0" y="0"/>
                      <wp:positionH relativeFrom="column">
                        <wp:posOffset>2388235</wp:posOffset>
                      </wp:positionH>
                      <wp:positionV relativeFrom="paragraph">
                        <wp:posOffset>4730750</wp:posOffset>
                      </wp:positionV>
                      <wp:extent cx="154305" cy="245745"/>
                      <wp:effectExtent l="15240" t="6350" r="20955" b="14605"/>
                      <wp:wrapNone/>
                      <wp:docPr id="43" name="下箭头 43"/>
                      <wp:cNvGraphicFramePr/>
                      <a:graphic xmlns:a="http://schemas.openxmlformats.org/drawingml/2006/main">
                        <a:graphicData uri="http://schemas.microsoft.com/office/word/2010/wordprocessingShape">
                          <wps:wsp>
                            <wps:cNvSpPr/>
                            <wps:spPr>
                              <a:xfrm>
                                <a:off x="0" y="0"/>
                                <a:ext cx="154305" cy="24574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8.05pt;margin-top:372.5pt;height:19.35pt;width:12.15pt;z-index:251670528;v-text-anchor:middle;mso-width-relative:page;mso-height-relative:page;" fillcolor="#FFFFFF [3212]" filled="t" stroked="t" coordsize="21600,21600" o:gfxdata="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Z1v912gAA&#10;AAsBAAAPAAAAAAAAAAEAIAAAACIAAABkcnMvZG93bnJldi54bWxQSwECFAAUAAAACACHTuJAoDy0&#10;Y44CAAAfBQAADgAAAAAAAAABACAAAAApAQAAZHJzL2Uyb0RvYy54bWxQSwUGAAAAAAYABgBZAQAA&#10;KQYAAAAA&#10;" adj="14819,5400">
                      <v:fill on="t" focussize="0,0"/>
                      <v:stroke weight="1pt" color="#2E54A1 [2404]" miterlimit="8" joinstyle="miter"/>
                      <v:imagedata o:title=""/>
                      <o:lock v:ext="edit" aspectratio="f"/>
                    </v:shape>
                  </w:pict>
                </mc:Fallback>
              </mc:AlternateContent>
            </w:r>
            <w:r>
              <w:rPr>
                <w:rFonts w:ascii="宋体" w:hAnsi="宋体" w:cs="宋体"/>
                <w:sz w:val="21"/>
                <w:szCs w:val="21"/>
              </w:rPr>
              <mc:AlternateContent>
                <mc:Choice Requires="wps">
                  <w:drawing>
                    <wp:anchor distT="0" distB="0" distL="114300" distR="114300" simplePos="0" relativeHeight="251671552" behindDoc="0" locked="0" layoutInCell="1" allowOverlap="1">
                      <wp:simplePos x="0" y="0"/>
                      <wp:positionH relativeFrom="column">
                        <wp:posOffset>508635</wp:posOffset>
                      </wp:positionH>
                      <wp:positionV relativeFrom="paragraph">
                        <wp:posOffset>1708150</wp:posOffset>
                      </wp:positionV>
                      <wp:extent cx="559435" cy="4105910"/>
                      <wp:effectExtent l="40005" t="0" r="181610" b="31750"/>
                      <wp:wrapNone/>
                      <wp:docPr id="54" name="右弧形箭头 45"/>
                      <wp:cNvGraphicFramePr/>
                      <a:graphic xmlns:a="http://schemas.openxmlformats.org/drawingml/2006/main">
                        <a:graphicData uri="http://schemas.microsoft.com/office/word/2010/wordprocessingShape">
                          <wps:wsp>
                            <wps:cNvSpPr/>
                            <wps:spPr>
                              <a:xfrm rot="11100000">
                                <a:off x="2413000" y="6407150"/>
                                <a:ext cx="559435" cy="4105910"/>
                              </a:xfrm>
                              <a:prstGeom prst="curvedLeft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右弧形箭头 45" o:spid="_x0000_s1026" o:spt="103" type="#_x0000_t103" style="position:absolute;left:0pt;margin-left:40.05pt;margin-top:134.5pt;height:323.3pt;width:44.05pt;rotation:-11468800f;z-index:251671552;v-text-anchor:middle;mso-width-relative:page;mso-height-relative:page;" fillcolor="#FFFFFF [3212]" filled="t" stroked="t" coordsize="21600,21600" o:gfxdata="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9Ig4RNkAAAAKAQAADwAAAAAAAAABACAAAAAiAAAA&#10;ZHJzL2Rvd25yZXYueG1sUEsBAhQAFAAAAAgAh07iQBxC+WGxAgAARwUAAA4AAAAAAAAAAQAgAAAA&#10;KAEAAGRycy9lMm9Eb2MueG1sUEsFBgAAAAAGAAYAWQEAAEsGAAAAAA==&#10;" adj="20129,21232,5400">
                      <v:fill on="t" focussize="0,0"/>
                      <v:stroke weight="1pt" color="#2E54A1 [2404]" miterlimit="8" joinstyle="miter"/>
                      <v:imagedata o:title=""/>
                      <o:lock v:ext="edit" aspectratio="f"/>
                    </v:shape>
                  </w:pict>
                </mc:Fallback>
              </mc:AlternateContent>
            </w:r>
            <w:r>
              <w:rPr>
                <w:rFonts w:ascii="宋体" w:hAnsi="宋体" w:cs="宋体"/>
                <w:sz w:val="21"/>
                <w:szCs w:val="21"/>
              </w:rPr>
              <mc:AlternateContent>
                <mc:Choice Requires="wps">
                  <w:drawing>
                    <wp:anchor distT="0" distB="0" distL="114300" distR="114300" simplePos="0" relativeHeight="251672576" behindDoc="0" locked="0" layoutInCell="1" allowOverlap="1">
                      <wp:simplePos x="0" y="0"/>
                      <wp:positionH relativeFrom="column">
                        <wp:posOffset>882015</wp:posOffset>
                      </wp:positionH>
                      <wp:positionV relativeFrom="paragraph">
                        <wp:posOffset>6167120</wp:posOffset>
                      </wp:positionV>
                      <wp:extent cx="3469005" cy="741045"/>
                      <wp:effectExtent l="6350" t="6350" r="10795" b="14605"/>
                      <wp:wrapNone/>
                      <wp:docPr id="46" name="圆角矩形 46"/>
                      <wp:cNvGraphicFramePr/>
                      <a:graphic xmlns:a="http://schemas.openxmlformats.org/drawingml/2006/main">
                        <a:graphicData uri="http://schemas.microsoft.com/office/word/2010/wordprocessingShape">
                          <wps:wsp>
                            <wps:cNvSpPr/>
                            <wps:spPr>
                              <a:xfrm>
                                <a:off x="2683510" y="7958455"/>
                                <a:ext cx="3469005" cy="741045"/>
                              </a:xfrm>
                              <a:prstGeom prst="round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779B290B">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6灵敏度分析与干预模拟</w:t>
                                  </w:r>
                                </w:p>
                                <w:p w14:paraId="16828B93">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进行局部和全局灵敏度分析，识别影响传播的关键参数</w:t>
                                  </w:r>
                                </w:p>
                                <w:p w14:paraId="2931548E">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比较灭蚊、环境治理、病例管理等情景，提出防控建议</w:t>
                                  </w:r>
                                </w:p>
                                <w:p w14:paraId="6485905E">
                                  <w:pPr>
                                    <w:jc w:val="center"/>
                                    <w:rPr>
                                      <w:b/>
                                      <w:bCs/>
                                      <w:color w:val="000000" w:themeColor="text1"/>
                                      <w14:textFill>
                                        <w14:solidFill>
                                          <w14:schemeClr w14:val="tx1"/>
                                        </w14:solidFill>
                                      </w14:textFill>
                                    </w:rPr>
                                  </w:pPr>
                                </w:p>
                                <w:p w14:paraId="73005C9B">
                                  <w:pPr>
                                    <w:jc w:val="center"/>
                                    <w:rPr>
                                      <w:b/>
                                      <w:bCs/>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9.45pt;margin-top:485.6pt;height:58.35pt;width:273.15pt;z-index:251672576;v-text-anchor:middle;mso-width-relative:page;mso-height-relative:page;" fillcolor="#FFFFFF [3212]" filled="t" stroked="t" coordsize="21600,21600" arcsize="0.166666666666667" o:gfxdata="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MuTWWfaAAAADAEAAA8AAAAAAAAAAQAgAAAAIgAAAGRycy9k&#10;b3ducmV2LnhtbFBLAQIUABQAAAAIAIdO4kCQo4cKqwIAADoFAAAOAAAAAAAAAAEAIAAAACkBAABk&#10;cnMvZTJvRG9jLnhtbFBLBQYAAAAABgAGAFkBAABGBgAAAAA=&#10;">
                      <v:fill on="t" focussize="0,0"/>
                      <v:stroke weight="1pt" color="#2E54A1 [2404]" miterlimit="8" joinstyle="miter"/>
                      <v:imagedata o:title=""/>
                      <o:lock v:ext="edit" aspectratio="f"/>
                      <v:textbox>
                        <w:txbxContent>
                          <w:p w14:paraId="779B290B">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6灵敏度分析与干预模拟</w:t>
                            </w:r>
                          </w:p>
                          <w:p w14:paraId="16828B93">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进行局部和全局灵敏度分析，识别影响传播的关键参数</w:t>
                            </w:r>
                          </w:p>
                          <w:p w14:paraId="2931548E">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比较灭蚊、环境治理、病例管理等情景，提出防控建议</w:t>
                            </w:r>
                          </w:p>
                          <w:p w14:paraId="6485905E">
                            <w:pPr>
                              <w:jc w:val="center"/>
                              <w:rPr>
                                <w:b/>
                                <w:bCs/>
                                <w:color w:val="000000" w:themeColor="text1"/>
                                <w14:textFill>
                                  <w14:solidFill>
                                    <w14:schemeClr w14:val="tx1"/>
                                  </w14:solidFill>
                                </w14:textFill>
                              </w:rPr>
                            </w:pPr>
                          </w:p>
                          <w:p w14:paraId="73005C9B">
                            <w:pPr>
                              <w:jc w:val="center"/>
                              <w:rPr>
                                <w:b/>
                                <w:bCs/>
                                <w:color w:val="000000" w:themeColor="text1"/>
                                <w14:textFill>
                                  <w14:solidFill>
                                    <w14:schemeClr w14:val="tx1"/>
                                  </w14:solidFill>
                                </w14:textFill>
                              </w:rPr>
                            </w:pPr>
                          </w:p>
                        </w:txbxContent>
                      </v:textbox>
                    </v:roundrect>
                  </w:pict>
                </mc:Fallback>
              </mc:AlternateContent>
            </w:r>
            <w:r>
              <w:rPr>
                <w:rFonts w:ascii="宋体" w:hAnsi="宋体" w:cs="宋体"/>
                <w:sz w:val="21"/>
                <w:szCs w:val="21"/>
              </w:rPr>
              <mc:AlternateContent>
                <mc:Choice Requires="wps">
                  <w:drawing>
                    <wp:anchor distT="0" distB="0" distL="114300" distR="114300" simplePos="0" relativeHeight="251673600" behindDoc="0" locked="0" layoutInCell="1" allowOverlap="1">
                      <wp:simplePos x="0" y="0"/>
                      <wp:positionH relativeFrom="column">
                        <wp:posOffset>2437765</wp:posOffset>
                      </wp:positionH>
                      <wp:positionV relativeFrom="paragraph">
                        <wp:posOffset>5932170</wp:posOffset>
                      </wp:positionV>
                      <wp:extent cx="154305" cy="245745"/>
                      <wp:effectExtent l="15240" t="6350" r="20955" b="14605"/>
                      <wp:wrapNone/>
                      <wp:docPr id="47" name="下箭头 47"/>
                      <wp:cNvGraphicFramePr/>
                      <a:graphic xmlns:a="http://schemas.openxmlformats.org/drawingml/2006/main">
                        <a:graphicData uri="http://schemas.microsoft.com/office/word/2010/wordprocessingShape">
                          <wps:wsp>
                            <wps:cNvSpPr/>
                            <wps:spPr>
                              <a:xfrm>
                                <a:off x="0" y="0"/>
                                <a:ext cx="154305" cy="245745"/>
                              </a:xfrm>
                              <a:prstGeom prst="downArrow">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1.95pt;margin-top:467.1pt;height:19.35pt;width:12.15pt;z-index:251673600;v-text-anchor:middle;mso-width-relative:page;mso-height-relative:page;" fillcolor="#FFFFFF [3212]" filled="t" stroked="t" coordsize="21600,21600" o:gfxdata="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HjUVjvaAAAA&#10;CwEAAA8AAAAAAAAAAQAgAAAAIgAAAGRycy9kb3ducmV2LnhtbFBLAQIUABQAAAAIAIdO4kB6ywpy&#10;jQIAAB8FAAAOAAAAAAAAAAEAIAAAACkBAABkcnMvZTJvRG9jLnhtbFBLBQYAAAAABgAGAFkBAAAo&#10;BgAAAAA=&#10;" adj="14819,5400">
                      <v:fill on="t" focussize="0,0"/>
                      <v:stroke weight="1pt" color="#2E54A1 [2404]" miterlimit="8" joinstyle="miter"/>
                      <v:imagedata o:title=""/>
                      <o:lock v:ext="edit" aspectratio="f"/>
                    </v:shape>
                  </w:pict>
                </mc:Fallback>
              </mc:AlternateContent>
            </w:r>
          </w:p>
          <w:p w14:paraId="25CA7719">
            <w:pPr>
              <w:pStyle w:val="8"/>
              <w:widowControl/>
              <w:jc w:val="both"/>
              <w:rPr>
                <w:rFonts w:ascii="宋体" w:hAnsi="宋体" w:cs="宋体"/>
                <w:sz w:val="21"/>
                <w:szCs w:val="21"/>
              </w:rPr>
            </w:pPr>
            <w:r>
              <w:rPr>
                <w:rFonts w:ascii="宋体" w:hAnsi="宋体" w:cs="宋体"/>
                <w:sz w:val="21"/>
                <w:szCs w:val="21"/>
              </w:rPr>
              <mc:AlternateContent>
                <mc:Choice Requires="wps">
                  <w:drawing>
                    <wp:anchor distT="0" distB="0" distL="114300" distR="114300" simplePos="0" relativeHeight="251668480" behindDoc="0" locked="0" layoutInCell="1" allowOverlap="1">
                      <wp:simplePos x="0" y="0"/>
                      <wp:positionH relativeFrom="column">
                        <wp:posOffset>180975</wp:posOffset>
                      </wp:positionH>
                      <wp:positionV relativeFrom="paragraph">
                        <wp:posOffset>231140</wp:posOffset>
                      </wp:positionV>
                      <wp:extent cx="9525" cy="4905375"/>
                      <wp:effectExtent l="6350" t="0" r="12700" b="0"/>
                      <wp:wrapNone/>
                      <wp:docPr id="53" name="直接连接符 53"/>
                      <wp:cNvGraphicFramePr/>
                      <a:graphic xmlns:a="http://schemas.openxmlformats.org/drawingml/2006/main">
                        <a:graphicData uri="http://schemas.microsoft.com/office/word/2010/wordprocessingShape">
                          <wps:wsp>
                            <wps:cNvCnPr/>
                            <wps:spPr>
                              <a:xfrm>
                                <a:off x="1820545" y="2533015"/>
                                <a:ext cx="9525" cy="49053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25pt;margin-top:18.2pt;height:386.25pt;width:0.75pt;z-index:251668480;mso-width-relative:page;mso-height-relative:page;" filled="f" stroked="t" coordsize="21600,21600" o:gfxdata="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3csvVAAAACAEAAA8AAAAAAAAAAQAgAAAAIgAAAGRycy9kb3ducmV2Lnht&#10;bFBLAQIUABQAAAAIAIdO4kBafH2n/AEAAMMDAAAOAAAAAAAAAAEAIAAAACQBAABkcnMvZTJvRG9j&#10;LnhtbFBLBQYAAAAABgAGAFkBAACSBQAAAAA=&#10;">
                      <v:fill on="f" focussize="0,0"/>
                      <v:stroke weight="1pt" color="#4874CB [3204]" miterlimit="8" joinstyle="miter"/>
                      <v:imagedata o:title=""/>
                      <o:lock v:ext="edit" aspectratio="f"/>
                    </v:lin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186690</wp:posOffset>
                      </wp:positionH>
                      <wp:positionV relativeFrom="paragraph">
                        <wp:posOffset>242570</wp:posOffset>
                      </wp:positionV>
                      <wp:extent cx="1309370" cy="5715"/>
                      <wp:effectExtent l="0" t="6350" r="5080" b="6985"/>
                      <wp:wrapNone/>
                      <wp:docPr id="3" name="直接连接符 3"/>
                      <wp:cNvGraphicFramePr/>
                      <a:graphic xmlns:a="http://schemas.openxmlformats.org/drawingml/2006/main">
                        <a:graphicData uri="http://schemas.microsoft.com/office/word/2010/wordprocessingShape">
                          <wps:wsp>
                            <wps:cNvCnPr/>
                            <wps:spPr>
                              <a:xfrm>
                                <a:off x="1249045" y="2306320"/>
                                <a:ext cx="1309370" cy="57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7pt;margin-top:19.1pt;height:0.45pt;width:103.1pt;z-index:251674624;mso-width-relative:page;mso-height-relative:page;" filled="f" stroked="t" coordsize="21600,21600" o:gfxdata="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BprqY1gAAAAgBAAAPAAAAAAAAAAEAIAAAACIAAABkcnMvZG93bnJldi54bWxQ&#10;SwECFAAUAAAACACHTuJAHScutfkBAADBAwAADgAAAAAAAAABACAAAAAlAQAAZHJzL2Uyb0RvYy54&#10;bWxQSwUGAAAAAAYABgBZAQAAkAUAAAAA&#10;">
                      <v:fill on="f" focussize="0,0"/>
                      <v:stroke weight="1pt" color="#4874CB [3204]" miterlimit="8" joinstyle="miter"/>
                      <v:imagedata o:title=""/>
                      <o:lock v:ext="edit" aspectratio="f"/>
                    </v:line>
                  </w:pict>
                </mc:Fallback>
              </mc:AlternateContent>
            </w:r>
          </w:p>
          <w:p w14:paraId="25CA771A">
            <w:pPr>
              <w:pStyle w:val="8"/>
              <w:widowControl/>
              <w:jc w:val="both"/>
              <w:rPr>
                <w:rFonts w:ascii="宋体" w:hAnsi="宋体" w:cs="宋体"/>
                <w:sz w:val="21"/>
                <w:szCs w:val="21"/>
              </w:rPr>
            </w:pPr>
          </w:p>
          <w:p w14:paraId="25CA771B">
            <w:pPr>
              <w:pStyle w:val="3"/>
              <w:widowControl/>
              <w:jc w:val="both"/>
              <w:rPr>
                <w:rFonts w:hint="default"/>
                <w:sz w:val="21"/>
                <w:szCs w:val="21"/>
              </w:rPr>
            </w:pPr>
          </w:p>
          <w:p w14:paraId="25CA771C">
            <w:pPr>
              <w:rPr>
                <w:rFonts w:ascii="宋体" w:hAnsi="宋体" w:cs="宋体"/>
                <w:szCs w:val="21"/>
              </w:rPr>
            </w:pPr>
          </w:p>
          <w:p w14:paraId="25CA771D">
            <w:pPr>
              <w:rPr>
                <w:rFonts w:ascii="宋体" w:hAnsi="宋体" w:cs="宋体"/>
                <w:szCs w:val="21"/>
              </w:rPr>
            </w:pPr>
          </w:p>
          <w:p w14:paraId="25CA771E">
            <w:pPr>
              <w:rPr>
                <w:rFonts w:ascii="宋体" w:hAnsi="宋体" w:cs="宋体"/>
                <w:szCs w:val="21"/>
              </w:rPr>
            </w:pPr>
          </w:p>
          <w:p w14:paraId="25CA771F">
            <w:pPr>
              <w:rPr>
                <w:rFonts w:ascii="宋体" w:hAnsi="宋体" w:cs="宋体"/>
                <w:szCs w:val="21"/>
              </w:rPr>
            </w:pPr>
          </w:p>
          <w:p w14:paraId="25CA7720">
            <w:pPr>
              <w:rPr>
                <w:rFonts w:ascii="宋体" w:hAnsi="宋体" w:cs="宋体"/>
                <w:szCs w:val="21"/>
              </w:rPr>
            </w:pPr>
          </w:p>
          <w:p w14:paraId="25CA7721">
            <w:pPr>
              <w:rPr>
                <w:rFonts w:ascii="宋体" w:hAnsi="宋体" w:cs="宋体"/>
                <w:szCs w:val="21"/>
              </w:rPr>
            </w:pPr>
          </w:p>
          <w:p w14:paraId="25CA7722">
            <w:pPr>
              <w:rPr>
                <w:rFonts w:ascii="宋体" w:hAnsi="宋体" w:cs="宋体"/>
                <w:szCs w:val="21"/>
              </w:rPr>
            </w:pPr>
          </w:p>
          <w:p w14:paraId="03A34CD4">
            <w:pPr>
              <w:ind w:firstLine="2700" w:firstLineChars="1800"/>
              <w:rPr>
                <w:rFonts w:ascii="宋体" w:hAnsi="宋体" w:cs="宋体"/>
                <w:sz w:val="15"/>
                <w:szCs w:val="15"/>
              </w:rPr>
            </w:pPr>
          </w:p>
          <w:p w14:paraId="33DFA6A2">
            <w:pPr>
              <w:ind w:firstLine="2700" w:firstLineChars="1800"/>
              <w:rPr>
                <w:rFonts w:ascii="宋体" w:hAnsi="宋体" w:cs="宋体"/>
                <w:sz w:val="15"/>
                <w:szCs w:val="15"/>
              </w:rPr>
            </w:pPr>
          </w:p>
          <w:p w14:paraId="2CADCC6C">
            <w:pPr>
              <w:ind w:firstLine="2700" w:firstLineChars="1800"/>
              <w:rPr>
                <w:rFonts w:ascii="宋体" w:hAnsi="宋体" w:cs="宋体"/>
                <w:sz w:val="15"/>
                <w:szCs w:val="15"/>
              </w:rPr>
            </w:pPr>
          </w:p>
          <w:p w14:paraId="5A486F7D">
            <w:pPr>
              <w:ind w:firstLine="2700" w:firstLineChars="1800"/>
              <w:rPr>
                <w:rFonts w:ascii="宋体" w:hAnsi="宋体" w:cs="宋体"/>
                <w:sz w:val="15"/>
                <w:szCs w:val="15"/>
              </w:rPr>
            </w:pPr>
          </w:p>
          <w:p w14:paraId="2E17E7F5">
            <w:pPr>
              <w:ind w:firstLine="2700" w:firstLineChars="1800"/>
              <w:rPr>
                <w:rFonts w:ascii="宋体" w:hAnsi="宋体" w:cs="宋体"/>
                <w:sz w:val="15"/>
                <w:szCs w:val="15"/>
              </w:rPr>
            </w:pPr>
          </w:p>
          <w:p w14:paraId="38F59F7C">
            <w:pPr>
              <w:ind w:firstLine="2700" w:firstLineChars="1800"/>
              <w:rPr>
                <w:rFonts w:ascii="宋体" w:hAnsi="宋体" w:cs="宋体"/>
                <w:sz w:val="15"/>
                <w:szCs w:val="15"/>
              </w:rPr>
            </w:pPr>
          </w:p>
          <w:p w14:paraId="4CFA47DD">
            <w:pPr>
              <w:ind w:firstLine="2700" w:firstLineChars="1800"/>
              <w:rPr>
                <w:rFonts w:ascii="宋体" w:hAnsi="宋体" w:cs="宋体"/>
                <w:sz w:val="15"/>
                <w:szCs w:val="15"/>
              </w:rPr>
            </w:pPr>
          </w:p>
          <w:p w14:paraId="005B9374">
            <w:pPr>
              <w:ind w:firstLine="2700" w:firstLineChars="1800"/>
              <w:rPr>
                <w:rFonts w:ascii="宋体" w:hAnsi="宋体" w:cs="宋体"/>
                <w:sz w:val="15"/>
                <w:szCs w:val="15"/>
              </w:rPr>
            </w:pPr>
          </w:p>
          <w:p w14:paraId="7AE89EBA">
            <w:pPr>
              <w:ind w:firstLine="2700" w:firstLineChars="1800"/>
              <w:rPr>
                <w:rFonts w:ascii="宋体" w:hAnsi="宋体" w:cs="宋体"/>
                <w:sz w:val="15"/>
                <w:szCs w:val="15"/>
              </w:rPr>
            </w:pPr>
          </w:p>
          <w:p w14:paraId="27A1631D">
            <w:pPr>
              <w:ind w:firstLine="2700" w:firstLineChars="1800"/>
              <w:rPr>
                <w:rFonts w:ascii="宋体" w:hAnsi="宋体" w:cs="宋体"/>
                <w:sz w:val="15"/>
                <w:szCs w:val="15"/>
              </w:rPr>
            </w:pPr>
          </w:p>
          <w:p w14:paraId="19A63253">
            <w:pPr>
              <w:ind w:firstLine="2700" w:firstLineChars="1800"/>
              <w:rPr>
                <w:rFonts w:ascii="宋体" w:hAnsi="宋体" w:cs="宋体"/>
                <w:sz w:val="15"/>
                <w:szCs w:val="15"/>
              </w:rPr>
            </w:pPr>
          </w:p>
          <w:p w14:paraId="53BA6155">
            <w:pPr>
              <w:ind w:firstLine="2700" w:firstLineChars="1800"/>
              <w:rPr>
                <w:rFonts w:ascii="宋体" w:hAnsi="宋体" w:cs="宋体"/>
                <w:sz w:val="15"/>
                <w:szCs w:val="15"/>
              </w:rPr>
            </w:pPr>
          </w:p>
          <w:p w14:paraId="74A85727">
            <w:pPr>
              <w:ind w:firstLine="2700" w:firstLineChars="1800"/>
              <w:rPr>
                <w:rFonts w:ascii="宋体" w:hAnsi="宋体" w:cs="宋体"/>
                <w:sz w:val="15"/>
                <w:szCs w:val="15"/>
              </w:rPr>
            </w:pPr>
          </w:p>
          <w:p w14:paraId="0470EC06">
            <w:pPr>
              <w:ind w:firstLine="2700" w:firstLineChars="1800"/>
              <w:rPr>
                <w:rFonts w:ascii="宋体" w:hAnsi="宋体" w:cs="宋体"/>
                <w:sz w:val="15"/>
                <w:szCs w:val="15"/>
              </w:rPr>
            </w:pPr>
            <w:r>
              <w:rPr>
                <w:sz w:val="15"/>
              </w:rPr>
              <mc:AlternateContent>
                <mc:Choice Requires="wps">
                  <w:drawing>
                    <wp:anchor distT="0" distB="0" distL="114300" distR="114300" simplePos="0" relativeHeight="251675648" behindDoc="0" locked="0" layoutInCell="1" allowOverlap="1">
                      <wp:simplePos x="0" y="0"/>
                      <wp:positionH relativeFrom="column">
                        <wp:posOffset>198120</wp:posOffset>
                      </wp:positionH>
                      <wp:positionV relativeFrom="paragraph">
                        <wp:posOffset>45720</wp:posOffset>
                      </wp:positionV>
                      <wp:extent cx="498475" cy="5715"/>
                      <wp:effectExtent l="0" t="46355" r="6350" b="52705"/>
                      <wp:wrapNone/>
                      <wp:docPr id="4" name="直接箭头连接符 4"/>
                      <wp:cNvGraphicFramePr/>
                      <a:graphic xmlns:a="http://schemas.openxmlformats.org/drawingml/2006/main">
                        <a:graphicData uri="http://schemas.microsoft.com/office/word/2010/wordprocessingShape">
                          <wps:wsp>
                            <wps:cNvCnPr/>
                            <wps:spPr>
                              <a:xfrm>
                                <a:off x="1260475" y="7477125"/>
                                <a:ext cx="498475" cy="5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6pt;margin-top:3.6pt;height:0.45pt;width:39.25pt;z-index:251675648;mso-width-relative:page;mso-height-relative:page;" filled="f" stroked="t" coordsize="21600,21600" o:gfxdata="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vp3971AAAAAYBAAAPAAAAAAAA&#10;AAEAIAAAACIAAABkcnMvZG93bnJldi54bWxQSwECFAAUAAAACACHTuJA7e1FHxYCAADtAwAADgAA&#10;AAAAAAABACAAAAAjAQAAZHJzL2Uyb0RvYy54bWxQSwUGAAAAAAYABgBZAQAAqwUAAAAA&#10;">
                      <v:fill on="f" focussize="0,0"/>
                      <v:stroke weight="1pt" color="#4874CB [3204]" miterlimit="8" joinstyle="miter" endarrow="open"/>
                      <v:imagedata o:title=""/>
                      <o:lock v:ext="edit" aspectratio="f"/>
                    </v:shape>
                  </w:pict>
                </mc:Fallback>
              </mc:AlternateContent>
            </w:r>
          </w:p>
          <w:p w14:paraId="6324DA87">
            <w:pPr>
              <w:ind w:firstLine="2700" w:firstLineChars="1800"/>
              <w:rPr>
                <w:rFonts w:ascii="宋体" w:hAnsi="宋体" w:cs="宋体"/>
                <w:sz w:val="15"/>
                <w:szCs w:val="15"/>
              </w:rPr>
            </w:pPr>
          </w:p>
          <w:p w14:paraId="160B6FBC">
            <w:pPr>
              <w:ind w:firstLine="2700" w:firstLineChars="1800"/>
              <w:rPr>
                <w:rFonts w:ascii="宋体" w:hAnsi="宋体" w:cs="宋体"/>
                <w:sz w:val="15"/>
                <w:szCs w:val="15"/>
              </w:rPr>
            </w:pPr>
          </w:p>
          <w:p w14:paraId="1F54B634">
            <w:pPr>
              <w:ind w:firstLine="2700" w:firstLineChars="1800"/>
              <w:rPr>
                <w:rFonts w:ascii="宋体" w:hAnsi="宋体" w:cs="宋体"/>
                <w:sz w:val="15"/>
                <w:szCs w:val="15"/>
              </w:rPr>
            </w:pPr>
          </w:p>
          <w:p w14:paraId="69DC96EC">
            <w:pPr>
              <w:ind w:firstLine="2700" w:firstLineChars="1800"/>
              <w:rPr>
                <w:rFonts w:ascii="宋体" w:hAnsi="宋体" w:cs="宋体"/>
                <w:sz w:val="15"/>
                <w:szCs w:val="15"/>
              </w:rPr>
            </w:pPr>
          </w:p>
          <w:p w14:paraId="0A023493">
            <w:pPr>
              <w:ind w:firstLine="2700" w:firstLineChars="1800"/>
              <w:rPr>
                <w:rFonts w:ascii="宋体" w:hAnsi="宋体" w:cs="宋体"/>
                <w:sz w:val="15"/>
                <w:szCs w:val="15"/>
              </w:rPr>
            </w:pPr>
          </w:p>
          <w:p w14:paraId="0CFBCCF7">
            <w:pPr>
              <w:rPr>
                <w:rFonts w:hint="eastAsia" w:ascii="宋体" w:hAnsi="宋体" w:cs="宋体"/>
                <w:sz w:val="15"/>
                <w:szCs w:val="15"/>
              </w:rPr>
            </w:pPr>
          </w:p>
          <w:p w14:paraId="2540C47B">
            <w:pPr>
              <w:spacing w:after="156" w:afterLines="50"/>
              <w:jc w:val="center"/>
              <w:rPr>
                <w:rFonts w:ascii="宋体" w:hAnsi="宋体" w:cs="宋体"/>
                <w:sz w:val="18"/>
                <w:szCs w:val="15"/>
              </w:rPr>
            </w:pPr>
            <w:r>
              <w:rPr>
                <w:rFonts w:hint="eastAsia" w:ascii="宋体" w:hAnsi="宋体" w:cs="宋体"/>
                <w:sz w:val="18"/>
                <w:szCs w:val="15"/>
              </w:rPr>
              <w:t>图一.</w:t>
            </w:r>
            <w:r>
              <w:rPr>
                <w:rFonts w:ascii="宋体" w:hAnsi="宋体" w:cs="宋体"/>
                <w:sz w:val="18"/>
                <w:szCs w:val="15"/>
              </w:rPr>
              <w:t xml:space="preserve"> 基孔肯雅热</w:t>
            </w:r>
            <w:r>
              <w:rPr>
                <w:rFonts w:hint="eastAsia" w:ascii="宋体" w:hAnsi="宋体" w:cs="宋体"/>
                <w:sz w:val="18"/>
                <w:szCs w:val="15"/>
              </w:rPr>
              <w:t>传染病技术路线与研究流程图</w:t>
            </w:r>
          </w:p>
          <w:p w14:paraId="568D8DBF">
            <w:pPr>
              <w:ind w:firstLine="2700" w:firstLineChars="1800"/>
              <w:rPr>
                <w:rFonts w:ascii="宋体" w:hAnsi="宋体" w:cs="宋体"/>
                <w:sz w:val="15"/>
                <w:szCs w:val="15"/>
              </w:rPr>
            </w:pPr>
          </w:p>
          <w:p w14:paraId="0D8708F2">
            <w:pPr>
              <w:rPr>
                <w:rFonts w:ascii="宋体" w:hAnsi="宋体" w:cs="宋体"/>
                <w:sz w:val="15"/>
                <w:szCs w:val="15"/>
              </w:rPr>
            </w:pPr>
          </w:p>
          <w:p w14:paraId="227DFFEC">
            <w:pPr>
              <w:rPr>
                <w:rFonts w:hint="eastAsia" w:ascii="宋体" w:hAnsi="宋体" w:cs="宋体"/>
                <w:sz w:val="15"/>
                <w:szCs w:val="15"/>
              </w:rPr>
            </w:pPr>
          </w:p>
          <w:p w14:paraId="25CA7724">
            <w:pPr>
              <w:spacing w:line="360" w:lineRule="auto"/>
              <w:ind w:firstLine="420" w:firstLineChars="200"/>
              <w:rPr>
                <w:rFonts w:cs="宋体"/>
                <w:szCs w:val="21"/>
              </w:rPr>
            </w:pPr>
            <w:r>
              <w:rPr>
                <w:rFonts w:cs="宋体"/>
                <w:szCs w:val="21"/>
              </w:rPr>
              <w:t>为模拟基孔肯雅病毒“人→蚊→人”的完整传播循环，本研究构建了一个确定性仓室模型。模型将相互作用的</w:t>
            </w:r>
            <w:r>
              <w:rPr>
                <w:rFonts w:cs="宋体"/>
                <w:b/>
                <w:bCs/>
                <w:szCs w:val="21"/>
              </w:rPr>
              <w:t>人群</w:t>
            </w:r>
            <w:r>
              <w:rPr>
                <w:rFonts w:cs="宋体"/>
                <w:szCs w:val="21"/>
              </w:rPr>
              <w:t>与</w:t>
            </w:r>
            <w:r>
              <w:rPr>
                <w:rFonts w:cs="宋体"/>
                <w:b/>
                <w:bCs/>
                <w:szCs w:val="21"/>
              </w:rPr>
              <w:t>蚊媒</w:t>
            </w:r>
            <w:r>
              <w:rPr>
                <w:rFonts w:cs="宋体"/>
                <w:szCs w:val="21"/>
              </w:rPr>
              <w:t>视为两个耦合的子系统，并依据各自的流行病学状态（对人群）或生命周期阶段（对蚊媒）进一步细分。</w:t>
            </w:r>
          </w:p>
          <w:p w14:paraId="25CA7725">
            <w:pPr>
              <w:spacing w:line="360" w:lineRule="auto"/>
              <w:ind w:firstLine="200"/>
              <w:rPr>
                <w:rFonts w:cs="宋体"/>
                <w:szCs w:val="21"/>
              </w:rPr>
            </w:pPr>
            <w:r>
              <w:rPr>
                <w:rFonts w:hint="eastAsia" w:cs="宋体"/>
                <w:b/>
                <w:bCs/>
                <w:szCs w:val="21"/>
              </w:rPr>
              <w:t>1.</w:t>
            </w:r>
            <w:r>
              <w:rPr>
                <w:rFonts w:cs="宋体"/>
                <w:b/>
                <w:bCs/>
                <w:szCs w:val="21"/>
              </w:rPr>
              <w:t>人群子系统划分</w:t>
            </w:r>
            <w:r>
              <w:rPr>
                <w:rFonts w:cs="宋体"/>
                <w:szCs w:val="21"/>
              </w:rPr>
              <w:t>：</w:t>
            </w:r>
          </w:p>
          <w:p w14:paraId="25CA7726">
            <w:pPr>
              <w:spacing w:line="360" w:lineRule="auto"/>
              <w:ind w:firstLine="420" w:firstLineChars="200"/>
              <w:rPr>
                <w:rFonts w:cs="宋体"/>
                <w:szCs w:val="21"/>
              </w:rPr>
            </w:pPr>
            <w:r>
              <w:rPr>
                <w:rFonts w:cs="宋体"/>
                <w:szCs w:val="21"/>
              </w:rPr>
              <w:t>参考经典的传染病动力学框架，我们将研究区域内的人群个体划分为</w:t>
            </w:r>
            <w:r>
              <w:rPr>
                <w:rFonts w:hint="eastAsia" w:cs="宋体"/>
                <w:szCs w:val="21"/>
              </w:rPr>
              <w:t>四</w:t>
            </w:r>
            <w:r>
              <w:rPr>
                <w:rFonts w:cs="宋体"/>
                <w:szCs w:val="21"/>
              </w:rPr>
              <w:t>个相互独立的仓室，其状态转移反映了疾病发展的自然史：</w:t>
            </w:r>
          </w:p>
          <w:p w14:paraId="25CA7727">
            <w:pPr>
              <w:spacing w:line="360" w:lineRule="auto"/>
              <w:ind w:firstLine="422" w:firstLineChars="200"/>
              <w:rPr>
                <w:rFonts w:cs="宋体"/>
                <w:szCs w:val="21"/>
              </w:rPr>
            </w:pPr>
            <w:r>
              <w:rPr>
                <w:rFonts w:cs="宋体"/>
                <w:b/>
                <w:bCs/>
                <w:szCs w:val="21"/>
              </w:rPr>
              <w:t>易感者 (S)</w:t>
            </w:r>
            <w:r>
              <w:rPr>
                <w:rFonts w:cs="宋体"/>
                <w:szCs w:val="21"/>
              </w:rPr>
              <w:t>：未感染病毒且无免疫力的个体。</w:t>
            </w:r>
          </w:p>
          <w:p w14:paraId="25CA7728">
            <w:pPr>
              <w:spacing w:line="360" w:lineRule="auto"/>
              <w:ind w:firstLine="422" w:firstLineChars="200"/>
              <w:rPr>
                <w:rFonts w:cs="宋体"/>
                <w:szCs w:val="21"/>
              </w:rPr>
            </w:pPr>
            <w:r>
              <w:rPr>
                <w:rFonts w:cs="宋体"/>
                <w:b/>
                <w:bCs/>
                <w:szCs w:val="21"/>
              </w:rPr>
              <w:t>潜伏者 (E)</w:t>
            </w:r>
            <w:r>
              <w:rPr>
                <w:rFonts w:cs="宋体"/>
                <w:szCs w:val="21"/>
              </w:rPr>
              <w:t>：已被感染但处于病毒潜伏期内，尚未具备传染性的个体。</w:t>
            </w:r>
          </w:p>
          <w:p w14:paraId="25CA7729">
            <w:pPr>
              <w:spacing w:line="360" w:lineRule="auto"/>
              <w:ind w:firstLine="422" w:firstLineChars="200"/>
              <w:rPr>
                <w:rFonts w:cs="宋体"/>
                <w:szCs w:val="21"/>
              </w:rPr>
            </w:pPr>
            <w:r>
              <w:rPr>
                <w:rFonts w:cs="宋体"/>
                <w:b/>
                <w:bCs/>
                <w:szCs w:val="21"/>
              </w:rPr>
              <w:t>感染者 (I)</w:t>
            </w:r>
            <w:r>
              <w:rPr>
                <w:rFonts w:cs="宋体"/>
                <w:szCs w:val="21"/>
              </w:rPr>
              <w:t>：出现典型临床症状（如高热、关节痛），并具有传染性的个体。</w:t>
            </w:r>
          </w:p>
          <w:p w14:paraId="25CA772A">
            <w:pPr>
              <w:spacing w:line="360" w:lineRule="auto"/>
              <w:ind w:firstLine="422" w:firstLineChars="200"/>
              <w:rPr>
                <w:rFonts w:cs="宋体"/>
                <w:szCs w:val="21"/>
              </w:rPr>
            </w:pPr>
            <w:r>
              <w:rPr>
                <w:rFonts w:cs="宋体"/>
                <w:b/>
                <w:bCs/>
                <w:szCs w:val="21"/>
              </w:rPr>
              <w:t>康复者 (R)</w:t>
            </w:r>
            <w:r>
              <w:rPr>
                <w:rFonts w:cs="宋体"/>
                <w:szCs w:val="21"/>
              </w:rPr>
              <w:t>：从感染中恢复，并假定在一定时期内具有完全免疫力的个体。</w:t>
            </w:r>
          </w:p>
          <w:p w14:paraId="25CA772B">
            <w:pPr>
              <w:spacing w:line="360" w:lineRule="auto"/>
              <w:ind w:firstLine="422" w:firstLineChars="200"/>
              <w:rPr>
                <w:rFonts w:cs="宋体"/>
                <w:szCs w:val="21"/>
              </w:rPr>
            </w:pPr>
            <w:r>
              <w:rPr>
                <w:rFonts w:hint="eastAsia" w:cs="宋体"/>
                <w:b/>
                <w:bCs/>
                <w:szCs w:val="21"/>
              </w:rPr>
              <w:t>2.</w:t>
            </w:r>
            <w:r>
              <w:rPr>
                <w:rFonts w:cs="宋体"/>
                <w:b/>
                <w:bCs/>
                <w:szCs w:val="21"/>
              </w:rPr>
              <w:t>蚊媒子系统划分</w:t>
            </w:r>
            <w:r>
              <w:rPr>
                <w:rFonts w:cs="宋体"/>
                <w:szCs w:val="21"/>
              </w:rPr>
              <w:t>：</w:t>
            </w:r>
          </w:p>
          <w:p w14:paraId="25CA772C">
            <w:pPr>
              <w:spacing w:line="360" w:lineRule="auto"/>
              <w:ind w:firstLine="420" w:firstLineChars="200"/>
              <w:rPr>
                <w:rFonts w:cs="宋体"/>
                <w:szCs w:val="21"/>
              </w:rPr>
            </w:pPr>
            <w:r>
              <w:rPr>
                <w:rFonts w:cs="宋体"/>
                <w:szCs w:val="21"/>
              </w:rPr>
              <w:t>针对主要传播媒介（如埃及伊蚊和白纹伊蚊），我们将其种群划分为三个仓室，以刻画病毒在蚊体内的进程：</w:t>
            </w:r>
          </w:p>
          <w:p w14:paraId="25CA772D">
            <w:pPr>
              <w:spacing w:line="360" w:lineRule="auto"/>
              <w:ind w:firstLine="422" w:firstLineChars="200"/>
              <w:rPr>
                <w:rFonts w:cs="宋体"/>
                <w:szCs w:val="21"/>
              </w:rPr>
            </w:pPr>
            <w:r>
              <w:rPr>
                <w:rFonts w:cs="宋体"/>
                <w:b/>
                <w:bCs/>
                <w:szCs w:val="21"/>
              </w:rPr>
              <w:t>易感蚊 (X)</w:t>
            </w:r>
            <w:r>
              <w:rPr>
                <w:rFonts w:cs="宋体"/>
                <w:szCs w:val="21"/>
              </w:rPr>
              <w:t>：未携带病毒的雌性成蚊。</w:t>
            </w:r>
          </w:p>
          <w:p w14:paraId="25CA772E">
            <w:pPr>
              <w:spacing w:line="360" w:lineRule="auto"/>
              <w:ind w:firstLine="422" w:firstLineChars="200"/>
              <w:rPr>
                <w:rFonts w:cs="宋体"/>
                <w:szCs w:val="21"/>
              </w:rPr>
            </w:pPr>
            <w:r>
              <w:rPr>
                <w:rFonts w:cs="宋体"/>
                <w:b/>
                <w:bCs/>
                <w:szCs w:val="21"/>
              </w:rPr>
              <w:t>潜伏期蚊 (Y)</w:t>
            </w:r>
            <w:r>
              <w:rPr>
                <w:rFonts w:cs="宋体"/>
                <w:szCs w:val="21"/>
              </w:rPr>
              <w:t>：已通过吸血摄入病毒，但病毒尚未完成外潜伏期（Extrinsic Incubation Period, EIP）而移至唾液腺，故不具备传播能力的蚊虫。</w:t>
            </w:r>
          </w:p>
          <w:p w14:paraId="25CA772F">
            <w:pPr>
              <w:spacing w:line="360" w:lineRule="auto"/>
              <w:ind w:firstLine="422" w:firstLineChars="200"/>
              <w:rPr>
                <w:rFonts w:cs="宋体"/>
                <w:szCs w:val="21"/>
              </w:rPr>
            </w:pPr>
            <w:r>
              <w:rPr>
                <w:rFonts w:cs="宋体"/>
                <w:b/>
                <w:bCs/>
                <w:szCs w:val="21"/>
              </w:rPr>
              <w:t>感染性蚊 (Z)</w:t>
            </w:r>
            <w:r>
              <w:rPr>
                <w:rFonts w:cs="宋体"/>
                <w:szCs w:val="21"/>
              </w:rPr>
              <w:t>：病毒已完成外潜伏期，可通过叮咬将病毒传染给易感人群的蚊虫。</w:t>
            </w:r>
          </w:p>
          <w:p w14:paraId="25CA7730">
            <w:pPr>
              <w:spacing w:line="360" w:lineRule="auto"/>
              <w:ind w:firstLine="422" w:firstLineChars="200"/>
              <w:rPr>
                <w:rFonts w:cs="宋体"/>
                <w:szCs w:val="21"/>
              </w:rPr>
            </w:pPr>
            <w:r>
              <w:rPr>
                <w:rFonts w:cs="宋体"/>
                <w:b/>
                <w:bCs/>
                <w:szCs w:val="21"/>
              </w:rPr>
              <w:t>耦合机制</w:t>
            </w:r>
            <w:r>
              <w:rPr>
                <w:rFonts w:cs="宋体"/>
                <w:szCs w:val="21"/>
              </w:rPr>
              <w:t>：两个子系统通过两类接触事件动态耦合：</w:t>
            </w:r>
            <w:r>
              <w:rPr>
                <w:rFonts w:hint="eastAsia" w:cs="宋体"/>
                <w:szCs w:val="21"/>
              </w:rPr>
              <w:t>①</w:t>
            </w:r>
            <w:r>
              <w:rPr>
                <w:szCs w:val="21"/>
              </w:rPr>
              <w:t xml:space="preserve"> </w:t>
            </w:r>
            <w:r>
              <w:rPr>
                <w:rFonts w:cs="宋体"/>
                <w:szCs w:val="21"/>
              </w:rPr>
              <w:t>感染性蚊（Z）叮咬易感者（S），导致后者进入潜伏状态（E）；</w:t>
            </w:r>
            <w:r>
              <w:rPr>
                <w:rFonts w:hint="eastAsia" w:cs="宋体"/>
                <w:szCs w:val="21"/>
              </w:rPr>
              <w:t>②</w:t>
            </w:r>
            <w:r>
              <w:rPr>
                <w:rFonts w:cs="宋体"/>
                <w:szCs w:val="21"/>
              </w:rPr>
              <w:t xml:space="preserve"> 易感蚊（X）叮咬感染者（I），从而摄入病毒进入潜伏状态（Y）。这种双向互动构成了疾病持续传播的反馈回路。</w:t>
            </w:r>
          </w:p>
          <w:p w14:paraId="25CA7731">
            <w:pPr>
              <w:spacing w:line="360" w:lineRule="auto"/>
              <w:ind w:firstLine="420" w:firstLineChars="200"/>
              <w:rPr>
                <w:rFonts w:cs="宋体"/>
                <w:szCs w:val="21"/>
              </w:rPr>
            </w:pPr>
            <w:r>
              <w:rPr>
                <w:rFonts w:cs="宋体"/>
                <w:szCs w:val="21"/>
              </w:rPr>
              <w:t>此“SEIR+XYZ”的耦合仓室结构，为本研究后续建立微分方程系统、量化分析传播动力学及评估控制措施效果，提供了清晰且符合生物学原理的概念框架。</w:t>
            </w:r>
          </w:p>
          <w:p w14:paraId="25CA7732">
            <w:pPr>
              <w:spacing w:line="360" w:lineRule="auto"/>
              <w:ind w:firstLine="420" w:firstLineChars="200"/>
              <w:rPr>
                <w:rFonts w:cs="宋体"/>
                <w:szCs w:val="21"/>
              </w:rPr>
            </w:pPr>
            <w:r>
              <w:rPr>
                <w:rFonts w:cs="宋体"/>
                <w:szCs w:val="21"/>
              </w:rPr>
              <w:t>在明确上述</w:t>
            </w:r>
            <w:r>
              <w:rPr>
                <w:rFonts w:hint="eastAsia" w:cs="宋体"/>
                <w:szCs w:val="21"/>
              </w:rPr>
              <w:t>仓室</w:t>
            </w:r>
            <w:r>
              <w:rPr>
                <w:rFonts w:cs="宋体"/>
                <w:szCs w:val="21"/>
              </w:rPr>
              <w:t>构</w:t>
            </w:r>
            <w:r>
              <w:rPr>
                <w:rFonts w:hint="eastAsia" w:cs="宋体"/>
                <w:szCs w:val="21"/>
              </w:rPr>
              <w:t>建</w:t>
            </w:r>
            <w:r>
              <w:rPr>
                <w:rFonts w:cs="宋体"/>
                <w:szCs w:val="21"/>
              </w:rPr>
              <w:t>与传播路径的基础上，本研究采用基于质量作用定律的确定性框架，构建一组常微分方程组来量化描述基孔肯雅病毒在人群与蚊媒耦合系统中的动态传播过程。</w:t>
            </w:r>
          </w:p>
          <w:p w14:paraId="25CA7733">
            <w:pPr>
              <w:spacing w:line="360" w:lineRule="auto"/>
              <w:ind w:firstLine="200"/>
              <w:rPr>
                <w:rFonts w:cs="宋体"/>
                <w:szCs w:val="21"/>
              </w:rPr>
            </w:pPr>
            <w:r>
              <w:rPr>
                <w:rFonts w:cs="宋体"/>
                <w:szCs w:val="21"/>
              </w:rPr>
              <w:t>模型的建立遵循以下核心原则：</w:t>
            </w:r>
          </w:p>
          <w:p w14:paraId="25CA7734">
            <w:pPr>
              <w:spacing w:line="360" w:lineRule="auto"/>
              <w:ind w:firstLine="200"/>
              <w:rPr>
                <w:rFonts w:cs="宋体"/>
                <w:szCs w:val="21"/>
              </w:rPr>
            </w:pPr>
            <w:r>
              <w:rPr>
                <w:szCs w:val="21"/>
              </w:rPr>
              <w:t>1.</w:t>
            </w:r>
            <w:r>
              <w:rPr>
                <w:rFonts w:cs="宋体"/>
                <w:b/>
                <w:bCs/>
                <w:szCs w:val="21"/>
              </w:rPr>
              <w:t>流守恒与连续性</w:t>
            </w:r>
            <w:r>
              <w:rPr>
                <w:rFonts w:cs="宋体"/>
                <w:szCs w:val="21"/>
              </w:rPr>
              <w:t>：每个舱室个体数量的变化率，等于所有流入该舱室的转移速率之和，</w:t>
            </w:r>
          </w:p>
          <w:p w14:paraId="25CA7735">
            <w:pPr>
              <w:spacing w:line="360" w:lineRule="auto"/>
              <w:ind w:firstLine="200"/>
              <w:rPr>
                <w:rFonts w:cs="宋体"/>
                <w:szCs w:val="21"/>
              </w:rPr>
            </w:pPr>
            <w:r>
              <w:rPr>
                <w:rFonts w:cs="宋体"/>
                <w:szCs w:val="21"/>
              </w:rPr>
              <w:t>减去所有流出该舱室的转移速率之和。</w:t>
            </w:r>
          </w:p>
          <w:p w14:paraId="25CA7736">
            <w:pPr>
              <w:spacing w:line="360" w:lineRule="auto"/>
              <w:ind w:firstLine="200"/>
              <w:rPr>
                <w:rFonts w:cs="宋体"/>
                <w:szCs w:val="21"/>
              </w:rPr>
            </w:pPr>
            <w:r>
              <w:rPr>
                <w:szCs w:val="21"/>
              </w:rPr>
              <w:t>2.</w:t>
            </w:r>
            <w:r>
              <w:rPr>
                <w:rFonts w:cs="宋体"/>
                <w:b/>
                <w:bCs/>
                <w:szCs w:val="21"/>
              </w:rPr>
              <w:t>双线性传染项</w:t>
            </w:r>
            <w:r>
              <w:rPr>
                <w:rFonts w:cs="宋体"/>
                <w:szCs w:val="21"/>
              </w:rPr>
              <w:t>：新感染事件的发生率（即易感者被感染的速率）假定与易感个体数</w:t>
            </w:r>
          </w:p>
          <w:p w14:paraId="25CA7737">
            <w:pPr>
              <w:spacing w:line="360" w:lineRule="auto"/>
              <w:ind w:firstLine="200"/>
              <w:rPr>
                <w:rFonts w:cs="宋体"/>
                <w:szCs w:val="21"/>
              </w:rPr>
            </w:pPr>
            <w:r>
              <w:rPr>
                <w:rFonts w:cs="宋体"/>
                <w:szCs w:val="21"/>
              </w:rPr>
              <w:t>（</w:t>
            </w:r>
            <m:oMath>
              <m:r>
                <m:rPr/>
                <w:rPr>
                  <w:rFonts w:ascii="Cambria Math" w:hAnsi="Cambria Math" w:cs="宋体"/>
                  <w:szCs w:val="21"/>
                </w:rPr>
                <m:t>S</m:t>
              </m:r>
            </m:oMath>
            <w:r>
              <w:rPr>
                <w:rFonts w:hint="eastAsia" w:cs="宋体"/>
                <w:szCs w:val="21"/>
              </w:rPr>
              <w:t>或</w:t>
            </w:r>
            <m:oMath>
              <m:r>
                <m:rPr/>
                <w:rPr>
                  <w:rFonts w:ascii="Cambria Math" w:hAnsi="Cambria Math" w:cs="宋体"/>
                  <w:szCs w:val="21"/>
                </w:rPr>
                <m:t>X</m:t>
              </m:r>
            </m:oMath>
            <w:r>
              <w:rPr>
                <w:rFonts w:cs="宋体"/>
                <w:szCs w:val="21"/>
              </w:rPr>
              <w:t>）和感染性个体数量（</w:t>
            </w:r>
            <m:oMath>
              <m:r>
                <m:rPr/>
                <w:rPr>
                  <w:rFonts w:ascii="Cambria Math" w:hAnsi="Cambria Math" w:cs="宋体"/>
                  <w:szCs w:val="21"/>
                </w:rPr>
                <m:t>I,Z</m:t>
              </m:r>
            </m:oMath>
            <w:r>
              <w:rPr>
                <w:rFonts w:cs="宋体"/>
                <w:szCs w:val="21"/>
              </w:rPr>
              <w:t>）的乘积成正比，比例系数即为相应的传染率参数（</w:t>
            </w:r>
            <w:r>
              <w:rPr>
                <w:rStyle w:val="16"/>
                <w:rFonts w:hint="eastAsia"/>
              </w:rPr>
              <w:t>蚊子到</w:t>
            </w:r>
            <w:r>
              <w:rPr>
                <w:rFonts w:hint="eastAsia" w:cs="宋体"/>
                <w:szCs w:val="21"/>
              </w:rPr>
              <w:t>人的传染率</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oMath>
            <w:r>
              <w:rPr>
                <w:rFonts w:hint="eastAsia"/>
              </w:rPr>
              <w:t>人到蚊子的传染率</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w:t>
            </w:r>
            <w:r>
              <w:rPr>
                <w:rFonts w:cs="宋体"/>
                <w:szCs w:val="21"/>
              </w:rPr>
              <w:t>这一设定体现了传播接触的随机碰撞机制。</w:t>
            </w:r>
          </w:p>
          <w:p w14:paraId="25CA7738">
            <w:pPr>
              <w:spacing w:line="360" w:lineRule="auto"/>
              <w:ind w:firstLine="420" w:firstLineChars="200"/>
              <w:rPr>
                <w:szCs w:val="21"/>
              </w:rPr>
            </w:pPr>
            <w:r>
              <w:rPr>
                <w:szCs w:val="21"/>
              </w:rPr>
              <w:t>综上，该耦合ODE系统完整刻画了病毒在“人→蚊→人”循环中的核心动力学过程。模型参数均具有明确的生物学意义，其估计将基于流行病学数据与文献调研，从而确保模型能够用于模拟疫情趋势、评估干预措施效果等后续研究目标。</w:t>
            </w:r>
          </w:p>
          <w:p w14:paraId="25CA7743">
            <w:pPr>
              <w:rPr>
                <w:szCs w:val="21"/>
              </w:rPr>
            </w:pPr>
          </w:p>
          <w:p w14:paraId="25CA7744">
            <w:pPr>
              <w:pStyle w:val="3"/>
              <w:widowControl/>
              <w:numPr>
                <w:ilvl w:val="0"/>
                <w:numId w:val="3"/>
              </w:numPr>
              <w:spacing w:beforeAutospacing="0" w:afterAutospacing="0" w:line="360" w:lineRule="auto"/>
              <w:jc w:val="both"/>
              <w:rPr>
                <w:rFonts w:hint="default" w:cs="宋体"/>
                <w:sz w:val="21"/>
                <w:szCs w:val="21"/>
              </w:rPr>
            </w:pPr>
            <w:r>
              <w:rPr>
                <w:rFonts w:cs="宋体"/>
                <w:sz w:val="21"/>
                <w:szCs w:val="21"/>
              </w:rPr>
              <w:t>行动方案及进度安排</w:t>
            </w:r>
          </w:p>
          <w:p w14:paraId="25CA7745">
            <w:pPr>
              <w:spacing w:line="360" w:lineRule="auto"/>
              <w:ind w:firstLine="420" w:firstLineChars="200"/>
              <w:rPr>
                <w:rFonts w:cs="宋体"/>
                <w:kern w:val="0"/>
                <w:szCs w:val="21"/>
                <w:lang w:bidi="ar"/>
              </w:rPr>
            </w:pPr>
            <w:r>
              <w:rPr>
                <w:rFonts w:hint="eastAsia"/>
              </w:rPr>
              <w:t>2026年5月:</w:t>
            </w:r>
            <w:r>
              <w:rPr>
                <w:rFonts w:hint="eastAsia" w:cs="宋体"/>
                <w:kern w:val="0"/>
                <w:szCs w:val="21"/>
                <w:lang w:bidi="ar"/>
              </w:rPr>
              <w:t>开展文献调研，查阅数据来源、传染病动力学模型及相关研究方法；明确项目研究目标、技术路线与总体方案；初步收集巴西基孔肯雅热病例数据和气候数据及相关背景资料,</w:t>
            </w:r>
          </w:p>
          <w:p w14:paraId="25CA7746">
            <w:pPr>
              <w:spacing w:line="360" w:lineRule="auto"/>
              <w:ind w:firstLine="420" w:firstLineChars="200"/>
              <w:rPr>
                <w:rFonts w:cs="宋体"/>
                <w:kern w:val="0"/>
                <w:szCs w:val="21"/>
                <w:lang w:bidi="ar"/>
              </w:rPr>
            </w:pPr>
            <w:r>
              <w:rPr>
                <w:rFonts w:hint="eastAsia" w:cs="宋体"/>
                <w:kern w:val="0"/>
                <w:szCs w:val="21"/>
                <w:lang w:bidi="ar"/>
              </w:rPr>
              <w:t>完成文献综述初稿，明确项目研究框架与技术路线，完成基础数据来源整理。</w:t>
            </w:r>
          </w:p>
          <w:p w14:paraId="25CA7747">
            <w:pPr>
              <w:spacing w:line="360" w:lineRule="auto"/>
              <w:ind w:firstLine="420" w:firstLineChars="200"/>
              <w:rPr>
                <w:rFonts w:cs="宋体"/>
                <w:kern w:val="0"/>
                <w:szCs w:val="21"/>
                <w:lang w:bidi="ar"/>
              </w:rPr>
            </w:pPr>
            <w:r>
              <w:rPr>
                <w:kern w:val="0"/>
                <w:szCs w:val="21"/>
                <w:lang w:bidi="ar"/>
              </w:rPr>
              <w:t>2026</w:t>
            </w:r>
            <w:r>
              <w:rPr>
                <w:rFonts w:hint="eastAsia" w:cs="宋体"/>
                <w:kern w:val="0"/>
                <w:szCs w:val="21"/>
                <w:lang w:bidi="ar"/>
              </w:rPr>
              <w:t>年</w:t>
            </w:r>
            <w:r>
              <w:rPr>
                <w:kern w:val="0"/>
                <w:szCs w:val="21"/>
                <w:lang w:bidi="ar"/>
              </w:rPr>
              <w:t>6</w:t>
            </w:r>
            <w:r>
              <w:rPr>
                <w:rFonts w:hint="eastAsia" w:cs="宋体"/>
                <w:kern w:val="0"/>
                <w:szCs w:val="21"/>
                <w:lang w:bidi="ar"/>
              </w:rPr>
              <w:t>月-</w:t>
            </w:r>
            <w:r>
              <w:rPr>
                <w:kern w:val="0"/>
                <w:szCs w:val="21"/>
                <w:lang w:bidi="ar"/>
              </w:rPr>
              <w:t>7</w:t>
            </w:r>
            <w:r>
              <w:rPr>
                <w:rFonts w:hint="eastAsia" w:cs="宋体"/>
                <w:kern w:val="0"/>
                <w:szCs w:val="21"/>
                <w:lang w:bidi="ar"/>
              </w:rPr>
              <w:t>月:对数据及相关资料进行清洗、整理和描述性分析；结合疾病传播机理，构建人群—媒介传染病动力学模型，完成模型假设、变量定义和方程建立；同步开展数值求解程序的初步编写,建立项目基础数据库，完成模型初稿和程序初步实现。</w:t>
            </w:r>
          </w:p>
          <w:p w14:paraId="25CA7748">
            <w:pPr>
              <w:spacing w:line="360" w:lineRule="auto"/>
              <w:ind w:firstLine="420" w:firstLineChars="200"/>
              <w:rPr>
                <w:rFonts w:cs="宋体"/>
                <w:kern w:val="0"/>
                <w:szCs w:val="21"/>
                <w:lang w:bidi="ar"/>
              </w:rPr>
            </w:pPr>
            <w:r>
              <w:rPr>
                <w:kern w:val="0"/>
                <w:szCs w:val="21"/>
                <w:lang w:bidi="ar"/>
              </w:rPr>
              <w:t>2026</w:t>
            </w:r>
            <w:r>
              <w:rPr>
                <w:rFonts w:hint="eastAsia" w:cs="宋体"/>
                <w:kern w:val="0"/>
                <w:szCs w:val="21"/>
                <w:lang w:bidi="ar"/>
              </w:rPr>
              <w:t>年</w:t>
            </w:r>
            <w:r>
              <w:rPr>
                <w:kern w:val="0"/>
                <w:szCs w:val="21"/>
                <w:lang w:bidi="ar"/>
              </w:rPr>
              <w:t>8</w:t>
            </w:r>
            <w:r>
              <w:rPr>
                <w:rFonts w:hint="eastAsia" w:cs="宋体"/>
                <w:kern w:val="0"/>
                <w:szCs w:val="21"/>
                <w:lang w:bidi="ar"/>
              </w:rPr>
              <w:t>月-</w:t>
            </w:r>
            <w:r>
              <w:rPr>
                <w:kern w:val="0"/>
                <w:szCs w:val="21"/>
                <w:lang w:bidi="ar"/>
              </w:rPr>
              <w:t>9</w:t>
            </w:r>
            <w:r>
              <w:rPr>
                <w:rFonts w:hint="eastAsia" w:cs="宋体"/>
                <w:kern w:val="0"/>
                <w:szCs w:val="21"/>
                <w:lang w:bidi="ar"/>
              </w:rPr>
              <w:t>月：对构建模型进行数学推导与参数估计，完成关键参数拟合、数值模拟、灵敏度分析及短期预测；结合实际数据对模型结果进行检验和修正。</w:t>
            </w:r>
          </w:p>
          <w:p w14:paraId="25CA7749">
            <w:pPr>
              <w:spacing w:line="360" w:lineRule="auto"/>
              <w:ind w:firstLine="420" w:firstLineChars="200"/>
              <w:rPr>
                <w:rFonts w:cs="宋体"/>
                <w:kern w:val="0"/>
                <w:szCs w:val="21"/>
                <w:lang w:bidi="ar"/>
              </w:rPr>
            </w:pPr>
            <w:r>
              <w:rPr>
                <w:kern w:val="0"/>
                <w:szCs w:val="21"/>
                <w:lang w:bidi="ar"/>
              </w:rPr>
              <w:t>2026</w:t>
            </w:r>
            <w:r>
              <w:rPr>
                <w:rFonts w:hint="eastAsia" w:cs="宋体"/>
                <w:kern w:val="0"/>
                <w:szCs w:val="21"/>
                <w:lang w:bidi="ar"/>
              </w:rPr>
              <w:t>年</w:t>
            </w:r>
            <w:r>
              <w:rPr>
                <w:kern w:val="0"/>
                <w:szCs w:val="21"/>
                <w:lang w:bidi="ar"/>
              </w:rPr>
              <w:t>10</w:t>
            </w:r>
            <w:r>
              <w:rPr>
                <w:rFonts w:hint="eastAsia" w:cs="宋体"/>
                <w:kern w:val="0"/>
                <w:szCs w:val="21"/>
                <w:lang w:bidi="ar"/>
              </w:rPr>
              <w:t>月-</w:t>
            </w:r>
            <w:r>
              <w:rPr>
                <w:kern w:val="0"/>
                <w:szCs w:val="21"/>
                <w:lang w:bidi="ar"/>
              </w:rPr>
              <w:t>11</w:t>
            </w:r>
            <w:r>
              <w:rPr>
                <w:rFonts w:hint="eastAsia" w:cs="宋体"/>
                <w:kern w:val="0"/>
                <w:szCs w:val="21"/>
                <w:lang w:bidi="ar"/>
              </w:rPr>
              <w:t>月：</w:t>
            </w:r>
            <w:r>
              <w:rPr>
                <w:rFonts w:cs="宋体"/>
                <w:szCs w:val="21"/>
              </w:rPr>
              <w:t>尝试引入温度、降雨等环境变量，构建气候敏感扩展模型并进行比较分析</w:t>
            </w:r>
            <w:r>
              <w:rPr>
                <w:rFonts w:hint="eastAsia" w:cs="宋体"/>
                <w:szCs w:val="21"/>
              </w:rPr>
              <w:t>，</w:t>
            </w:r>
            <w:r>
              <w:rPr>
                <w:rFonts w:hint="eastAsia" w:cs="宋体"/>
                <w:kern w:val="0"/>
                <w:szCs w:val="21"/>
                <w:lang w:bidi="ar"/>
              </w:rPr>
              <w:t>基本实现项目预期研究目标。</w:t>
            </w:r>
          </w:p>
          <w:p w14:paraId="25CA774A">
            <w:pPr>
              <w:spacing w:line="360" w:lineRule="auto"/>
              <w:ind w:firstLine="420" w:firstLineChars="200"/>
              <w:rPr>
                <w:rFonts w:cs="宋体"/>
                <w:kern w:val="0"/>
                <w:szCs w:val="21"/>
                <w:lang w:bidi="ar"/>
              </w:rPr>
            </w:pPr>
            <w:r>
              <w:rPr>
                <w:kern w:val="0"/>
                <w:szCs w:val="21"/>
                <w:lang w:bidi="ar"/>
              </w:rPr>
              <w:t>2026</w:t>
            </w:r>
            <w:r>
              <w:rPr>
                <w:rFonts w:hint="eastAsia" w:cs="宋体"/>
                <w:kern w:val="0"/>
                <w:szCs w:val="21"/>
                <w:lang w:bidi="ar"/>
              </w:rPr>
              <w:t>年</w:t>
            </w:r>
            <w:r>
              <w:rPr>
                <w:kern w:val="0"/>
                <w:szCs w:val="21"/>
                <w:lang w:bidi="ar"/>
              </w:rPr>
              <w:t>12</w:t>
            </w:r>
            <w:r>
              <w:rPr>
                <w:rFonts w:hint="eastAsia" w:cs="宋体"/>
                <w:kern w:val="0"/>
                <w:szCs w:val="21"/>
                <w:lang w:bidi="ar"/>
              </w:rPr>
              <w:t>月：在前期研究基础上，完善图表和文字分析，完成论文主题的撰写工作。</w:t>
            </w:r>
          </w:p>
          <w:p w14:paraId="25CA774B">
            <w:pPr>
              <w:spacing w:line="360" w:lineRule="auto"/>
              <w:ind w:firstLine="420" w:firstLineChars="200"/>
              <w:rPr>
                <w:rFonts w:cs="宋体"/>
                <w:kern w:val="0"/>
                <w:szCs w:val="21"/>
                <w:lang w:bidi="ar"/>
              </w:rPr>
            </w:pPr>
            <w:r>
              <w:rPr>
                <w:kern w:val="0"/>
                <w:szCs w:val="21"/>
                <w:lang w:bidi="ar"/>
              </w:rPr>
              <w:t>2027</w:t>
            </w:r>
            <w:r>
              <w:rPr>
                <w:rFonts w:hint="eastAsia" w:cs="宋体"/>
                <w:kern w:val="0"/>
                <w:szCs w:val="21"/>
                <w:lang w:bidi="ar"/>
              </w:rPr>
              <w:t>年</w:t>
            </w:r>
            <w:r>
              <w:rPr>
                <w:kern w:val="0"/>
                <w:szCs w:val="21"/>
                <w:lang w:bidi="ar"/>
              </w:rPr>
              <w:t>1</w:t>
            </w:r>
            <w:r>
              <w:rPr>
                <w:rFonts w:hint="eastAsia" w:cs="宋体"/>
                <w:kern w:val="0"/>
                <w:szCs w:val="21"/>
                <w:lang w:bidi="ar"/>
              </w:rPr>
              <w:t>月-</w:t>
            </w:r>
            <w:r>
              <w:rPr>
                <w:kern w:val="0"/>
                <w:szCs w:val="21"/>
                <w:lang w:bidi="ar"/>
              </w:rPr>
              <w:t>3</w:t>
            </w:r>
            <w:r>
              <w:rPr>
                <w:rFonts w:hint="eastAsia" w:cs="宋体"/>
                <w:kern w:val="0"/>
                <w:szCs w:val="21"/>
                <w:lang w:bidi="ar"/>
              </w:rPr>
              <w:t>月:撰写并修改项目研究报告,准备后期检查、结题答辩及后续投稿相关工作,形成较完整的项目成果。</w:t>
            </w:r>
          </w:p>
          <w:p w14:paraId="25CA774C">
            <w:pPr>
              <w:pStyle w:val="3"/>
              <w:widowControl/>
              <w:jc w:val="both"/>
              <w:rPr>
                <w:rFonts w:hint="default"/>
                <w:sz w:val="21"/>
                <w:szCs w:val="21"/>
              </w:rPr>
            </w:pPr>
            <w:r>
              <w:rPr>
                <w:rFonts w:cs="宋体"/>
                <w:sz w:val="21"/>
                <w:szCs w:val="21"/>
              </w:rPr>
              <w:t>（四）人员分工与具体任务</w:t>
            </w:r>
          </w:p>
          <w:tbl>
            <w:tblPr>
              <w:tblStyle w:val="10"/>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0"/>
              <w:gridCol w:w="1775"/>
              <w:gridCol w:w="5254"/>
            </w:tblGrid>
            <w:tr w14:paraId="25CA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835" w:type="dxa"/>
                  <w:vAlign w:val="center"/>
                </w:tcPr>
                <w:p w14:paraId="25CA774D">
                  <w:pPr>
                    <w:widowControl/>
                    <w:jc w:val="center"/>
                    <w:rPr>
                      <w:b/>
                      <w:bCs/>
                      <w:color w:val="000000" w:themeColor="text1"/>
                      <w:szCs w:val="21"/>
                      <w14:textFill>
                        <w14:solidFill>
                          <w14:schemeClr w14:val="tx1"/>
                        </w14:solidFill>
                      </w14:textFill>
                    </w:rPr>
                  </w:pPr>
                  <w:r>
                    <w:rPr>
                      <w:rFonts w:cs="宋体"/>
                      <w:b/>
                      <w:bCs/>
                      <w:color w:val="000000" w:themeColor="text1"/>
                      <w:kern w:val="0"/>
                      <w:szCs w:val="21"/>
                      <w:lang w:bidi="ar"/>
                      <w14:textFill>
                        <w14:solidFill>
                          <w14:schemeClr w14:val="tx1"/>
                        </w14:solidFill>
                      </w14:textFill>
                    </w:rPr>
                    <w:t>成员</w:t>
                  </w:r>
                </w:p>
              </w:tc>
              <w:tc>
                <w:tcPr>
                  <w:tcW w:w="1745" w:type="dxa"/>
                  <w:vAlign w:val="center"/>
                </w:tcPr>
                <w:p w14:paraId="25CA774E">
                  <w:pPr>
                    <w:widowControl/>
                    <w:jc w:val="center"/>
                    <w:rPr>
                      <w:b/>
                      <w:bCs/>
                      <w:szCs w:val="21"/>
                    </w:rPr>
                  </w:pPr>
                  <w:r>
                    <w:rPr>
                      <w:rFonts w:cs="宋体"/>
                      <w:b/>
                      <w:bCs/>
                      <w:kern w:val="0"/>
                      <w:szCs w:val="21"/>
                      <w:lang w:bidi="ar"/>
                    </w:rPr>
                    <w:t>主要分工</w:t>
                  </w:r>
                </w:p>
              </w:tc>
              <w:tc>
                <w:tcPr>
                  <w:tcW w:w="5209" w:type="dxa"/>
                  <w:vAlign w:val="center"/>
                </w:tcPr>
                <w:p w14:paraId="25CA774F">
                  <w:pPr>
                    <w:widowControl/>
                    <w:jc w:val="center"/>
                    <w:rPr>
                      <w:b/>
                      <w:bCs/>
                      <w:szCs w:val="21"/>
                    </w:rPr>
                  </w:pPr>
                  <w:r>
                    <w:rPr>
                      <w:rFonts w:cs="宋体"/>
                      <w:b/>
                      <w:bCs/>
                      <w:kern w:val="0"/>
                      <w:szCs w:val="21"/>
                      <w:lang w:bidi="ar"/>
                    </w:rPr>
                    <w:t>具体任务</w:t>
                  </w:r>
                </w:p>
              </w:tc>
            </w:tr>
            <w:tr w14:paraId="25CA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835" w:type="dxa"/>
                  <w:vAlign w:val="center"/>
                </w:tcPr>
                <w:p w14:paraId="25CA7751">
                  <w:pPr>
                    <w:widowControl/>
                    <w:jc w:val="center"/>
                    <w:rPr>
                      <w:szCs w:val="21"/>
                    </w:rPr>
                  </w:pPr>
                  <w:r>
                    <w:rPr>
                      <w:rFonts w:hint="eastAsia"/>
                      <w:szCs w:val="21"/>
                    </w:rPr>
                    <w:t>王志灏</w:t>
                  </w:r>
                </w:p>
              </w:tc>
              <w:tc>
                <w:tcPr>
                  <w:tcW w:w="1745" w:type="dxa"/>
                  <w:vAlign w:val="center"/>
                </w:tcPr>
                <w:p w14:paraId="25CA7752">
                  <w:pPr>
                    <w:widowControl/>
                    <w:jc w:val="center"/>
                    <w:rPr>
                      <w:szCs w:val="21"/>
                    </w:rPr>
                  </w:pPr>
                  <w:r>
                    <w:rPr>
                      <w:rFonts w:hint="eastAsia" w:cs="宋体"/>
                      <w:kern w:val="0"/>
                      <w:szCs w:val="21"/>
                      <w:lang w:bidi="ar"/>
                    </w:rPr>
                    <w:t>模型构建</w:t>
                  </w:r>
                  <w:r>
                    <w:rPr>
                      <w:rFonts w:cs="宋体"/>
                      <w:kern w:val="0"/>
                      <w:szCs w:val="21"/>
                      <w:lang w:bidi="ar"/>
                    </w:rPr>
                    <w:t>、理论分析、论文写作</w:t>
                  </w:r>
                </w:p>
              </w:tc>
              <w:tc>
                <w:tcPr>
                  <w:tcW w:w="5209" w:type="dxa"/>
                  <w:vAlign w:val="center"/>
                </w:tcPr>
                <w:p w14:paraId="25CA7753">
                  <w:pPr>
                    <w:widowControl/>
                    <w:jc w:val="center"/>
                    <w:rPr>
                      <w:szCs w:val="21"/>
                    </w:rPr>
                  </w:pPr>
                  <w:r>
                    <w:rPr>
                      <w:rFonts w:cs="宋体"/>
                      <w:kern w:val="0"/>
                      <w:szCs w:val="21"/>
                      <w:lang w:bidi="ar"/>
                    </w:rPr>
                    <w:t>负责项目总体设计、研究路线制定、模型假设与数学推导、阶段总结、论文统稿及结题汇报</w:t>
                  </w:r>
                </w:p>
              </w:tc>
            </w:tr>
            <w:tr w14:paraId="25CA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835" w:type="dxa"/>
                  <w:vAlign w:val="center"/>
                </w:tcPr>
                <w:p w14:paraId="25CA7755">
                  <w:pPr>
                    <w:widowControl/>
                    <w:jc w:val="center"/>
                    <w:rPr>
                      <w:szCs w:val="21"/>
                    </w:rPr>
                  </w:pPr>
                  <w:r>
                    <w:rPr>
                      <w:rFonts w:hint="eastAsia"/>
                      <w:szCs w:val="21"/>
                    </w:rPr>
                    <w:t>袁伟</w:t>
                  </w:r>
                </w:p>
              </w:tc>
              <w:tc>
                <w:tcPr>
                  <w:tcW w:w="1745" w:type="dxa"/>
                  <w:vAlign w:val="center"/>
                </w:tcPr>
                <w:p w14:paraId="25CA7756">
                  <w:pPr>
                    <w:widowControl/>
                    <w:jc w:val="center"/>
                    <w:rPr>
                      <w:szCs w:val="21"/>
                    </w:rPr>
                  </w:pPr>
                  <w:r>
                    <w:rPr>
                      <w:rFonts w:cs="宋体"/>
                      <w:kern w:val="0"/>
                      <w:szCs w:val="21"/>
                      <w:lang w:bidi="ar"/>
                    </w:rPr>
                    <w:t>文献整理、数据处理</w:t>
                  </w:r>
                </w:p>
              </w:tc>
              <w:tc>
                <w:tcPr>
                  <w:tcW w:w="5209" w:type="dxa"/>
                  <w:vAlign w:val="center"/>
                </w:tcPr>
                <w:p w14:paraId="25CA7757">
                  <w:pPr>
                    <w:widowControl/>
                    <w:jc w:val="center"/>
                    <w:rPr>
                      <w:szCs w:val="21"/>
                    </w:rPr>
                  </w:pPr>
                  <w:r>
                    <w:rPr>
                      <w:rFonts w:cs="宋体"/>
                      <w:kern w:val="0"/>
                      <w:szCs w:val="21"/>
                      <w:lang w:bidi="ar"/>
                    </w:rPr>
                    <w:t>负责查阅和整理相关文献，收集巴西基孔肯雅热病例数据及相关资料，完成数据清洗与基础分析</w:t>
                  </w:r>
                </w:p>
              </w:tc>
            </w:tr>
            <w:tr w14:paraId="25CA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835" w:type="dxa"/>
                  <w:vAlign w:val="center"/>
                </w:tcPr>
                <w:p w14:paraId="25CA7759">
                  <w:pPr>
                    <w:widowControl/>
                    <w:jc w:val="center"/>
                    <w:rPr>
                      <w:szCs w:val="21"/>
                    </w:rPr>
                  </w:pPr>
                  <w:r>
                    <w:rPr>
                      <w:rFonts w:hint="eastAsia"/>
                      <w:szCs w:val="21"/>
                    </w:rPr>
                    <w:t>朱志柯</w:t>
                  </w:r>
                </w:p>
              </w:tc>
              <w:tc>
                <w:tcPr>
                  <w:tcW w:w="1745" w:type="dxa"/>
                  <w:vAlign w:val="center"/>
                </w:tcPr>
                <w:p w14:paraId="25CA775A">
                  <w:pPr>
                    <w:widowControl/>
                    <w:jc w:val="center"/>
                    <w:rPr>
                      <w:szCs w:val="21"/>
                    </w:rPr>
                  </w:pPr>
                  <w:r>
                    <w:rPr>
                      <w:rFonts w:cs="宋体"/>
                      <w:kern w:val="0"/>
                      <w:szCs w:val="21"/>
                      <w:lang w:bidi="ar"/>
                    </w:rPr>
                    <w:t>程序实现、数值模拟</w:t>
                  </w:r>
                </w:p>
              </w:tc>
              <w:tc>
                <w:tcPr>
                  <w:tcW w:w="5209" w:type="dxa"/>
                  <w:vAlign w:val="center"/>
                </w:tcPr>
                <w:p w14:paraId="25CA775B">
                  <w:pPr>
                    <w:widowControl/>
                    <w:jc w:val="center"/>
                    <w:rPr>
                      <w:szCs w:val="21"/>
                    </w:rPr>
                  </w:pPr>
                  <w:r>
                    <w:rPr>
                      <w:rFonts w:cs="宋体"/>
                      <w:kern w:val="0"/>
                      <w:szCs w:val="21"/>
                      <w:lang w:bidi="ar"/>
                    </w:rPr>
                    <w:t>负责模型求解程序编写、参数估计、数值模拟、图表绘制及结果整理</w:t>
                  </w:r>
                </w:p>
              </w:tc>
            </w:tr>
            <w:tr w14:paraId="25CA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835" w:type="dxa"/>
                  <w:vAlign w:val="center"/>
                </w:tcPr>
                <w:p w14:paraId="25CA775D">
                  <w:pPr>
                    <w:widowControl/>
                    <w:jc w:val="center"/>
                    <w:rPr>
                      <w:szCs w:val="21"/>
                    </w:rPr>
                  </w:pPr>
                  <w:r>
                    <w:rPr>
                      <w:rFonts w:hint="eastAsia"/>
                      <w:szCs w:val="21"/>
                    </w:rPr>
                    <w:t>梁梦真</w:t>
                  </w:r>
                </w:p>
              </w:tc>
              <w:tc>
                <w:tcPr>
                  <w:tcW w:w="1745" w:type="dxa"/>
                  <w:vAlign w:val="center"/>
                </w:tcPr>
                <w:p w14:paraId="25CA775E">
                  <w:pPr>
                    <w:widowControl/>
                    <w:jc w:val="center"/>
                    <w:rPr>
                      <w:szCs w:val="21"/>
                    </w:rPr>
                  </w:pPr>
                  <w:r>
                    <w:rPr>
                      <w:rFonts w:cs="宋体"/>
                      <w:kern w:val="0"/>
                      <w:szCs w:val="21"/>
                      <w:lang w:bidi="ar"/>
                    </w:rPr>
                    <w:t>背景分析、防控研究、结果解释</w:t>
                  </w:r>
                </w:p>
              </w:tc>
              <w:tc>
                <w:tcPr>
                  <w:tcW w:w="5209" w:type="dxa"/>
                  <w:vAlign w:val="center"/>
                </w:tcPr>
                <w:p w14:paraId="25CA775F">
                  <w:pPr>
                    <w:widowControl/>
                    <w:jc w:val="center"/>
                    <w:rPr>
                      <w:szCs w:val="21"/>
                    </w:rPr>
                  </w:pPr>
                  <w:r>
                    <w:rPr>
                      <w:rFonts w:cs="宋体"/>
                      <w:kern w:val="0"/>
                      <w:szCs w:val="21"/>
                      <w:lang w:bidi="ar"/>
                    </w:rPr>
                    <w:t>负责疾病传播背景、公共卫生防控措施整理，参与模型机理分析，并从公共卫生角度解释研究结果</w:t>
                  </w:r>
                </w:p>
              </w:tc>
            </w:tr>
          </w:tbl>
          <w:p w14:paraId="25CA7761">
            <w:pPr>
              <w:pStyle w:val="3"/>
              <w:widowControl/>
              <w:spacing w:beforeAutospacing="0" w:afterAutospacing="0" w:line="360" w:lineRule="auto"/>
              <w:jc w:val="both"/>
              <w:rPr>
                <w:rFonts w:hint="default"/>
                <w:sz w:val="21"/>
                <w:szCs w:val="21"/>
              </w:rPr>
            </w:pPr>
            <w:r>
              <w:rPr>
                <w:rFonts w:cs="宋体"/>
                <w:sz w:val="21"/>
                <w:szCs w:val="21"/>
              </w:rPr>
              <w:t>（五）预期执行效果</w:t>
            </w:r>
          </w:p>
          <w:p w14:paraId="25CA7762">
            <w:pPr>
              <w:spacing w:line="360" w:lineRule="auto"/>
              <w:ind w:firstLine="420" w:firstLineChars="200"/>
              <w:rPr>
                <w:b/>
              </w:rPr>
            </w:pPr>
            <w:r>
              <w:rPr>
                <w:rFonts w:ascii="宋体" w:hAnsi="宋体" w:cs="宋体"/>
                <w:szCs w:val="21"/>
              </w:rPr>
              <w:t>通过本项目实施，团队预计能够完成一个较为规范的巴西基孔肯雅热动力学建模与预测分析流程，形成“理论分析—数据拟合—短期预测—情景模拟”的完整研究闭环。项目一方面有助于提升团队成员利用数学方法分析真实公共卫生问题的能力，另一方面也有望形成具有一定学术价值和实际解释意义的研究成果。具体预期包括：形成</w:t>
            </w:r>
            <w:r>
              <w:rPr>
                <w:szCs w:val="21"/>
              </w:rPr>
              <w:t>1</w:t>
            </w:r>
            <w:r>
              <w:rPr>
                <w:rFonts w:ascii="宋体" w:hAnsi="宋体" w:cs="宋体"/>
                <w:szCs w:val="21"/>
              </w:rPr>
              <w:t>套宿主—媒介耦合动力学模型，完成</w:t>
            </w:r>
            <w:r>
              <w:rPr>
                <w:szCs w:val="21"/>
              </w:rPr>
              <w:t>1</w:t>
            </w:r>
            <w:r>
              <w:rPr>
                <w:rFonts w:ascii="宋体" w:hAnsi="宋体" w:cs="宋体"/>
                <w:szCs w:val="21"/>
              </w:rPr>
              <w:t>份较完整的研究报告与论文初稿，</w:t>
            </w:r>
            <w:r>
              <w:rPr>
                <w:rFonts w:hint="eastAsia" w:ascii="宋体" w:hAnsi="宋体" w:cs="宋体"/>
                <w:szCs w:val="21"/>
              </w:rPr>
              <w:t>上传</w:t>
            </w:r>
            <w:r>
              <w:rPr>
                <w:szCs w:val="21"/>
              </w:rPr>
              <w:t>1</w:t>
            </w:r>
            <w:r>
              <w:rPr>
                <w:rFonts w:ascii="宋体" w:hAnsi="宋体" w:cs="宋体"/>
                <w:szCs w:val="21"/>
              </w:rPr>
              <w:t>套可复现的数据处理与数值模拟代码，为后续进一步深入研究和成果发表奠定基础。</w:t>
            </w:r>
          </w:p>
        </w:tc>
      </w:tr>
      <w:tr w14:paraId="25CA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8" w:hRule="atLeast"/>
          <w:jc w:val="center"/>
        </w:trPr>
        <w:tc>
          <w:tcPr>
            <w:tcW w:w="8789" w:type="dxa"/>
            <w:gridSpan w:val="2"/>
          </w:tcPr>
          <w:p w14:paraId="25CA7764">
            <w:pPr>
              <w:spacing w:before="156" w:beforeLines="50"/>
              <w:ind w:firstLine="435"/>
              <w:rPr>
                <w:b/>
                <w:szCs w:val="21"/>
              </w:rPr>
            </w:pPr>
            <w:r>
              <w:rPr>
                <w:rFonts w:hint="eastAsia"/>
                <w:b/>
                <w:szCs w:val="21"/>
              </w:rPr>
              <w:t>六、项目成员承诺</w:t>
            </w:r>
          </w:p>
          <w:p w14:paraId="25CA7765">
            <w:pPr>
              <w:spacing w:before="156" w:beforeLines="50"/>
              <w:ind w:firstLine="435"/>
              <w:rPr>
                <w:rFonts w:eastAsia="仿宋_GB2312"/>
                <w:szCs w:val="21"/>
              </w:rPr>
            </w:pPr>
            <w:r>
              <w:rPr>
                <w:rFonts w:hint="eastAsia" w:eastAsia="仿宋_GB2312"/>
                <w:szCs w:val="21"/>
              </w:rPr>
              <w:t>在获得立项后，本人将与项目组成员团结一致，努力做好该项目的研究及实施工作，实现制定的目标。如果因主观原因导致项目执行不力，未达到预期目标，本人与项目组成员愿意承担相应损失，并接受学校相应处理。</w:t>
            </w:r>
          </w:p>
          <w:p w14:paraId="25CA7766">
            <w:pPr>
              <w:spacing w:before="156" w:beforeLines="50"/>
              <w:ind w:firstLine="435"/>
              <w:rPr>
                <w:rFonts w:eastAsia="仿宋_GB2312"/>
                <w:szCs w:val="21"/>
              </w:rPr>
            </w:pPr>
            <w:r>
              <w:rPr>
                <w:rFonts w:hint="eastAsia" w:eastAsia="仿宋_GB2312"/>
                <w:szCs w:val="21"/>
              </w:rPr>
              <w:t>项目全体成员签名：</w:t>
            </w:r>
          </w:p>
          <w:p w14:paraId="25CA7767">
            <w:pPr>
              <w:spacing w:before="156" w:beforeLines="50"/>
              <w:ind w:firstLine="435"/>
              <w:rPr>
                <w:rFonts w:eastAsia="仿宋_GB2312"/>
                <w:szCs w:val="21"/>
                <w:u w:val="single"/>
              </w:rPr>
            </w:pPr>
            <w:r>
              <w:rPr>
                <w:rFonts w:ascii="宋体" w:hAnsi="宋体" w:cs="宋体"/>
                <w:sz w:val="24"/>
                <w:u w:val="single"/>
              </w:rPr>
              <w:drawing>
                <wp:inline distT="0" distB="0" distL="114300" distR="114300">
                  <wp:extent cx="1061085" cy="422275"/>
                  <wp:effectExtent l="0" t="0" r="5715" b="6350"/>
                  <wp:docPr id="3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descr="IMG_256"/>
                          <pic:cNvPicPr>
                            <a:picLocks noChangeAspect="1"/>
                          </pic:cNvPicPr>
                        </pic:nvPicPr>
                        <pic:blipFill>
                          <a:blip r:embed="rId14"/>
                          <a:stretch>
                            <a:fillRect/>
                          </a:stretch>
                        </pic:blipFill>
                        <pic:spPr>
                          <a:xfrm>
                            <a:off x="0" y="0"/>
                            <a:ext cx="1061085" cy="422275"/>
                          </a:xfrm>
                          <a:prstGeom prst="rect">
                            <a:avLst/>
                          </a:prstGeom>
                          <a:noFill/>
                          <a:ln w="9525">
                            <a:noFill/>
                          </a:ln>
                        </pic:spPr>
                      </pic:pic>
                    </a:graphicData>
                  </a:graphic>
                </wp:inline>
              </w:drawing>
            </w:r>
            <w:r>
              <w:rPr>
                <w:rFonts w:ascii="宋体" w:hAnsi="宋体" w:cs="宋体"/>
                <w:sz w:val="24"/>
                <w:u w:val="single"/>
              </w:rPr>
              <w:drawing>
                <wp:inline distT="0" distB="0" distL="114300" distR="114300">
                  <wp:extent cx="1090295" cy="306705"/>
                  <wp:effectExtent l="0" t="0" r="5080" b="7620"/>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15"/>
                          <a:stretch>
                            <a:fillRect/>
                          </a:stretch>
                        </pic:blipFill>
                        <pic:spPr>
                          <a:xfrm>
                            <a:off x="0" y="0"/>
                            <a:ext cx="1090295" cy="306705"/>
                          </a:xfrm>
                          <a:prstGeom prst="rect">
                            <a:avLst/>
                          </a:prstGeom>
                          <a:noFill/>
                          <a:ln w="9525">
                            <a:noFill/>
                          </a:ln>
                        </pic:spPr>
                      </pic:pic>
                    </a:graphicData>
                  </a:graphic>
                </wp:inline>
              </w:drawing>
            </w:r>
            <w:r>
              <w:rPr>
                <w:u w:val="single"/>
              </w:rPr>
              <w:drawing>
                <wp:inline distT="0" distB="0" distL="114300" distR="114300">
                  <wp:extent cx="815340" cy="356870"/>
                  <wp:effectExtent l="0" t="0" r="3810" b="508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6"/>
                          <a:stretch>
                            <a:fillRect/>
                          </a:stretch>
                        </pic:blipFill>
                        <pic:spPr>
                          <a:xfrm>
                            <a:off x="0" y="0"/>
                            <a:ext cx="815340" cy="356870"/>
                          </a:xfrm>
                          <a:prstGeom prst="rect">
                            <a:avLst/>
                          </a:prstGeom>
                          <a:noFill/>
                          <a:ln>
                            <a:noFill/>
                          </a:ln>
                        </pic:spPr>
                      </pic:pic>
                    </a:graphicData>
                  </a:graphic>
                </wp:inline>
              </w:drawing>
            </w:r>
            <w:r>
              <w:rPr>
                <w:u w:val="single"/>
              </w:rPr>
              <w:drawing>
                <wp:inline distT="0" distB="0" distL="114300" distR="114300">
                  <wp:extent cx="831850" cy="368935"/>
                  <wp:effectExtent l="0" t="0" r="6350" b="254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7"/>
                          <a:stretch>
                            <a:fillRect/>
                          </a:stretch>
                        </pic:blipFill>
                        <pic:spPr>
                          <a:xfrm>
                            <a:off x="0" y="0"/>
                            <a:ext cx="831850" cy="368935"/>
                          </a:xfrm>
                          <a:prstGeom prst="rect">
                            <a:avLst/>
                          </a:prstGeom>
                          <a:noFill/>
                          <a:ln>
                            <a:noFill/>
                          </a:ln>
                        </pic:spPr>
                      </pic:pic>
                    </a:graphicData>
                  </a:graphic>
                </wp:inline>
              </w:drawing>
            </w:r>
          </w:p>
          <w:p w14:paraId="25CA7768">
            <w:pPr>
              <w:spacing w:before="156" w:beforeLines="50"/>
              <w:ind w:firstLine="435"/>
              <w:rPr>
                <w:rFonts w:eastAsia="仿宋_GB2312"/>
                <w:szCs w:val="21"/>
              </w:rPr>
            </w:pPr>
            <w:r>
              <w:rPr>
                <w:rFonts w:hint="eastAsia" w:eastAsia="仿宋_GB2312"/>
                <w:szCs w:val="21"/>
              </w:rPr>
              <w:t xml:space="preserve">                                                 </w:t>
            </w:r>
          </w:p>
          <w:p w14:paraId="25CA7769">
            <w:r>
              <w:rPr>
                <w:rFonts w:hint="eastAsia" w:eastAsia="仿宋_GB2312"/>
                <w:szCs w:val="21"/>
              </w:rPr>
              <w:t xml:space="preserve">                                          2026年4月17日</w:t>
            </w:r>
          </w:p>
          <w:p w14:paraId="25CA776A">
            <w:pPr>
              <w:spacing w:before="156" w:beforeLines="50"/>
              <w:rPr>
                <w:rFonts w:hint="eastAsia"/>
                <w:b/>
              </w:rPr>
            </w:pPr>
          </w:p>
        </w:tc>
      </w:tr>
    </w:tbl>
    <w:p w14:paraId="25CA776C">
      <w:pPr>
        <w:spacing w:line="400" w:lineRule="exact"/>
        <w:rPr>
          <w:b/>
          <w:szCs w:val="21"/>
        </w:rPr>
      </w:pPr>
      <w:r>
        <w:rPr>
          <w:rFonts w:hint="eastAsia"/>
          <w:b/>
          <w:szCs w:val="21"/>
        </w:rPr>
        <w:t>七、经费预算</w:t>
      </w:r>
    </w:p>
    <w:tbl>
      <w:tblPr>
        <w:tblStyle w:val="10"/>
        <w:tblW w:w="8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301"/>
        <w:gridCol w:w="3911"/>
      </w:tblGrid>
      <w:tr w14:paraId="25CA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exact"/>
        </w:trPr>
        <w:tc>
          <w:tcPr>
            <w:tcW w:w="2268" w:type="dxa"/>
            <w:vAlign w:val="center"/>
          </w:tcPr>
          <w:p w14:paraId="25CA776D">
            <w:pPr>
              <w:spacing w:before="156" w:beforeLines="50" w:line="160" w:lineRule="exact"/>
              <w:rPr>
                <w:b/>
                <w:szCs w:val="21"/>
              </w:rPr>
            </w:pPr>
            <w:r>
              <w:rPr>
                <w:rFonts w:hint="eastAsia"/>
                <w:b/>
                <w:szCs w:val="21"/>
              </w:rPr>
              <w:t>科目名称</w:t>
            </w:r>
          </w:p>
        </w:tc>
        <w:tc>
          <w:tcPr>
            <w:tcW w:w="2301" w:type="dxa"/>
            <w:vAlign w:val="center"/>
          </w:tcPr>
          <w:p w14:paraId="25CA776E">
            <w:pPr>
              <w:spacing w:before="156" w:beforeLines="50" w:line="160" w:lineRule="exact"/>
              <w:rPr>
                <w:b/>
                <w:szCs w:val="21"/>
              </w:rPr>
            </w:pPr>
            <w:r>
              <w:rPr>
                <w:rFonts w:hint="eastAsia"/>
                <w:b/>
                <w:szCs w:val="21"/>
              </w:rPr>
              <w:t>预算经费</w:t>
            </w:r>
          </w:p>
          <w:p w14:paraId="25CA776F">
            <w:pPr>
              <w:spacing w:before="156" w:beforeLines="50" w:line="160" w:lineRule="exact"/>
              <w:rPr>
                <w:b/>
                <w:szCs w:val="21"/>
              </w:rPr>
            </w:pPr>
            <w:r>
              <w:rPr>
                <w:rFonts w:hint="eastAsia"/>
                <w:b/>
                <w:szCs w:val="21"/>
              </w:rPr>
              <w:t>（单位：元）</w:t>
            </w:r>
          </w:p>
        </w:tc>
        <w:tc>
          <w:tcPr>
            <w:tcW w:w="3911" w:type="dxa"/>
            <w:vAlign w:val="center"/>
          </w:tcPr>
          <w:p w14:paraId="25CA7770">
            <w:pPr>
              <w:spacing w:before="156" w:beforeLines="50" w:line="160" w:lineRule="exact"/>
              <w:rPr>
                <w:b/>
                <w:szCs w:val="21"/>
              </w:rPr>
            </w:pPr>
            <w:r>
              <w:rPr>
                <w:rFonts w:hint="eastAsia"/>
                <w:b/>
                <w:szCs w:val="21"/>
              </w:rPr>
              <w:t>备注（预算依据与具体说明）</w:t>
            </w:r>
          </w:p>
        </w:tc>
      </w:tr>
      <w:tr w14:paraId="25CA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68" w:type="dxa"/>
            <w:vAlign w:val="center"/>
          </w:tcPr>
          <w:p w14:paraId="25CA7772">
            <w:pPr>
              <w:spacing w:line="260" w:lineRule="exact"/>
              <w:rPr>
                <w:rFonts w:eastAsia="仿宋_GB2312"/>
                <w:b/>
                <w:szCs w:val="21"/>
              </w:rPr>
            </w:pPr>
            <w:r>
              <w:rPr>
                <w:rFonts w:ascii="宋体" w:hAnsi="宋体" w:cs="宋体"/>
                <w:szCs w:val="21"/>
              </w:rPr>
              <w:t>文献资料与信息检索费</w:t>
            </w:r>
          </w:p>
        </w:tc>
        <w:tc>
          <w:tcPr>
            <w:tcW w:w="2301" w:type="dxa"/>
            <w:vAlign w:val="center"/>
          </w:tcPr>
          <w:p w14:paraId="25CA7773">
            <w:pPr>
              <w:spacing w:line="260" w:lineRule="exact"/>
              <w:rPr>
                <w:rFonts w:eastAsia="仿宋_GB2312"/>
                <w:b/>
                <w:szCs w:val="21"/>
              </w:rPr>
            </w:pPr>
            <w:r>
              <w:rPr>
                <w:rFonts w:hint="eastAsia" w:eastAsia="仿宋_GB2312"/>
                <w:b/>
                <w:szCs w:val="21"/>
              </w:rPr>
              <w:t>1000</w:t>
            </w:r>
          </w:p>
        </w:tc>
        <w:tc>
          <w:tcPr>
            <w:tcW w:w="3911" w:type="dxa"/>
            <w:vAlign w:val="center"/>
          </w:tcPr>
          <w:p w14:paraId="25CA7774">
            <w:pPr>
              <w:spacing w:line="260" w:lineRule="exact"/>
              <w:rPr>
                <w:rFonts w:eastAsia="仿宋_GB2312"/>
                <w:b/>
                <w:szCs w:val="21"/>
              </w:rPr>
            </w:pPr>
            <w:r>
              <w:rPr>
                <w:rFonts w:ascii="宋体" w:hAnsi="宋体" w:cs="宋体"/>
                <w:szCs w:val="21"/>
              </w:rPr>
              <w:t>用于购买或打印项目相关文献资料、数据库检索、图书资料复印等</w:t>
            </w:r>
            <w:r>
              <w:rPr>
                <w:rFonts w:ascii="宋体" w:hAnsi="宋体" w:cs="宋体"/>
                <w:sz w:val="24"/>
              </w:rPr>
              <w:t>。</w:t>
            </w:r>
          </w:p>
        </w:tc>
      </w:tr>
      <w:tr w14:paraId="25CA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68" w:type="dxa"/>
            <w:vAlign w:val="center"/>
          </w:tcPr>
          <w:p w14:paraId="25CA7776">
            <w:pPr>
              <w:spacing w:line="260" w:lineRule="exact"/>
              <w:rPr>
                <w:rFonts w:eastAsia="仿宋_GB2312"/>
                <w:b/>
                <w:szCs w:val="21"/>
              </w:rPr>
            </w:pPr>
            <w:r>
              <w:rPr>
                <w:rFonts w:ascii="宋体" w:hAnsi="宋体" w:cs="宋体"/>
                <w:szCs w:val="21"/>
              </w:rPr>
              <w:t>数据收集与整理费</w:t>
            </w:r>
          </w:p>
        </w:tc>
        <w:tc>
          <w:tcPr>
            <w:tcW w:w="2301" w:type="dxa"/>
            <w:vAlign w:val="center"/>
          </w:tcPr>
          <w:p w14:paraId="25CA7777">
            <w:pPr>
              <w:spacing w:line="260" w:lineRule="exact"/>
              <w:rPr>
                <w:rFonts w:eastAsia="仿宋_GB2312"/>
                <w:b/>
                <w:szCs w:val="21"/>
              </w:rPr>
            </w:pPr>
            <w:r>
              <w:rPr>
                <w:rFonts w:hint="eastAsia" w:eastAsia="仿宋_GB2312"/>
                <w:b/>
                <w:szCs w:val="21"/>
              </w:rPr>
              <w:t>500</w:t>
            </w:r>
          </w:p>
        </w:tc>
        <w:tc>
          <w:tcPr>
            <w:tcW w:w="3911" w:type="dxa"/>
            <w:vAlign w:val="center"/>
          </w:tcPr>
          <w:p w14:paraId="25CA7778">
            <w:pPr>
              <w:spacing w:line="260" w:lineRule="exact"/>
              <w:rPr>
                <w:b/>
                <w:szCs w:val="21"/>
              </w:rPr>
            </w:pPr>
            <w:r>
              <w:rPr>
                <w:rFonts w:ascii="宋体" w:hAnsi="宋体" w:cs="宋体"/>
                <w:szCs w:val="21"/>
              </w:rPr>
              <w:t>用于病例</w:t>
            </w:r>
            <w:r>
              <w:rPr>
                <w:rFonts w:hint="eastAsia" w:ascii="宋体" w:hAnsi="宋体" w:cs="宋体"/>
                <w:szCs w:val="21"/>
              </w:rPr>
              <w:t>等</w:t>
            </w:r>
            <w:r>
              <w:rPr>
                <w:rFonts w:ascii="宋体" w:hAnsi="宋体" w:cs="宋体"/>
                <w:szCs w:val="21"/>
              </w:rPr>
              <w:t>数据整理过程中产生的资料下载、数据转换、数据存储介质等支</w:t>
            </w:r>
            <w:r>
              <w:rPr>
                <w:rFonts w:hint="eastAsia" w:ascii="宋体" w:hAnsi="宋体" w:cs="宋体"/>
                <w:szCs w:val="21"/>
              </w:rPr>
              <w:t>出</w:t>
            </w:r>
          </w:p>
        </w:tc>
      </w:tr>
      <w:tr w14:paraId="25CA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68" w:type="dxa"/>
            <w:vAlign w:val="center"/>
          </w:tcPr>
          <w:p w14:paraId="25CA777A">
            <w:pPr>
              <w:spacing w:line="260" w:lineRule="exact"/>
              <w:rPr>
                <w:rFonts w:eastAsia="仿宋_GB2312"/>
                <w:b/>
                <w:szCs w:val="21"/>
              </w:rPr>
            </w:pPr>
            <w:r>
              <w:rPr>
                <w:rFonts w:ascii="宋体" w:hAnsi="宋体" w:cs="宋体"/>
                <w:szCs w:val="21"/>
              </w:rPr>
              <w:t>计算与软件服务费</w:t>
            </w:r>
          </w:p>
        </w:tc>
        <w:tc>
          <w:tcPr>
            <w:tcW w:w="2301" w:type="dxa"/>
            <w:vAlign w:val="center"/>
          </w:tcPr>
          <w:p w14:paraId="25CA777B">
            <w:pPr>
              <w:spacing w:line="260" w:lineRule="exact"/>
              <w:rPr>
                <w:rFonts w:eastAsia="仿宋_GB2312"/>
                <w:b/>
                <w:szCs w:val="21"/>
              </w:rPr>
            </w:pPr>
            <w:r>
              <w:rPr>
                <w:rFonts w:hint="eastAsia" w:eastAsia="仿宋_GB2312"/>
                <w:b/>
                <w:szCs w:val="21"/>
              </w:rPr>
              <w:t>500</w:t>
            </w:r>
          </w:p>
        </w:tc>
        <w:tc>
          <w:tcPr>
            <w:tcW w:w="3911" w:type="dxa"/>
            <w:vAlign w:val="center"/>
          </w:tcPr>
          <w:p w14:paraId="25CA777C">
            <w:pPr>
              <w:spacing w:line="260" w:lineRule="exact"/>
              <w:rPr>
                <w:rFonts w:eastAsia="仿宋_GB2312"/>
                <w:b/>
                <w:szCs w:val="21"/>
              </w:rPr>
            </w:pPr>
            <w:r>
              <w:rPr>
                <w:rFonts w:ascii="宋体" w:hAnsi="宋体" w:cs="宋体"/>
                <w:szCs w:val="21"/>
              </w:rPr>
              <w:t>用于项目研究过程中所需的计算资源、云服务器、数据处理平台</w:t>
            </w:r>
          </w:p>
        </w:tc>
      </w:tr>
      <w:tr w14:paraId="25CA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68" w:type="dxa"/>
            <w:vAlign w:val="center"/>
          </w:tcPr>
          <w:p w14:paraId="25CA777E">
            <w:pPr>
              <w:spacing w:line="260" w:lineRule="exact"/>
              <w:rPr>
                <w:rFonts w:eastAsia="仿宋_GB2312"/>
                <w:b/>
                <w:szCs w:val="21"/>
              </w:rPr>
            </w:pPr>
            <w:r>
              <w:rPr>
                <w:rFonts w:ascii="宋体" w:hAnsi="宋体" w:cs="宋体"/>
                <w:sz w:val="21"/>
                <w:szCs w:val="21"/>
              </w:rPr>
              <w:t>成果输出与论文材料费</w:t>
            </w:r>
            <w:bookmarkStart w:id="0" w:name="_GoBack"/>
            <w:bookmarkEnd w:id="0"/>
          </w:p>
        </w:tc>
        <w:tc>
          <w:tcPr>
            <w:tcW w:w="2301" w:type="dxa"/>
            <w:vAlign w:val="center"/>
          </w:tcPr>
          <w:p w14:paraId="25CA777F">
            <w:pPr>
              <w:spacing w:line="260" w:lineRule="exact"/>
              <w:rPr>
                <w:rFonts w:eastAsia="仿宋_GB2312"/>
                <w:b/>
                <w:szCs w:val="21"/>
              </w:rPr>
            </w:pPr>
            <w:r>
              <w:rPr>
                <w:rFonts w:hint="eastAsia" w:eastAsia="仿宋_GB2312"/>
                <w:b/>
                <w:szCs w:val="21"/>
              </w:rPr>
              <w:t>1000</w:t>
            </w:r>
          </w:p>
        </w:tc>
        <w:tc>
          <w:tcPr>
            <w:tcW w:w="3911" w:type="dxa"/>
            <w:vAlign w:val="center"/>
          </w:tcPr>
          <w:p w14:paraId="25CA7780">
            <w:pPr>
              <w:spacing w:line="260" w:lineRule="exact"/>
              <w:rPr>
                <w:rFonts w:eastAsia="仿宋_GB2312"/>
                <w:b/>
                <w:szCs w:val="21"/>
              </w:rPr>
            </w:pPr>
            <w:r>
              <w:rPr>
                <w:rFonts w:ascii="宋体" w:hAnsi="宋体" w:cs="宋体"/>
                <w:szCs w:val="21"/>
              </w:rPr>
              <w:t>用于研究报告、论文修改、图表输出、结题成果汇编等</w:t>
            </w:r>
          </w:p>
        </w:tc>
      </w:tr>
      <w:tr w14:paraId="25CA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68" w:type="dxa"/>
            <w:vAlign w:val="center"/>
          </w:tcPr>
          <w:p w14:paraId="25CA7782">
            <w:pPr>
              <w:spacing w:line="260" w:lineRule="exact"/>
              <w:rPr>
                <w:rFonts w:ascii="宋体" w:hAnsi="宋体" w:cs="宋体"/>
                <w:sz w:val="18"/>
                <w:szCs w:val="18"/>
              </w:rPr>
            </w:pPr>
          </w:p>
          <w:p w14:paraId="25CA7783">
            <w:pPr>
              <w:spacing w:line="260" w:lineRule="exact"/>
              <w:rPr>
                <w:rFonts w:ascii="宋体" w:hAnsi="宋体" w:cs="宋体"/>
                <w:sz w:val="18"/>
                <w:szCs w:val="18"/>
              </w:rPr>
            </w:pPr>
          </w:p>
          <w:p w14:paraId="25CA7784">
            <w:pPr>
              <w:spacing w:line="260" w:lineRule="exact"/>
              <w:rPr>
                <w:rFonts w:ascii="宋体" w:hAnsi="宋体" w:cs="宋体"/>
                <w:sz w:val="18"/>
                <w:szCs w:val="18"/>
              </w:rPr>
            </w:pPr>
          </w:p>
          <w:p w14:paraId="25CA7785">
            <w:pPr>
              <w:spacing w:line="260" w:lineRule="exact"/>
              <w:rPr>
                <w:rFonts w:ascii="宋体" w:hAnsi="宋体" w:cs="宋体"/>
                <w:sz w:val="18"/>
                <w:szCs w:val="18"/>
              </w:rPr>
            </w:pPr>
          </w:p>
        </w:tc>
        <w:tc>
          <w:tcPr>
            <w:tcW w:w="2301" w:type="dxa"/>
            <w:vAlign w:val="center"/>
          </w:tcPr>
          <w:p w14:paraId="25CA7786">
            <w:pPr>
              <w:spacing w:line="260" w:lineRule="exact"/>
              <w:rPr>
                <w:rFonts w:eastAsia="仿宋_GB2312"/>
                <w:b/>
                <w:szCs w:val="21"/>
              </w:rPr>
            </w:pPr>
          </w:p>
        </w:tc>
        <w:tc>
          <w:tcPr>
            <w:tcW w:w="3911" w:type="dxa"/>
            <w:vAlign w:val="center"/>
          </w:tcPr>
          <w:p w14:paraId="25CA7787">
            <w:pPr>
              <w:spacing w:line="260" w:lineRule="exact"/>
              <w:rPr>
                <w:rFonts w:ascii="宋体" w:hAnsi="宋体" w:cs="宋体"/>
                <w:szCs w:val="21"/>
              </w:rPr>
            </w:pPr>
          </w:p>
        </w:tc>
      </w:tr>
      <w:tr w14:paraId="25CA7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exact"/>
        </w:trPr>
        <w:tc>
          <w:tcPr>
            <w:tcW w:w="2268" w:type="dxa"/>
            <w:vAlign w:val="center"/>
          </w:tcPr>
          <w:p w14:paraId="25CA7799">
            <w:pPr>
              <w:spacing w:line="260" w:lineRule="exact"/>
              <w:rPr>
                <w:rFonts w:eastAsia="仿宋_GB2312"/>
                <w:b/>
                <w:szCs w:val="21"/>
              </w:rPr>
            </w:pPr>
            <w:r>
              <w:rPr>
                <w:rFonts w:hint="eastAsia" w:eastAsia="仿宋_GB2312"/>
                <w:b/>
                <w:szCs w:val="21"/>
              </w:rPr>
              <w:t>合计</w:t>
            </w:r>
          </w:p>
        </w:tc>
        <w:tc>
          <w:tcPr>
            <w:tcW w:w="6212" w:type="dxa"/>
            <w:gridSpan w:val="2"/>
            <w:vAlign w:val="center"/>
          </w:tcPr>
          <w:p w14:paraId="25CA779A">
            <w:pPr>
              <w:spacing w:line="260" w:lineRule="exact"/>
              <w:rPr>
                <w:rFonts w:eastAsia="仿宋_GB2312"/>
                <w:b/>
                <w:szCs w:val="21"/>
              </w:rPr>
            </w:pPr>
            <w:r>
              <w:rPr>
                <w:rFonts w:hint="eastAsia" w:eastAsia="仿宋_GB2312"/>
                <w:b/>
                <w:szCs w:val="21"/>
              </w:rPr>
              <w:t>3000</w:t>
            </w:r>
          </w:p>
        </w:tc>
      </w:tr>
    </w:tbl>
    <w:p w14:paraId="25CA779C">
      <w:pPr>
        <w:rPr>
          <w:b/>
          <w:sz w:val="24"/>
        </w:rPr>
      </w:pPr>
      <w:r>
        <w:rPr>
          <w:rFonts w:hint="eastAsia"/>
          <w:b/>
          <w:sz w:val="24"/>
        </w:rPr>
        <w:br w:type="page"/>
      </w:r>
    </w:p>
    <w:p w14:paraId="25CA779D">
      <w:pPr>
        <w:rPr>
          <w:b/>
          <w:szCs w:val="21"/>
        </w:rPr>
      </w:pPr>
      <w:r>
        <w:rPr>
          <w:rFonts w:hint="eastAsia"/>
          <w:b/>
          <w:szCs w:val="21"/>
        </w:rPr>
        <w:t>八、项目审批</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1"/>
        <w:gridCol w:w="7711"/>
      </w:tblGrid>
      <w:tr w14:paraId="25CA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1" w:hRule="atLeast"/>
        </w:trPr>
        <w:tc>
          <w:tcPr>
            <w:tcW w:w="8402" w:type="dxa"/>
            <w:gridSpan w:val="2"/>
          </w:tcPr>
          <w:p w14:paraId="25CA779E">
            <w:pPr>
              <w:spacing w:before="156" w:beforeLines="50"/>
              <w:rPr>
                <w:b/>
                <w:szCs w:val="21"/>
              </w:rPr>
            </w:pPr>
            <w:r>
              <w:rPr>
                <w:rFonts w:hint="eastAsia"/>
                <w:b/>
                <w:szCs w:val="21"/>
              </w:rPr>
              <w:t>指导教师意见（请附具体的指导计划）：</w:t>
            </w:r>
          </w:p>
          <w:p w14:paraId="25CA779F">
            <w:pPr>
              <w:rPr>
                <w:szCs w:val="21"/>
              </w:rPr>
            </w:pPr>
          </w:p>
          <w:p w14:paraId="25CA77A0">
            <w:pPr>
              <w:rPr>
                <w:szCs w:val="21"/>
              </w:rPr>
            </w:pPr>
          </w:p>
          <w:p w14:paraId="25CA77A1">
            <w:pPr>
              <w:rPr>
                <w:szCs w:val="21"/>
              </w:rPr>
            </w:pPr>
            <w:r>
              <w:rPr>
                <w:rFonts w:hint="eastAsia"/>
                <w:szCs w:val="21"/>
              </w:rPr>
              <w:t>项目研究问题清楚，研究内容具体，研究方法合理。申请团队有较好的前期准备，阅读了相关文献，学习了相关研究方法。项目团队有能力完成研究计划，同意资助。</w:t>
            </w:r>
          </w:p>
          <w:p w14:paraId="25CA77A2">
            <w:pPr>
              <w:rPr>
                <w:szCs w:val="21"/>
              </w:rPr>
            </w:pPr>
          </w:p>
          <w:p w14:paraId="25CA77A3">
            <w:pPr>
              <w:rPr>
                <w:szCs w:val="21"/>
              </w:rPr>
            </w:pPr>
            <w:r>
              <w:rPr>
                <w:rFonts w:hint="eastAsia"/>
                <w:szCs w:val="21"/>
              </w:rPr>
              <w:t>指导计划： 1. 定期跟踪研究进度；2.就相关研究方法给与指导；3. 督促按计划进度完成研究内容；4. 修改研究报告和研究论文。</w:t>
            </w:r>
          </w:p>
          <w:p w14:paraId="25CA77A4">
            <w:pPr>
              <w:ind w:firstLine="3990" w:firstLineChars="1900"/>
              <w:rPr>
                <w:szCs w:val="21"/>
              </w:rPr>
            </w:pPr>
          </w:p>
          <w:p w14:paraId="25CA77A5">
            <w:pPr>
              <w:ind w:firstLine="3990" w:firstLineChars="1900"/>
              <w:rPr>
                <w:szCs w:val="21"/>
              </w:rPr>
            </w:pPr>
          </w:p>
          <w:p w14:paraId="25CA77A6">
            <w:pPr>
              <w:ind w:firstLine="3990" w:firstLineChars="1900"/>
              <w:rPr>
                <w:szCs w:val="21"/>
              </w:rPr>
            </w:pPr>
          </w:p>
          <w:p w14:paraId="25CA77A7">
            <w:pPr>
              <w:ind w:firstLine="4830" w:firstLineChars="2300"/>
              <w:rPr>
                <w:szCs w:val="21"/>
              </w:rPr>
            </w:pPr>
            <w:r>
              <w:rPr>
                <w:rFonts w:hint="eastAsia"/>
                <w:szCs w:val="21"/>
              </w:rPr>
              <w:t xml:space="preserve">签名：    </w:t>
            </w:r>
            <w:r>
              <w:rPr>
                <w:rFonts w:hint="eastAsia"/>
                <w:szCs w:val="21"/>
              </w:rPr>
              <w:drawing>
                <wp:inline distT="0" distB="0" distL="0" distR="0">
                  <wp:extent cx="754380" cy="372745"/>
                  <wp:effectExtent l="0" t="0" r="7620" b="8255"/>
                  <wp:docPr id="13259441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44106" name="图片 2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66948" cy="379445"/>
                          </a:xfrm>
                          <a:prstGeom prst="rect">
                            <a:avLst/>
                          </a:prstGeom>
                        </pic:spPr>
                      </pic:pic>
                    </a:graphicData>
                  </a:graphic>
                </wp:inline>
              </w:drawing>
            </w:r>
            <w:r>
              <w:rPr>
                <w:rFonts w:hint="eastAsia"/>
                <w:szCs w:val="21"/>
              </w:rPr>
              <w:t xml:space="preserve">       </w:t>
            </w:r>
          </w:p>
          <w:p w14:paraId="25CA77A8">
            <w:pPr>
              <w:ind w:firstLine="5250" w:firstLineChars="2500"/>
              <w:rPr>
                <w:szCs w:val="21"/>
              </w:rPr>
            </w:pPr>
          </w:p>
          <w:p w14:paraId="25CA77A9">
            <w:pPr>
              <w:ind w:firstLine="5460" w:firstLineChars="2600"/>
              <w:rPr>
                <w:szCs w:val="21"/>
              </w:rPr>
            </w:pPr>
            <w:r>
              <w:rPr>
                <w:rFonts w:hint="eastAsia"/>
                <w:szCs w:val="21"/>
              </w:rPr>
              <w:t>2026年  4 月 17   日</w:t>
            </w:r>
          </w:p>
          <w:p w14:paraId="25CA77AA">
            <w:pPr>
              <w:ind w:firstLine="3990" w:firstLineChars="1900"/>
              <w:rPr>
                <w:szCs w:val="21"/>
              </w:rPr>
            </w:pPr>
          </w:p>
        </w:tc>
      </w:tr>
      <w:tr w14:paraId="25CA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0" w:hRule="atLeast"/>
        </w:trPr>
        <w:tc>
          <w:tcPr>
            <w:tcW w:w="8402" w:type="dxa"/>
            <w:gridSpan w:val="2"/>
          </w:tcPr>
          <w:p w14:paraId="25CA77AC">
            <w:pPr>
              <w:spacing w:before="156" w:beforeLines="50"/>
              <w:rPr>
                <w:b/>
                <w:szCs w:val="21"/>
              </w:rPr>
            </w:pPr>
            <w:r>
              <w:rPr>
                <w:rFonts w:hint="eastAsia"/>
                <w:b/>
                <w:szCs w:val="21"/>
              </w:rPr>
              <w:t>立项单位意见：</w:t>
            </w:r>
          </w:p>
          <w:p w14:paraId="25CA77AD">
            <w:pPr>
              <w:rPr>
                <w:szCs w:val="21"/>
              </w:rPr>
            </w:pPr>
          </w:p>
          <w:p w14:paraId="25CA77AE">
            <w:pPr>
              <w:spacing w:before="156" w:beforeLines="50"/>
              <w:rPr>
                <w:szCs w:val="21"/>
              </w:rPr>
            </w:pPr>
          </w:p>
          <w:p w14:paraId="25CA77AF">
            <w:pPr>
              <w:spacing w:before="156" w:beforeLines="50"/>
              <w:rPr>
                <w:szCs w:val="21"/>
              </w:rPr>
            </w:pPr>
          </w:p>
          <w:p w14:paraId="25CA77B0">
            <w:pPr>
              <w:spacing w:before="156" w:beforeLines="50"/>
              <w:ind w:firstLine="3990" w:firstLineChars="1900"/>
              <w:rPr>
                <w:szCs w:val="21"/>
              </w:rPr>
            </w:pPr>
          </w:p>
          <w:p w14:paraId="25CA77B1">
            <w:pPr>
              <w:spacing w:before="156" w:beforeLines="50"/>
              <w:ind w:firstLine="4830" w:firstLineChars="2300"/>
              <w:rPr>
                <w:szCs w:val="21"/>
              </w:rPr>
            </w:pPr>
            <w:r>
              <w:rPr>
                <w:rFonts w:hint="eastAsia"/>
                <w:szCs w:val="21"/>
              </w:rPr>
              <w:t xml:space="preserve">签章：           </w:t>
            </w:r>
          </w:p>
          <w:p w14:paraId="25CA77B2">
            <w:pPr>
              <w:spacing w:before="156" w:beforeLines="50"/>
              <w:ind w:firstLine="5250" w:firstLineChars="2500"/>
              <w:rPr>
                <w:b/>
                <w:szCs w:val="21"/>
              </w:rPr>
            </w:pPr>
            <w:r>
              <w:rPr>
                <w:rFonts w:hint="eastAsia"/>
                <w:szCs w:val="21"/>
              </w:rPr>
              <w:t>年   月    日</w:t>
            </w:r>
          </w:p>
        </w:tc>
      </w:tr>
      <w:tr w14:paraId="25CA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5" w:hRule="atLeast"/>
        </w:trPr>
        <w:tc>
          <w:tcPr>
            <w:tcW w:w="691" w:type="dxa"/>
          </w:tcPr>
          <w:p w14:paraId="25CA77B4">
            <w:pPr>
              <w:spacing w:after="156" w:afterLines="50"/>
              <w:ind w:right="839"/>
              <w:rPr>
                <w:b/>
                <w:szCs w:val="21"/>
              </w:rPr>
            </w:pPr>
          </w:p>
          <w:p w14:paraId="25CA77B5">
            <w:pPr>
              <w:spacing w:after="156" w:afterLines="50"/>
              <w:ind w:right="839"/>
              <w:rPr>
                <w:b/>
                <w:szCs w:val="21"/>
              </w:rPr>
            </w:pPr>
          </w:p>
          <w:p w14:paraId="25CA77B6">
            <w:pPr>
              <w:spacing w:after="156" w:afterLines="50"/>
              <w:ind w:right="839"/>
              <w:rPr>
                <w:b/>
                <w:szCs w:val="21"/>
              </w:rPr>
            </w:pPr>
            <w:r>
              <w:rPr>
                <w:rFonts w:hint="eastAsia"/>
                <w:b/>
                <w:szCs w:val="21"/>
              </w:rPr>
              <w:t>备</w:t>
            </w:r>
          </w:p>
          <w:p w14:paraId="25CA77B7">
            <w:pPr>
              <w:spacing w:after="156" w:afterLines="50"/>
              <w:ind w:right="839"/>
              <w:rPr>
                <w:b/>
                <w:szCs w:val="21"/>
              </w:rPr>
            </w:pPr>
          </w:p>
          <w:p w14:paraId="25CA77B8">
            <w:pPr>
              <w:spacing w:after="156" w:afterLines="50"/>
              <w:ind w:right="839"/>
              <w:rPr>
                <w:b/>
                <w:szCs w:val="21"/>
              </w:rPr>
            </w:pPr>
            <w:r>
              <w:rPr>
                <w:rFonts w:hint="eastAsia"/>
                <w:b/>
                <w:szCs w:val="21"/>
              </w:rPr>
              <w:t>注</w:t>
            </w:r>
          </w:p>
        </w:tc>
        <w:tc>
          <w:tcPr>
            <w:tcW w:w="7711" w:type="dxa"/>
          </w:tcPr>
          <w:p w14:paraId="25CA77B9">
            <w:pPr>
              <w:spacing w:after="156" w:afterLines="50"/>
              <w:ind w:right="839"/>
              <w:rPr>
                <w:b/>
                <w:szCs w:val="21"/>
              </w:rPr>
            </w:pPr>
          </w:p>
        </w:tc>
      </w:tr>
    </w:tbl>
    <w:p w14:paraId="25CA77BB"/>
    <w:sectPr>
      <w:footerReference r:id="rId10" w:type="first"/>
      <w:footerReference r:id="rId9" w:type="default"/>
      <w:pgSz w:w="11906" w:h="16838"/>
      <w:pgMar w:top="1869" w:right="1800" w:bottom="1246"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3">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8</w:t>
    </w:r>
    <w:r>
      <w:rPr>
        <w:rStyle w:val="13"/>
      </w:rPr>
      <w:fldChar w:fldCharType="end"/>
    </w:r>
  </w:p>
  <w:p w14:paraId="25CA77F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1">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25CA77F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6">
    <w:pPr>
      <w:pStyle w:val="5"/>
      <w:tabs>
        <w:tab w:val="clear" w:pos="4153"/>
      </w:tabs>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7">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8">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A781C">
                          <w:pPr>
                            <w:pStyle w:val="5"/>
                            <w:rPr>
                              <w:rStyle w:val="13"/>
                            </w:rPr>
                          </w:pPr>
                          <w:r>
                            <w:rPr>
                              <w:rStyle w:val="13"/>
                            </w:rPr>
                            <w:fldChar w:fldCharType="begin"/>
                          </w:r>
                          <w:r>
                            <w:rPr>
                              <w:rStyle w:val="13"/>
                            </w:rPr>
                            <w:instrText xml:space="preserve">PAGE  </w:instrText>
                          </w:r>
                          <w:r>
                            <w:rPr>
                              <w:rStyle w:val="13"/>
                            </w:rPr>
                            <w:fldChar w:fldCharType="separate"/>
                          </w:r>
                          <w:r>
                            <w:rPr>
                              <w:rStyle w:val="13"/>
                            </w:rPr>
                            <w:t>8</w:t>
                          </w:r>
                          <w:r>
                            <w:rPr>
                              <w:rStyle w:val="13"/>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25CA781C">
                    <w:pPr>
                      <w:pStyle w:val="5"/>
                      <w:rPr>
                        <w:rStyle w:val="13"/>
                      </w:rPr>
                    </w:pPr>
                    <w:r>
                      <w:rPr>
                        <w:rStyle w:val="13"/>
                      </w:rPr>
                      <w:fldChar w:fldCharType="begin"/>
                    </w:r>
                    <w:r>
                      <w:rPr>
                        <w:rStyle w:val="13"/>
                      </w:rPr>
                      <w:instrText xml:space="preserve">PAGE  </w:instrText>
                    </w:r>
                    <w:r>
                      <w:rPr>
                        <w:rStyle w:val="13"/>
                      </w:rPr>
                      <w:fldChar w:fldCharType="separate"/>
                    </w:r>
                    <w:r>
                      <w:rPr>
                        <w:rStyle w:val="13"/>
                      </w:rPr>
                      <w:t>8</w:t>
                    </w:r>
                    <w:r>
                      <w:rPr>
                        <w:rStyle w:val="13"/>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9">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A781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5CA781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0">
    <w:pPr>
      <w:pStyle w:val="6"/>
      <w:pBdr>
        <w:bottom w:val="single" w:color="auto" w:sz="4" w:space="1"/>
      </w:pBdr>
      <w:jc w:val="center"/>
    </w:pPr>
    <w:r>
      <w:rPr>
        <w:rFonts w:hint="eastAsia"/>
      </w:rPr>
      <w:t>兰州大学大学生创新训练计划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A77F5">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1C9AD1"/>
    <w:multiLevelType w:val="singleLevel"/>
    <w:tmpl w:val="B81C9AD1"/>
    <w:lvl w:ilvl="0" w:tentative="0">
      <w:start w:val="1"/>
      <w:numFmt w:val="decimal"/>
      <w:lvlText w:val="%1."/>
      <w:lvlJc w:val="left"/>
      <w:pPr>
        <w:tabs>
          <w:tab w:val="left" w:pos="312"/>
        </w:tabs>
      </w:pPr>
    </w:lvl>
  </w:abstractNum>
  <w:abstractNum w:abstractNumId="1">
    <w:nsid w:val="3BE595A9"/>
    <w:multiLevelType w:val="singleLevel"/>
    <w:tmpl w:val="3BE595A9"/>
    <w:lvl w:ilvl="0" w:tentative="0">
      <w:start w:val="1"/>
      <w:numFmt w:val="decimal"/>
      <w:lvlText w:val="[%1]"/>
      <w:lvlJc w:val="left"/>
      <w:pPr>
        <w:tabs>
          <w:tab w:val="left" w:pos="312"/>
        </w:tabs>
      </w:pPr>
    </w:lvl>
  </w:abstractNum>
  <w:abstractNum w:abstractNumId="2">
    <w:nsid w:val="5EADD73A"/>
    <w:multiLevelType w:val="singleLevel"/>
    <w:tmpl w:val="5EADD73A"/>
    <w:lvl w:ilvl="0" w:tentative="0">
      <w:start w:val="3"/>
      <w:numFmt w:val="chineseCounting"/>
      <w:suff w:val="space"/>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5NzAyMGViNzNiNGU3YTVlYzEyYzBlNzhiZmFkYWUifQ=="/>
  </w:docVars>
  <w:rsids>
    <w:rsidRoot w:val="14733D91"/>
    <w:rsid w:val="00012606"/>
    <w:rsid w:val="0001553D"/>
    <w:rsid w:val="00020D29"/>
    <w:rsid w:val="00021259"/>
    <w:rsid w:val="0003166D"/>
    <w:rsid w:val="00046944"/>
    <w:rsid w:val="000628E3"/>
    <w:rsid w:val="00062B9B"/>
    <w:rsid w:val="00077782"/>
    <w:rsid w:val="00080800"/>
    <w:rsid w:val="00097A1D"/>
    <w:rsid w:val="00145280"/>
    <w:rsid w:val="00146F71"/>
    <w:rsid w:val="001908E7"/>
    <w:rsid w:val="00190B35"/>
    <w:rsid w:val="001B576B"/>
    <w:rsid w:val="001B644C"/>
    <w:rsid w:val="001D7B7A"/>
    <w:rsid w:val="001E25E8"/>
    <w:rsid w:val="00213FF6"/>
    <w:rsid w:val="00216C6F"/>
    <w:rsid w:val="0022525B"/>
    <w:rsid w:val="002507B8"/>
    <w:rsid w:val="00252E5D"/>
    <w:rsid w:val="00263576"/>
    <w:rsid w:val="00285BB8"/>
    <w:rsid w:val="002F24DC"/>
    <w:rsid w:val="00302321"/>
    <w:rsid w:val="00337CB6"/>
    <w:rsid w:val="00342993"/>
    <w:rsid w:val="003A53FC"/>
    <w:rsid w:val="003B7F9C"/>
    <w:rsid w:val="003C2521"/>
    <w:rsid w:val="003C5C19"/>
    <w:rsid w:val="004343AD"/>
    <w:rsid w:val="0044743B"/>
    <w:rsid w:val="00451AF1"/>
    <w:rsid w:val="0045562B"/>
    <w:rsid w:val="0046783C"/>
    <w:rsid w:val="00497C7C"/>
    <w:rsid w:val="004C5D9D"/>
    <w:rsid w:val="004F4C14"/>
    <w:rsid w:val="00500214"/>
    <w:rsid w:val="00535601"/>
    <w:rsid w:val="00537E2A"/>
    <w:rsid w:val="00554BA6"/>
    <w:rsid w:val="005968C9"/>
    <w:rsid w:val="005D2EF0"/>
    <w:rsid w:val="005D4AE0"/>
    <w:rsid w:val="005E6C5E"/>
    <w:rsid w:val="006021A4"/>
    <w:rsid w:val="006078E0"/>
    <w:rsid w:val="006629C8"/>
    <w:rsid w:val="00672048"/>
    <w:rsid w:val="00687424"/>
    <w:rsid w:val="006875B6"/>
    <w:rsid w:val="006955E6"/>
    <w:rsid w:val="006A0BC1"/>
    <w:rsid w:val="006C5F72"/>
    <w:rsid w:val="0072078E"/>
    <w:rsid w:val="00726A14"/>
    <w:rsid w:val="007470D2"/>
    <w:rsid w:val="00780D5B"/>
    <w:rsid w:val="0079220D"/>
    <w:rsid w:val="00797660"/>
    <w:rsid w:val="007A3193"/>
    <w:rsid w:val="007D2665"/>
    <w:rsid w:val="007E3C05"/>
    <w:rsid w:val="00803FB7"/>
    <w:rsid w:val="00823439"/>
    <w:rsid w:val="00834B0F"/>
    <w:rsid w:val="00836A35"/>
    <w:rsid w:val="008511C9"/>
    <w:rsid w:val="00871F9C"/>
    <w:rsid w:val="008878C2"/>
    <w:rsid w:val="008D5A78"/>
    <w:rsid w:val="008D6F81"/>
    <w:rsid w:val="008D74DA"/>
    <w:rsid w:val="008E4630"/>
    <w:rsid w:val="008F17E2"/>
    <w:rsid w:val="00915EAC"/>
    <w:rsid w:val="009172D5"/>
    <w:rsid w:val="00971258"/>
    <w:rsid w:val="00974E3E"/>
    <w:rsid w:val="00984E5E"/>
    <w:rsid w:val="009927A5"/>
    <w:rsid w:val="0099388D"/>
    <w:rsid w:val="009C1120"/>
    <w:rsid w:val="00A000DB"/>
    <w:rsid w:val="00A17166"/>
    <w:rsid w:val="00A359FB"/>
    <w:rsid w:val="00A46594"/>
    <w:rsid w:val="00A65FFA"/>
    <w:rsid w:val="00AB5322"/>
    <w:rsid w:val="00AB712A"/>
    <w:rsid w:val="00AD7DE2"/>
    <w:rsid w:val="00B00BD1"/>
    <w:rsid w:val="00B21207"/>
    <w:rsid w:val="00B42EEA"/>
    <w:rsid w:val="00B6682D"/>
    <w:rsid w:val="00B82C22"/>
    <w:rsid w:val="00B9194E"/>
    <w:rsid w:val="00BE0DE8"/>
    <w:rsid w:val="00BE28A2"/>
    <w:rsid w:val="00BF0256"/>
    <w:rsid w:val="00C12F37"/>
    <w:rsid w:val="00C22CFB"/>
    <w:rsid w:val="00C3562F"/>
    <w:rsid w:val="00C523E6"/>
    <w:rsid w:val="00C74A76"/>
    <w:rsid w:val="00C808B9"/>
    <w:rsid w:val="00CD647F"/>
    <w:rsid w:val="00CE56F6"/>
    <w:rsid w:val="00CF587B"/>
    <w:rsid w:val="00D84086"/>
    <w:rsid w:val="00D91C02"/>
    <w:rsid w:val="00DA2D3B"/>
    <w:rsid w:val="00E03187"/>
    <w:rsid w:val="00E12275"/>
    <w:rsid w:val="00E4408A"/>
    <w:rsid w:val="00ED7A00"/>
    <w:rsid w:val="00EE5E28"/>
    <w:rsid w:val="00F00D62"/>
    <w:rsid w:val="00F016AD"/>
    <w:rsid w:val="00F2241B"/>
    <w:rsid w:val="00F62E6C"/>
    <w:rsid w:val="00F63E96"/>
    <w:rsid w:val="00F84120"/>
    <w:rsid w:val="00FA19E9"/>
    <w:rsid w:val="00FF3DC1"/>
    <w:rsid w:val="013D74C4"/>
    <w:rsid w:val="015C77F3"/>
    <w:rsid w:val="01FB0418"/>
    <w:rsid w:val="022B0E5C"/>
    <w:rsid w:val="026F2D19"/>
    <w:rsid w:val="02870964"/>
    <w:rsid w:val="02927D93"/>
    <w:rsid w:val="029A5F34"/>
    <w:rsid w:val="02B140E5"/>
    <w:rsid w:val="02E356AE"/>
    <w:rsid w:val="02E65D45"/>
    <w:rsid w:val="02F30B38"/>
    <w:rsid w:val="03095B08"/>
    <w:rsid w:val="03230C83"/>
    <w:rsid w:val="032A08BF"/>
    <w:rsid w:val="03BE052C"/>
    <w:rsid w:val="03DB240E"/>
    <w:rsid w:val="03EA6264"/>
    <w:rsid w:val="04312F57"/>
    <w:rsid w:val="043F4B84"/>
    <w:rsid w:val="04441D61"/>
    <w:rsid w:val="049C150C"/>
    <w:rsid w:val="04A005CC"/>
    <w:rsid w:val="04B90A88"/>
    <w:rsid w:val="04BA3565"/>
    <w:rsid w:val="04EF266B"/>
    <w:rsid w:val="05281FC8"/>
    <w:rsid w:val="05482DAC"/>
    <w:rsid w:val="05565F59"/>
    <w:rsid w:val="0589693E"/>
    <w:rsid w:val="059454B6"/>
    <w:rsid w:val="05B757B3"/>
    <w:rsid w:val="05C1727E"/>
    <w:rsid w:val="05F024D8"/>
    <w:rsid w:val="061D4115"/>
    <w:rsid w:val="065A3A30"/>
    <w:rsid w:val="06604E4C"/>
    <w:rsid w:val="06672D9E"/>
    <w:rsid w:val="068338D6"/>
    <w:rsid w:val="06A43954"/>
    <w:rsid w:val="06B158FF"/>
    <w:rsid w:val="06CB36CC"/>
    <w:rsid w:val="06E818BB"/>
    <w:rsid w:val="07B87393"/>
    <w:rsid w:val="07CA4C73"/>
    <w:rsid w:val="07FD6DF7"/>
    <w:rsid w:val="08051073"/>
    <w:rsid w:val="08385709"/>
    <w:rsid w:val="08653F81"/>
    <w:rsid w:val="08BB0B0B"/>
    <w:rsid w:val="08E46029"/>
    <w:rsid w:val="09116FD2"/>
    <w:rsid w:val="0926412B"/>
    <w:rsid w:val="09465263"/>
    <w:rsid w:val="09513FD1"/>
    <w:rsid w:val="09523C57"/>
    <w:rsid w:val="09575B61"/>
    <w:rsid w:val="096648C3"/>
    <w:rsid w:val="099966E0"/>
    <w:rsid w:val="09D96451"/>
    <w:rsid w:val="09F438D5"/>
    <w:rsid w:val="0A0C438A"/>
    <w:rsid w:val="0A136F96"/>
    <w:rsid w:val="0A3D295B"/>
    <w:rsid w:val="0A405ADE"/>
    <w:rsid w:val="0A9721C3"/>
    <w:rsid w:val="0A981059"/>
    <w:rsid w:val="0A9D6229"/>
    <w:rsid w:val="0AC5702E"/>
    <w:rsid w:val="0AD41B78"/>
    <w:rsid w:val="0B0F742D"/>
    <w:rsid w:val="0B4053DD"/>
    <w:rsid w:val="0B527F16"/>
    <w:rsid w:val="0B655C8D"/>
    <w:rsid w:val="0B7D63BC"/>
    <w:rsid w:val="0C3935D1"/>
    <w:rsid w:val="0C513355"/>
    <w:rsid w:val="0CA02447"/>
    <w:rsid w:val="0CA17E5F"/>
    <w:rsid w:val="0CB95777"/>
    <w:rsid w:val="0CE31935"/>
    <w:rsid w:val="0CE83E39"/>
    <w:rsid w:val="0D1C4628"/>
    <w:rsid w:val="0D2C7F09"/>
    <w:rsid w:val="0D3D7C96"/>
    <w:rsid w:val="0D48419C"/>
    <w:rsid w:val="0D7929C7"/>
    <w:rsid w:val="0D7A7309"/>
    <w:rsid w:val="0D8B1867"/>
    <w:rsid w:val="0DA6100C"/>
    <w:rsid w:val="0DD77C44"/>
    <w:rsid w:val="0DDF44E0"/>
    <w:rsid w:val="0DE46840"/>
    <w:rsid w:val="0DE549DB"/>
    <w:rsid w:val="0E05778A"/>
    <w:rsid w:val="0E1E0318"/>
    <w:rsid w:val="0E2360E9"/>
    <w:rsid w:val="0E78305D"/>
    <w:rsid w:val="0F02570A"/>
    <w:rsid w:val="0F1E5075"/>
    <w:rsid w:val="0F200EDF"/>
    <w:rsid w:val="0F251AE4"/>
    <w:rsid w:val="0F650747"/>
    <w:rsid w:val="0F80697A"/>
    <w:rsid w:val="0F854CFE"/>
    <w:rsid w:val="101F18D4"/>
    <w:rsid w:val="101F6D5E"/>
    <w:rsid w:val="103551A4"/>
    <w:rsid w:val="10717588"/>
    <w:rsid w:val="109F6DD2"/>
    <w:rsid w:val="10B74479"/>
    <w:rsid w:val="10D94FCD"/>
    <w:rsid w:val="10F71073"/>
    <w:rsid w:val="110324D3"/>
    <w:rsid w:val="110F7B9B"/>
    <w:rsid w:val="11185797"/>
    <w:rsid w:val="112F1E27"/>
    <w:rsid w:val="1136016F"/>
    <w:rsid w:val="11383ACD"/>
    <w:rsid w:val="114A5C90"/>
    <w:rsid w:val="1200757C"/>
    <w:rsid w:val="12475E89"/>
    <w:rsid w:val="127050CB"/>
    <w:rsid w:val="129E32AD"/>
    <w:rsid w:val="12B225D0"/>
    <w:rsid w:val="12B51E83"/>
    <w:rsid w:val="12BD23B0"/>
    <w:rsid w:val="13151625"/>
    <w:rsid w:val="13221DD8"/>
    <w:rsid w:val="132541A5"/>
    <w:rsid w:val="133C1963"/>
    <w:rsid w:val="134E5A2D"/>
    <w:rsid w:val="1367088A"/>
    <w:rsid w:val="136C3A80"/>
    <w:rsid w:val="13701EBE"/>
    <w:rsid w:val="138275B2"/>
    <w:rsid w:val="13A7515E"/>
    <w:rsid w:val="13F1503C"/>
    <w:rsid w:val="13F55BCE"/>
    <w:rsid w:val="13F602E8"/>
    <w:rsid w:val="1400526E"/>
    <w:rsid w:val="14096169"/>
    <w:rsid w:val="143037AB"/>
    <w:rsid w:val="143D5096"/>
    <w:rsid w:val="14486FEA"/>
    <w:rsid w:val="14733D91"/>
    <w:rsid w:val="14D663F1"/>
    <w:rsid w:val="15205ED3"/>
    <w:rsid w:val="152D1B5C"/>
    <w:rsid w:val="153C6A85"/>
    <w:rsid w:val="1542732A"/>
    <w:rsid w:val="15654042"/>
    <w:rsid w:val="157B0697"/>
    <w:rsid w:val="15DF5D8E"/>
    <w:rsid w:val="15F01FB8"/>
    <w:rsid w:val="15F0378C"/>
    <w:rsid w:val="15FA6724"/>
    <w:rsid w:val="15FD1BE1"/>
    <w:rsid w:val="16117B33"/>
    <w:rsid w:val="161A34A0"/>
    <w:rsid w:val="163B736E"/>
    <w:rsid w:val="164E090F"/>
    <w:rsid w:val="16842366"/>
    <w:rsid w:val="168C232D"/>
    <w:rsid w:val="16B07F1A"/>
    <w:rsid w:val="16F65AEF"/>
    <w:rsid w:val="170415AA"/>
    <w:rsid w:val="17084259"/>
    <w:rsid w:val="170C2998"/>
    <w:rsid w:val="17423610"/>
    <w:rsid w:val="17DB194C"/>
    <w:rsid w:val="17DE7734"/>
    <w:rsid w:val="18032F6D"/>
    <w:rsid w:val="18375C9D"/>
    <w:rsid w:val="1886143F"/>
    <w:rsid w:val="191A4F3D"/>
    <w:rsid w:val="19824407"/>
    <w:rsid w:val="19846CBF"/>
    <w:rsid w:val="19851E64"/>
    <w:rsid w:val="19915305"/>
    <w:rsid w:val="19DC4185"/>
    <w:rsid w:val="19E41BC5"/>
    <w:rsid w:val="1A2E39E6"/>
    <w:rsid w:val="1A3A2E16"/>
    <w:rsid w:val="1A407615"/>
    <w:rsid w:val="1A4321C9"/>
    <w:rsid w:val="1A7D0CC2"/>
    <w:rsid w:val="1A803DB8"/>
    <w:rsid w:val="1A850BA8"/>
    <w:rsid w:val="1A9B06CA"/>
    <w:rsid w:val="1A9C3DB4"/>
    <w:rsid w:val="1ABC2110"/>
    <w:rsid w:val="1B1D5AC0"/>
    <w:rsid w:val="1B4D40A2"/>
    <w:rsid w:val="1B7F06C9"/>
    <w:rsid w:val="1B967850"/>
    <w:rsid w:val="1BAC5276"/>
    <w:rsid w:val="1BD702B9"/>
    <w:rsid w:val="1C5172BA"/>
    <w:rsid w:val="1C5E2AB6"/>
    <w:rsid w:val="1C623275"/>
    <w:rsid w:val="1C9F1474"/>
    <w:rsid w:val="1CAA4A86"/>
    <w:rsid w:val="1CB17D58"/>
    <w:rsid w:val="1CE96785"/>
    <w:rsid w:val="1CF57FE0"/>
    <w:rsid w:val="1CF71CB5"/>
    <w:rsid w:val="1D356C5D"/>
    <w:rsid w:val="1DA608B4"/>
    <w:rsid w:val="1DC2561B"/>
    <w:rsid w:val="1DF20628"/>
    <w:rsid w:val="1DFD08AD"/>
    <w:rsid w:val="1E2101B0"/>
    <w:rsid w:val="1E461337"/>
    <w:rsid w:val="1E5226C2"/>
    <w:rsid w:val="1E5A4838"/>
    <w:rsid w:val="1E685A19"/>
    <w:rsid w:val="1E8666D8"/>
    <w:rsid w:val="1E9A3B4A"/>
    <w:rsid w:val="1ECD7650"/>
    <w:rsid w:val="1F0C367F"/>
    <w:rsid w:val="1F2D3BB3"/>
    <w:rsid w:val="1F4833B9"/>
    <w:rsid w:val="1F4D76B7"/>
    <w:rsid w:val="1F503858"/>
    <w:rsid w:val="1F9C4FCB"/>
    <w:rsid w:val="1FA42E41"/>
    <w:rsid w:val="1FA67C40"/>
    <w:rsid w:val="1FAE143F"/>
    <w:rsid w:val="1FB62CA9"/>
    <w:rsid w:val="200547B4"/>
    <w:rsid w:val="20394FEA"/>
    <w:rsid w:val="2049212A"/>
    <w:rsid w:val="20AB78A8"/>
    <w:rsid w:val="20D94DDE"/>
    <w:rsid w:val="20EC6113"/>
    <w:rsid w:val="21367791"/>
    <w:rsid w:val="213F7168"/>
    <w:rsid w:val="2179793D"/>
    <w:rsid w:val="217A6E2C"/>
    <w:rsid w:val="21BA43FC"/>
    <w:rsid w:val="21BE01CA"/>
    <w:rsid w:val="21FF1FE4"/>
    <w:rsid w:val="22484CBB"/>
    <w:rsid w:val="22873A35"/>
    <w:rsid w:val="228928AA"/>
    <w:rsid w:val="22975239"/>
    <w:rsid w:val="23221AE3"/>
    <w:rsid w:val="234F58FD"/>
    <w:rsid w:val="23665522"/>
    <w:rsid w:val="238055A9"/>
    <w:rsid w:val="23B769F1"/>
    <w:rsid w:val="23BB00A6"/>
    <w:rsid w:val="241237D2"/>
    <w:rsid w:val="246C2129"/>
    <w:rsid w:val="24AC0CE6"/>
    <w:rsid w:val="24CE37EF"/>
    <w:rsid w:val="24FC5C76"/>
    <w:rsid w:val="24FE0600"/>
    <w:rsid w:val="25221F7E"/>
    <w:rsid w:val="256A7C38"/>
    <w:rsid w:val="25BB003E"/>
    <w:rsid w:val="25BC2767"/>
    <w:rsid w:val="25C733A4"/>
    <w:rsid w:val="26084C7A"/>
    <w:rsid w:val="262935CC"/>
    <w:rsid w:val="263D4CCB"/>
    <w:rsid w:val="267B5DCA"/>
    <w:rsid w:val="268A7650"/>
    <w:rsid w:val="26B81310"/>
    <w:rsid w:val="26F17105"/>
    <w:rsid w:val="2706213A"/>
    <w:rsid w:val="274D1422"/>
    <w:rsid w:val="27515DA1"/>
    <w:rsid w:val="275A025E"/>
    <w:rsid w:val="278C2C1C"/>
    <w:rsid w:val="278F66EF"/>
    <w:rsid w:val="27E374A2"/>
    <w:rsid w:val="281149BF"/>
    <w:rsid w:val="281C3442"/>
    <w:rsid w:val="284B3726"/>
    <w:rsid w:val="28616AD6"/>
    <w:rsid w:val="288A35AA"/>
    <w:rsid w:val="28B236CF"/>
    <w:rsid w:val="28F62E53"/>
    <w:rsid w:val="290A275E"/>
    <w:rsid w:val="29144474"/>
    <w:rsid w:val="29475897"/>
    <w:rsid w:val="29932D21"/>
    <w:rsid w:val="29A078DB"/>
    <w:rsid w:val="29A7165B"/>
    <w:rsid w:val="29B65CF7"/>
    <w:rsid w:val="2A0D6C0A"/>
    <w:rsid w:val="2A157EC8"/>
    <w:rsid w:val="2A3746A0"/>
    <w:rsid w:val="2A500BB0"/>
    <w:rsid w:val="2A650ECF"/>
    <w:rsid w:val="2A6D2A56"/>
    <w:rsid w:val="2A7C5DA5"/>
    <w:rsid w:val="2A8B74D8"/>
    <w:rsid w:val="2A9A024A"/>
    <w:rsid w:val="2AB64C21"/>
    <w:rsid w:val="2ACB7461"/>
    <w:rsid w:val="2ACC2303"/>
    <w:rsid w:val="2AF66B88"/>
    <w:rsid w:val="2AFE591F"/>
    <w:rsid w:val="2B5144ED"/>
    <w:rsid w:val="2B810E18"/>
    <w:rsid w:val="2B887EE6"/>
    <w:rsid w:val="2BA47AEB"/>
    <w:rsid w:val="2BA534A8"/>
    <w:rsid w:val="2BE36EED"/>
    <w:rsid w:val="2C395116"/>
    <w:rsid w:val="2C3B74EA"/>
    <w:rsid w:val="2CA455C9"/>
    <w:rsid w:val="2CA638D3"/>
    <w:rsid w:val="2CB31BEB"/>
    <w:rsid w:val="2CC47634"/>
    <w:rsid w:val="2CD549AD"/>
    <w:rsid w:val="2CD74B1F"/>
    <w:rsid w:val="2D105152"/>
    <w:rsid w:val="2D747867"/>
    <w:rsid w:val="2D757EA0"/>
    <w:rsid w:val="2D847D9B"/>
    <w:rsid w:val="2DBE03CC"/>
    <w:rsid w:val="2DC23877"/>
    <w:rsid w:val="2DD902F4"/>
    <w:rsid w:val="2DFA503C"/>
    <w:rsid w:val="2DFF94F4"/>
    <w:rsid w:val="2E09248B"/>
    <w:rsid w:val="2E0D14AB"/>
    <w:rsid w:val="2E162111"/>
    <w:rsid w:val="2E1E4B22"/>
    <w:rsid w:val="2E396CE5"/>
    <w:rsid w:val="2E3F2682"/>
    <w:rsid w:val="2E503828"/>
    <w:rsid w:val="2E805B79"/>
    <w:rsid w:val="2E8A4B0C"/>
    <w:rsid w:val="2E9F315C"/>
    <w:rsid w:val="2EB94C40"/>
    <w:rsid w:val="2EB96346"/>
    <w:rsid w:val="2ED013F2"/>
    <w:rsid w:val="2EE05B47"/>
    <w:rsid w:val="2F100E78"/>
    <w:rsid w:val="2F1A440E"/>
    <w:rsid w:val="2F611FCA"/>
    <w:rsid w:val="2F616747"/>
    <w:rsid w:val="2F8B4E67"/>
    <w:rsid w:val="2FAE3AE9"/>
    <w:rsid w:val="2FB62DF7"/>
    <w:rsid w:val="2FCD07D5"/>
    <w:rsid w:val="2FCD7301"/>
    <w:rsid w:val="2FE70DEC"/>
    <w:rsid w:val="2FED31D9"/>
    <w:rsid w:val="2FF82E22"/>
    <w:rsid w:val="301C546A"/>
    <w:rsid w:val="3023097B"/>
    <w:rsid w:val="304A2AAE"/>
    <w:rsid w:val="305413D4"/>
    <w:rsid w:val="30626A22"/>
    <w:rsid w:val="306D73EE"/>
    <w:rsid w:val="30754091"/>
    <w:rsid w:val="30B515F7"/>
    <w:rsid w:val="30BF73CB"/>
    <w:rsid w:val="30C86099"/>
    <w:rsid w:val="30D1097F"/>
    <w:rsid w:val="30E06864"/>
    <w:rsid w:val="30F36E3B"/>
    <w:rsid w:val="30F62A82"/>
    <w:rsid w:val="31010E56"/>
    <w:rsid w:val="3135798D"/>
    <w:rsid w:val="317532C6"/>
    <w:rsid w:val="31834AC1"/>
    <w:rsid w:val="319D1CCC"/>
    <w:rsid w:val="31B52DE2"/>
    <w:rsid w:val="31C02F48"/>
    <w:rsid w:val="320E12BD"/>
    <w:rsid w:val="327C1A5E"/>
    <w:rsid w:val="3295422F"/>
    <w:rsid w:val="32972A81"/>
    <w:rsid w:val="32A0461A"/>
    <w:rsid w:val="32B51600"/>
    <w:rsid w:val="332C69B5"/>
    <w:rsid w:val="332F0D93"/>
    <w:rsid w:val="33445801"/>
    <w:rsid w:val="338C085C"/>
    <w:rsid w:val="33BD2811"/>
    <w:rsid w:val="33C2512E"/>
    <w:rsid w:val="33DE1A05"/>
    <w:rsid w:val="33DF51F5"/>
    <w:rsid w:val="33F45574"/>
    <w:rsid w:val="33F96105"/>
    <w:rsid w:val="3400304F"/>
    <w:rsid w:val="34103455"/>
    <w:rsid w:val="341F6165"/>
    <w:rsid w:val="34282ACF"/>
    <w:rsid w:val="3455249D"/>
    <w:rsid w:val="3472234D"/>
    <w:rsid w:val="34A27E10"/>
    <w:rsid w:val="34AC10D9"/>
    <w:rsid w:val="350C2516"/>
    <w:rsid w:val="351358FA"/>
    <w:rsid w:val="35685AD1"/>
    <w:rsid w:val="35953021"/>
    <w:rsid w:val="35F10EFB"/>
    <w:rsid w:val="35F52FBE"/>
    <w:rsid w:val="35FB1672"/>
    <w:rsid w:val="363A04D7"/>
    <w:rsid w:val="365B1801"/>
    <w:rsid w:val="367B576D"/>
    <w:rsid w:val="36A9743F"/>
    <w:rsid w:val="36B86218"/>
    <w:rsid w:val="36C10462"/>
    <w:rsid w:val="36C648F5"/>
    <w:rsid w:val="370055E2"/>
    <w:rsid w:val="37006551"/>
    <w:rsid w:val="37131F37"/>
    <w:rsid w:val="374D0D0C"/>
    <w:rsid w:val="37691503"/>
    <w:rsid w:val="37743C09"/>
    <w:rsid w:val="37796963"/>
    <w:rsid w:val="37953539"/>
    <w:rsid w:val="37961BBF"/>
    <w:rsid w:val="37A34982"/>
    <w:rsid w:val="37B465D2"/>
    <w:rsid w:val="37DC7264"/>
    <w:rsid w:val="382113AB"/>
    <w:rsid w:val="38361E8D"/>
    <w:rsid w:val="383670E9"/>
    <w:rsid w:val="38436C3D"/>
    <w:rsid w:val="38585500"/>
    <w:rsid w:val="387F3D2E"/>
    <w:rsid w:val="38A147D3"/>
    <w:rsid w:val="38EE5BDE"/>
    <w:rsid w:val="38EF467F"/>
    <w:rsid w:val="39203804"/>
    <w:rsid w:val="393051E4"/>
    <w:rsid w:val="397720D5"/>
    <w:rsid w:val="39954F08"/>
    <w:rsid w:val="39CD587C"/>
    <w:rsid w:val="39E47BB1"/>
    <w:rsid w:val="3A03179B"/>
    <w:rsid w:val="3A3054F2"/>
    <w:rsid w:val="3A3C30D6"/>
    <w:rsid w:val="3A543DA5"/>
    <w:rsid w:val="3AA827C9"/>
    <w:rsid w:val="3AD506FE"/>
    <w:rsid w:val="3B035AF9"/>
    <w:rsid w:val="3B3B7663"/>
    <w:rsid w:val="3B3E3C3F"/>
    <w:rsid w:val="3B602967"/>
    <w:rsid w:val="3B9A7C9E"/>
    <w:rsid w:val="3BAB399F"/>
    <w:rsid w:val="3BB93335"/>
    <w:rsid w:val="3BD44BE6"/>
    <w:rsid w:val="3BD918BF"/>
    <w:rsid w:val="3C086B8B"/>
    <w:rsid w:val="3C763B8B"/>
    <w:rsid w:val="3C822FD1"/>
    <w:rsid w:val="3CBB4668"/>
    <w:rsid w:val="3CCE73A0"/>
    <w:rsid w:val="3CEF56D3"/>
    <w:rsid w:val="3CF248ED"/>
    <w:rsid w:val="3D0E4BF4"/>
    <w:rsid w:val="3D210DFB"/>
    <w:rsid w:val="3D332DF5"/>
    <w:rsid w:val="3D3D4B20"/>
    <w:rsid w:val="3D471A96"/>
    <w:rsid w:val="3D4B7065"/>
    <w:rsid w:val="3D73084C"/>
    <w:rsid w:val="3DB44648"/>
    <w:rsid w:val="3DE1001F"/>
    <w:rsid w:val="3E105B80"/>
    <w:rsid w:val="3E160B2C"/>
    <w:rsid w:val="3E185EB9"/>
    <w:rsid w:val="3E25233C"/>
    <w:rsid w:val="3E35171E"/>
    <w:rsid w:val="3E800DC0"/>
    <w:rsid w:val="3EDB6F09"/>
    <w:rsid w:val="3EF50D45"/>
    <w:rsid w:val="3F343443"/>
    <w:rsid w:val="3F3C245E"/>
    <w:rsid w:val="3F9B2476"/>
    <w:rsid w:val="3F9E5AC2"/>
    <w:rsid w:val="3FB02111"/>
    <w:rsid w:val="4033445D"/>
    <w:rsid w:val="40636BBE"/>
    <w:rsid w:val="40681530"/>
    <w:rsid w:val="40AC555C"/>
    <w:rsid w:val="40BA6EBE"/>
    <w:rsid w:val="40CF0A58"/>
    <w:rsid w:val="40D13357"/>
    <w:rsid w:val="40E66A89"/>
    <w:rsid w:val="40E97ED3"/>
    <w:rsid w:val="40EF6094"/>
    <w:rsid w:val="41054F50"/>
    <w:rsid w:val="4105586A"/>
    <w:rsid w:val="4125656E"/>
    <w:rsid w:val="412E4C7F"/>
    <w:rsid w:val="417D0085"/>
    <w:rsid w:val="41864DF9"/>
    <w:rsid w:val="41885E41"/>
    <w:rsid w:val="41A43FC9"/>
    <w:rsid w:val="41D0070A"/>
    <w:rsid w:val="4206127E"/>
    <w:rsid w:val="42454AF7"/>
    <w:rsid w:val="429B5EE0"/>
    <w:rsid w:val="42C15095"/>
    <w:rsid w:val="42CA554C"/>
    <w:rsid w:val="42D95EBD"/>
    <w:rsid w:val="42F4155D"/>
    <w:rsid w:val="430D368B"/>
    <w:rsid w:val="43212B30"/>
    <w:rsid w:val="43303316"/>
    <w:rsid w:val="4355293C"/>
    <w:rsid w:val="43782C0E"/>
    <w:rsid w:val="4391647E"/>
    <w:rsid w:val="43C350D5"/>
    <w:rsid w:val="4400471D"/>
    <w:rsid w:val="441D1ACF"/>
    <w:rsid w:val="442C4FD2"/>
    <w:rsid w:val="444F4DA5"/>
    <w:rsid w:val="445905F8"/>
    <w:rsid w:val="447959AA"/>
    <w:rsid w:val="44B71B00"/>
    <w:rsid w:val="44E51517"/>
    <w:rsid w:val="44E65F41"/>
    <w:rsid w:val="44EE3048"/>
    <w:rsid w:val="450A5D79"/>
    <w:rsid w:val="45541CEF"/>
    <w:rsid w:val="45A82317"/>
    <w:rsid w:val="45B21B65"/>
    <w:rsid w:val="45CB47F3"/>
    <w:rsid w:val="45CC2E39"/>
    <w:rsid w:val="45E87A97"/>
    <w:rsid w:val="45F67C81"/>
    <w:rsid w:val="46102337"/>
    <w:rsid w:val="461973C5"/>
    <w:rsid w:val="461A1A00"/>
    <w:rsid w:val="464D7739"/>
    <w:rsid w:val="4666070F"/>
    <w:rsid w:val="466E0AEF"/>
    <w:rsid w:val="469F40CF"/>
    <w:rsid w:val="46BA1434"/>
    <w:rsid w:val="47234C08"/>
    <w:rsid w:val="474B7292"/>
    <w:rsid w:val="47A12D12"/>
    <w:rsid w:val="47C167F2"/>
    <w:rsid w:val="47C66987"/>
    <w:rsid w:val="47D507E1"/>
    <w:rsid w:val="47EC3C3B"/>
    <w:rsid w:val="47F17E95"/>
    <w:rsid w:val="484B01D4"/>
    <w:rsid w:val="48691B90"/>
    <w:rsid w:val="48AC2FFE"/>
    <w:rsid w:val="49006870"/>
    <w:rsid w:val="491C0184"/>
    <w:rsid w:val="498B5309"/>
    <w:rsid w:val="49A07007"/>
    <w:rsid w:val="49C60D15"/>
    <w:rsid w:val="49F848CB"/>
    <w:rsid w:val="49FC5E8E"/>
    <w:rsid w:val="4A002AEB"/>
    <w:rsid w:val="4AB3014D"/>
    <w:rsid w:val="4AB64641"/>
    <w:rsid w:val="4ADB5A3C"/>
    <w:rsid w:val="4B227542"/>
    <w:rsid w:val="4B3115EC"/>
    <w:rsid w:val="4B364E98"/>
    <w:rsid w:val="4B48763B"/>
    <w:rsid w:val="4B88014A"/>
    <w:rsid w:val="4B9F1C20"/>
    <w:rsid w:val="4BE8779B"/>
    <w:rsid w:val="4C0E5B16"/>
    <w:rsid w:val="4C1270F8"/>
    <w:rsid w:val="4C1930A0"/>
    <w:rsid w:val="4C4B4844"/>
    <w:rsid w:val="4C9C42CF"/>
    <w:rsid w:val="4CD05815"/>
    <w:rsid w:val="4CD8280E"/>
    <w:rsid w:val="4CEE0ABD"/>
    <w:rsid w:val="4CF475EA"/>
    <w:rsid w:val="4D14799F"/>
    <w:rsid w:val="4D2C778C"/>
    <w:rsid w:val="4D5E1526"/>
    <w:rsid w:val="4D6F1F52"/>
    <w:rsid w:val="4D873CCF"/>
    <w:rsid w:val="4D8A53B9"/>
    <w:rsid w:val="4D994499"/>
    <w:rsid w:val="4DA94EFD"/>
    <w:rsid w:val="4DDE755B"/>
    <w:rsid w:val="4DE46930"/>
    <w:rsid w:val="4E1F598E"/>
    <w:rsid w:val="4E2C0E03"/>
    <w:rsid w:val="4E2E4192"/>
    <w:rsid w:val="4E4714A1"/>
    <w:rsid w:val="4E9D3820"/>
    <w:rsid w:val="4EAC3D58"/>
    <w:rsid w:val="4EB726FD"/>
    <w:rsid w:val="4EC77771"/>
    <w:rsid w:val="4F304989"/>
    <w:rsid w:val="4F3C647C"/>
    <w:rsid w:val="4F6C348A"/>
    <w:rsid w:val="4F7A31F5"/>
    <w:rsid w:val="4F875CFF"/>
    <w:rsid w:val="4F8847C5"/>
    <w:rsid w:val="504462F8"/>
    <w:rsid w:val="507829C2"/>
    <w:rsid w:val="50851129"/>
    <w:rsid w:val="508E3FB7"/>
    <w:rsid w:val="508E61B5"/>
    <w:rsid w:val="509D6294"/>
    <w:rsid w:val="50A925E2"/>
    <w:rsid w:val="50E41F68"/>
    <w:rsid w:val="50FD4115"/>
    <w:rsid w:val="514B42EC"/>
    <w:rsid w:val="51532BB1"/>
    <w:rsid w:val="5176227A"/>
    <w:rsid w:val="51864D34"/>
    <w:rsid w:val="5204289F"/>
    <w:rsid w:val="5223407E"/>
    <w:rsid w:val="525E0C42"/>
    <w:rsid w:val="526238F8"/>
    <w:rsid w:val="52A33A2B"/>
    <w:rsid w:val="52CC0A95"/>
    <w:rsid w:val="531133AF"/>
    <w:rsid w:val="531445C2"/>
    <w:rsid w:val="53687258"/>
    <w:rsid w:val="536F2350"/>
    <w:rsid w:val="53854257"/>
    <w:rsid w:val="53887198"/>
    <w:rsid w:val="539179C0"/>
    <w:rsid w:val="539463F2"/>
    <w:rsid w:val="53E3128F"/>
    <w:rsid w:val="53FB4CCB"/>
    <w:rsid w:val="5435054A"/>
    <w:rsid w:val="544C2923"/>
    <w:rsid w:val="544D5709"/>
    <w:rsid w:val="546A7BA2"/>
    <w:rsid w:val="548F1FAF"/>
    <w:rsid w:val="54983565"/>
    <w:rsid w:val="549F72DD"/>
    <w:rsid w:val="54BA7CF8"/>
    <w:rsid w:val="55123543"/>
    <w:rsid w:val="552718FD"/>
    <w:rsid w:val="553A68EF"/>
    <w:rsid w:val="55E12E67"/>
    <w:rsid w:val="55F803E9"/>
    <w:rsid w:val="561552FE"/>
    <w:rsid w:val="56210B0B"/>
    <w:rsid w:val="566F7200"/>
    <w:rsid w:val="56721153"/>
    <w:rsid w:val="569E10A2"/>
    <w:rsid w:val="56C73882"/>
    <w:rsid w:val="56CB4F97"/>
    <w:rsid w:val="56CF1D4D"/>
    <w:rsid w:val="571378AF"/>
    <w:rsid w:val="57290D60"/>
    <w:rsid w:val="579953C3"/>
    <w:rsid w:val="57B84ADC"/>
    <w:rsid w:val="57CD0ED1"/>
    <w:rsid w:val="581A466E"/>
    <w:rsid w:val="584B2C69"/>
    <w:rsid w:val="586B11F6"/>
    <w:rsid w:val="58A04049"/>
    <w:rsid w:val="58B24FAB"/>
    <w:rsid w:val="58BE09D9"/>
    <w:rsid w:val="58C91BD6"/>
    <w:rsid w:val="58D376CA"/>
    <w:rsid w:val="590D25DA"/>
    <w:rsid w:val="596976EA"/>
    <w:rsid w:val="596C365E"/>
    <w:rsid w:val="599B1691"/>
    <w:rsid w:val="59A00992"/>
    <w:rsid w:val="59A10232"/>
    <w:rsid w:val="5A171837"/>
    <w:rsid w:val="5A304B26"/>
    <w:rsid w:val="5A3E0DB1"/>
    <w:rsid w:val="5A434FE4"/>
    <w:rsid w:val="5AB9614E"/>
    <w:rsid w:val="5AEB7E4C"/>
    <w:rsid w:val="5AFA4AD0"/>
    <w:rsid w:val="5B235C95"/>
    <w:rsid w:val="5B6304B3"/>
    <w:rsid w:val="5BB575B8"/>
    <w:rsid w:val="5BD743DE"/>
    <w:rsid w:val="5BE24E75"/>
    <w:rsid w:val="5BEE4B04"/>
    <w:rsid w:val="5C484B8D"/>
    <w:rsid w:val="5C976F8C"/>
    <w:rsid w:val="5CDF1EA8"/>
    <w:rsid w:val="5CF63611"/>
    <w:rsid w:val="5D101956"/>
    <w:rsid w:val="5D342582"/>
    <w:rsid w:val="5D4C2123"/>
    <w:rsid w:val="5D5C103F"/>
    <w:rsid w:val="5D6A401C"/>
    <w:rsid w:val="5D7E1EC0"/>
    <w:rsid w:val="5D872768"/>
    <w:rsid w:val="5E191D1E"/>
    <w:rsid w:val="5E225ADE"/>
    <w:rsid w:val="5E384F22"/>
    <w:rsid w:val="5E9E44A2"/>
    <w:rsid w:val="5E9F42DA"/>
    <w:rsid w:val="5EDA6F6D"/>
    <w:rsid w:val="5EE92A52"/>
    <w:rsid w:val="5EF3102B"/>
    <w:rsid w:val="5F4549DD"/>
    <w:rsid w:val="5F6D1A9C"/>
    <w:rsid w:val="5F763FAE"/>
    <w:rsid w:val="5FAA1F53"/>
    <w:rsid w:val="5FE401AA"/>
    <w:rsid w:val="5FE93768"/>
    <w:rsid w:val="60395C5E"/>
    <w:rsid w:val="60471CC9"/>
    <w:rsid w:val="60654232"/>
    <w:rsid w:val="608F4782"/>
    <w:rsid w:val="6093657B"/>
    <w:rsid w:val="60DC5CFA"/>
    <w:rsid w:val="60DD2497"/>
    <w:rsid w:val="60F95222"/>
    <w:rsid w:val="61063481"/>
    <w:rsid w:val="61317B79"/>
    <w:rsid w:val="613235A8"/>
    <w:rsid w:val="61BC04F6"/>
    <w:rsid w:val="625207B2"/>
    <w:rsid w:val="625247BE"/>
    <w:rsid w:val="628132A8"/>
    <w:rsid w:val="62A635F7"/>
    <w:rsid w:val="62C01E93"/>
    <w:rsid w:val="62C871DE"/>
    <w:rsid w:val="62DD4F3B"/>
    <w:rsid w:val="62E554DF"/>
    <w:rsid w:val="632724B4"/>
    <w:rsid w:val="637E7CC8"/>
    <w:rsid w:val="63906276"/>
    <w:rsid w:val="63E44A84"/>
    <w:rsid w:val="63E57AD7"/>
    <w:rsid w:val="641C0348"/>
    <w:rsid w:val="641F4B62"/>
    <w:rsid w:val="642178D1"/>
    <w:rsid w:val="642C0EE7"/>
    <w:rsid w:val="643F708F"/>
    <w:rsid w:val="64601952"/>
    <w:rsid w:val="64677C45"/>
    <w:rsid w:val="646F7295"/>
    <w:rsid w:val="64884B0B"/>
    <w:rsid w:val="64B14BC2"/>
    <w:rsid w:val="654B3E73"/>
    <w:rsid w:val="65667DF8"/>
    <w:rsid w:val="65C605D8"/>
    <w:rsid w:val="65EA5BC3"/>
    <w:rsid w:val="660812B9"/>
    <w:rsid w:val="668A0005"/>
    <w:rsid w:val="66A97D91"/>
    <w:rsid w:val="66DD3ED2"/>
    <w:rsid w:val="67076D91"/>
    <w:rsid w:val="670A3A9C"/>
    <w:rsid w:val="67130568"/>
    <w:rsid w:val="671C723A"/>
    <w:rsid w:val="67373A7F"/>
    <w:rsid w:val="673D6BD7"/>
    <w:rsid w:val="67486190"/>
    <w:rsid w:val="676550B0"/>
    <w:rsid w:val="677008C9"/>
    <w:rsid w:val="67771167"/>
    <w:rsid w:val="67861016"/>
    <w:rsid w:val="68004262"/>
    <w:rsid w:val="68031524"/>
    <w:rsid w:val="680B4AEC"/>
    <w:rsid w:val="681F0645"/>
    <w:rsid w:val="682F0E3B"/>
    <w:rsid w:val="68570E83"/>
    <w:rsid w:val="68752CEE"/>
    <w:rsid w:val="68C25CBE"/>
    <w:rsid w:val="68D15606"/>
    <w:rsid w:val="694C3FC0"/>
    <w:rsid w:val="69844254"/>
    <w:rsid w:val="69A76E26"/>
    <w:rsid w:val="69AA57FE"/>
    <w:rsid w:val="69B63885"/>
    <w:rsid w:val="69BB7EB2"/>
    <w:rsid w:val="69D631D6"/>
    <w:rsid w:val="69D93E40"/>
    <w:rsid w:val="6A1327BB"/>
    <w:rsid w:val="6A2613AC"/>
    <w:rsid w:val="6A320B53"/>
    <w:rsid w:val="6A7A6FA8"/>
    <w:rsid w:val="6A857228"/>
    <w:rsid w:val="6A9D13FA"/>
    <w:rsid w:val="6B370A6F"/>
    <w:rsid w:val="6B4759DA"/>
    <w:rsid w:val="6B6F5ECF"/>
    <w:rsid w:val="6C005CE7"/>
    <w:rsid w:val="6C157B26"/>
    <w:rsid w:val="6C237D9D"/>
    <w:rsid w:val="6C4526AF"/>
    <w:rsid w:val="6C585E4D"/>
    <w:rsid w:val="6C624437"/>
    <w:rsid w:val="6C642F64"/>
    <w:rsid w:val="6C6C4AF3"/>
    <w:rsid w:val="6C750C1B"/>
    <w:rsid w:val="6CA17546"/>
    <w:rsid w:val="6CBA5EF1"/>
    <w:rsid w:val="6CC5567C"/>
    <w:rsid w:val="6CFA0FB2"/>
    <w:rsid w:val="6D4C218E"/>
    <w:rsid w:val="6D7861FE"/>
    <w:rsid w:val="6D926AAB"/>
    <w:rsid w:val="6D9C248F"/>
    <w:rsid w:val="6DCD6F00"/>
    <w:rsid w:val="6E051D41"/>
    <w:rsid w:val="6E580E15"/>
    <w:rsid w:val="6E6E7287"/>
    <w:rsid w:val="6E844DC6"/>
    <w:rsid w:val="6E8B538A"/>
    <w:rsid w:val="6E955840"/>
    <w:rsid w:val="6EB22A9E"/>
    <w:rsid w:val="6EB968C8"/>
    <w:rsid w:val="6EC923CE"/>
    <w:rsid w:val="6F263350"/>
    <w:rsid w:val="6F294A2D"/>
    <w:rsid w:val="6F7C2AB0"/>
    <w:rsid w:val="6FE637C9"/>
    <w:rsid w:val="6FF80E22"/>
    <w:rsid w:val="700A2C7A"/>
    <w:rsid w:val="701D527E"/>
    <w:rsid w:val="70320200"/>
    <w:rsid w:val="70977146"/>
    <w:rsid w:val="70A9313E"/>
    <w:rsid w:val="71706A0F"/>
    <w:rsid w:val="721C0D31"/>
    <w:rsid w:val="72337F2F"/>
    <w:rsid w:val="724834E8"/>
    <w:rsid w:val="728319DA"/>
    <w:rsid w:val="729F1AC9"/>
    <w:rsid w:val="72B47619"/>
    <w:rsid w:val="72BD1C93"/>
    <w:rsid w:val="72D66ACA"/>
    <w:rsid w:val="72F13724"/>
    <w:rsid w:val="73377D30"/>
    <w:rsid w:val="73DC6F23"/>
    <w:rsid w:val="73FA5DFE"/>
    <w:rsid w:val="749679D6"/>
    <w:rsid w:val="74AE1923"/>
    <w:rsid w:val="74CF3033"/>
    <w:rsid w:val="750D14EF"/>
    <w:rsid w:val="751C1622"/>
    <w:rsid w:val="752E5C34"/>
    <w:rsid w:val="75450A73"/>
    <w:rsid w:val="75520775"/>
    <w:rsid w:val="75676A2A"/>
    <w:rsid w:val="7568637B"/>
    <w:rsid w:val="75B6202C"/>
    <w:rsid w:val="75B904A9"/>
    <w:rsid w:val="75CF1DAB"/>
    <w:rsid w:val="75D411D5"/>
    <w:rsid w:val="75FB22E6"/>
    <w:rsid w:val="76381300"/>
    <w:rsid w:val="763C15B6"/>
    <w:rsid w:val="76613B2B"/>
    <w:rsid w:val="768C311F"/>
    <w:rsid w:val="769B35A3"/>
    <w:rsid w:val="76A75DBC"/>
    <w:rsid w:val="76DA3325"/>
    <w:rsid w:val="76DC3D2B"/>
    <w:rsid w:val="76F2314F"/>
    <w:rsid w:val="77035C25"/>
    <w:rsid w:val="77130569"/>
    <w:rsid w:val="77282B3F"/>
    <w:rsid w:val="77431BF7"/>
    <w:rsid w:val="774A0D27"/>
    <w:rsid w:val="775520B3"/>
    <w:rsid w:val="77583B52"/>
    <w:rsid w:val="7763414B"/>
    <w:rsid w:val="77995532"/>
    <w:rsid w:val="77CA45C1"/>
    <w:rsid w:val="77CD362A"/>
    <w:rsid w:val="77E5503D"/>
    <w:rsid w:val="77EB5AC7"/>
    <w:rsid w:val="77EE02CA"/>
    <w:rsid w:val="77F028ED"/>
    <w:rsid w:val="77F77A99"/>
    <w:rsid w:val="78404F59"/>
    <w:rsid w:val="784432D9"/>
    <w:rsid w:val="7848369D"/>
    <w:rsid w:val="784B3D60"/>
    <w:rsid w:val="785A53EF"/>
    <w:rsid w:val="7876107B"/>
    <w:rsid w:val="78966528"/>
    <w:rsid w:val="78A15A10"/>
    <w:rsid w:val="78D3796F"/>
    <w:rsid w:val="78F97A5A"/>
    <w:rsid w:val="79097BDF"/>
    <w:rsid w:val="790E0FDD"/>
    <w:rsid w:val="7947734B"/>
    <w:rsid w:val="795F60E6"/>
    <w:rsid w:val="798910A9"/>
    <w:rsid w:val="79EB767A"/>
    <w:rsid w:val="79F61DD7"/>
    <w:rsid w:val="7A0D2D32"/>
    <w:rsid w:val="7A263AF5"/>
    <w:rsid w:val="7A837EA4"/>
    <w:rsid w:val="7A8C2B0C"/>
    <w:rsid w:val="7AA755B6"/>
    <w:rsid w:val="7AAC020D"/>
    <w:rsid w:val="7AC25475"/>
    <w:rsid w:val="7B0F3A4B"/>
    <w:rsid w:val="7B306E01"/>
    <w:rsid w:val="7B4E3754"/>
    <w:rsid w:val="7B594439"/>
    <w:rsid w:val="7B5E34A6"/>
    <w:rsid w:val="7B644801"/>
    <w:rsid w:val="7BB437D5"/>
    <w:rsid w:val="7BBC740E"/>
    <w:rsid w:val="7C463B28"/>
    <w:rsid w:val="7C8616B1"/>
    <w:rsid w:val="7C8F51E8"/>
    <w:rsid w:val="7C9A3FFB"/>
    <w:rsid w:val="7C9C7484"/>
    <w:rsid w:val="7CE03CED"/>
    <w:rsid w:val="7CEB7B00"/>
    <w:rsid w:val="7CEF12D8"/>
    <w:rsid w:val="7D3F758A"/>
    <w:rsid w:val="7D40198C"/>
    <w:rsid w:val="7DC86AE5"/>
    <w:rsid w:val="7E244CEF"/>
    <w:rsid w:val="7E3D3C2A"/>
    <w:rsid w:val="7EEA453A"/>
    <w:rsid w:val="7EF33E90"/>
    <w:rsid w:val="7F040736"/>
    <w:rsid w:val="7F0D68C8"/>
    <w:rsid w:val="7F390F10"/>
    <w:rsid w:val="7F397C54"/>
    <w:rsid w:val="7F466367"/>
    <w:rsid w:val="7F4F3EAB"/>
    <w:rsid w:val="7F536367"/>
    <w:rsid w:val="7F591C68"/>
    <w:rsid w:val="7F620525"/>
    <w:rsid w:val="7F7A3631"/>
    <w:rsid w:val="7F8B2A87"/>
    <w:rsid w:val="7F8C71B5"/>
    <w:rsid w:val="7FA4018E"/>
    <w:rsid w:val="7FF34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b/>
      <w:bCs/>
      <w:kern w:val="0"/>
      <w:sz w:val="36"/>
      <w:szCs w:val="3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9"/>
    <w:qFormat/>
    <w:uiPriority w:val="0"/>
    <w:pPr>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Autospacing="1" w:afterAutospacing="1"/>
      <w:jc w:val="left"/>
    </w:pPr>
    <w:rPr>
      <w:kern w:val="0"/>
      <w:sz w:val="24"/>
    </w:rPr>
  </w:style>
  <w:style w:type="paragraph" w:styleId="9">
    <w:name w:val="annotation subject"/>
    <w:basedOn w:val="4"/>
    <w:next w:val="4"/>
    <w:link w:val="20"/>
    <w:uiPriority w:val="0"/>
    <w:rPr>
      <w:b/>
      <w:bCs/>
    </w:rPr>
  </w:style>
  <w:style w:type="character" w:styleId="12">
    <w:name w:val="Strong"/>
    <w:basedOn w:val="11"/>
    <w:qFormat/>
    <w:uiPriority w:val="0"/>
    <w:rPr>
      <w:b/>
    </w:rPr>
  </w:style>
  <w:style w:type="character" w:styleId="13">
    <w:name w:val="page number"/>
    <w:qFormat/>
    <w:uiPriority w:val="0"/>
  </w:style>
  <w:style w:type="character" w:styleId="14">
    <w:name w:val="Emphasis"/>
    <w:basedOn w:val="11"/>
    <w:qFormat/>
    <w:uiPriority w:val="0"/>
    <w:rPr>
      <w:i/>
    </w:rPr>
  </w:style>
  <w:style w:type="character" w:styleId="15">
    <w:name w:val="Hyperlink"/>
    <w:basedOn w:val="11"/>
    <w:qFormat/>
    <w:uiPriority w:val="0"/>
    <w:rPr>
      <w:color w:val="0000FF"/>
      <w:u w:val="single"/>
    </w:rPr>
  </w:style>
  <w:style w:type="character" w:styleId="16">
    <w:name w:val="annotation reference"/>
    <w:basedOn w:val="11"/>
    <w:qFormat/>
    <w:uiPriority w:val="0"/>
    <w:rPr>
      <w:sz w:val="21"/>
      <w:szCs w:val="21"/>
    </w:rPr>
  </w:style>
  <w:style w:type="character" w:styleId="17">
    <w:name w:val="footnote reference"/>
    <w:basedOn w:val="11"/>
    <w:qFormat/>
    <w:uiPriority w:val="0"/>
    <w:rPr>
      <w:vertAlign w:val="superscript"/>
    </w:rPr>
  </w:style>
  <w:style w:type="paragraph" w:styleId="18">
    <w:name w:val="List Paragraph"/>
    <w:basedOn w:val="1"/>
    <w:qFormat/>
    <w:uiPriority w:val="34"/>
    <w:pPr>
      <w:ind w:left="720"/>
      <w:contextualSpacing/>
    </w:pPr>
  </w:style>
  <w:style w:type="character" w:customStyle="1" w:styleId="19">
    <w:name w:val="批注文字 字符"/>
    <w:basedOn w:val="11"/>
    <w:link w:val="4"/>
    <w:qFormat/>
    <w:uiPriority w:val="0"/>
    <w:rPr>
      <w:kern w:val="2"/>
      <w:sz w:val="21"/>
      <w:szCs w:val="24"/>
    </w:rPr>
  </w:style>
  <w:style w:type="character" w:customStyle="1" w:styleId="20">
    <w:name w:val="批注主题 字符"/>
    <w:basedOn w:val="19"/>
    <w:link w:val="9"/>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312</Words>
  <Characters>318</Characters>
  <Lines>305</Lines>
  <Paragraphs>249</Paragraphs>
  <TotalTime>6</TotalTime>
  <ScaleCrop>false</ScaleCrop>
  <LinksUpToDate>false</LinksUpToDate>
  <CharactersWithSpaces>329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2026-04-17T01:47:00Z</dcterms:created>
  <dc:creator>Administrator</dc:creator>
  <cp:lastModifiedBy>WPS_1719737654</cp:lastModifiedBy>
  <dcterms:modified xsi:type="dcterms:W3CDTF">2026-04-22T14:20:36Z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57A3397A32DC43268FE2D490109C2FBF_13</vt:lpwstr>
  </property>
  <property fmtid="{D5CDD505-2E9C-101B-9397-08002B2CF9AE}" pid="4" name="KSOTemplateDocerSaveRecord">
    <vt:lpwstr>eyJoZGlkIjoiY2U2YTg0OTVhZDViNWQyZjQyYWE4YTg3ZjlhMjVmMmIiLCJ1c2VySWQiOiIxNjExNDg3NzMxIn0=</vt:lpwstr>
  </property>
</Properties>
</file>