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C2800F0">
      <w:pPr>
        <w:spacing w:before="0" w:after="320" w:line="300" w:lineRule="auto"/>
        <w:ind w:left="0" w:leftChars="0" w:firstLine="0" w:firstLineChars="0"/>
        <w:jc w:val="center"/>
        <w:rPr>
          <w:rFonts w:hint="eastAsia" w:ascii="黑体" w:hAnsi="黑体" w:eastAsia="黑体"/>
          <w:b/>
          <w:w w:val="98"/>
          <w:sz w:val="40"/>
          <w:szCs w:val="40"/>
        </w:rPr>
      </w:pPr>
      <w:r>
        <w:rPr>
          <w:rFonts w:hint="eastAsia" w:ascii="方正小标宋简体" w:hAnsi="方正小标宋简体" w:eastAsia="方正小标宋简体" w:cs="方正小标宋简体"/>
          <w:bCs/>
          <w:w w:val="98"/>
          <w:sz w:val="40"/>
          <w:szCs w:val="40"/>
        </w:rPr>
        <w:t>兰州大学大学生创新训练计划</w:t>
      </w:r>
      <w:r>
        <w:rPr>
          <w:rFonts w:hint="eastAsia" w:ascii="方正小标宋简体" w:hAnsi="方正小标宋简体" w:eastAsia="方正小标宋简体" w:cs="方正小标宋简体"/>
          <w:bCs/>
          <w:color w:val="000000"/>
          <w:w w:val="98"/>
          <w:sz w:val="40"/>
          <w:szCs w:val="40"/>
        </w:rPr>
        <w:t>项目进展报告书</w:t>
      </w:r>
    </w:p>
    <w:tbl>
      <w:tblPr>
        <w:tblStyle w:val="11"/>
        <w:tblW w:w="10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9"/>
        <w:gridCol w:w="1759"/>
        <w:gridCol w:w="378"/>
        <w:gridCol w:w="1922"/>
        <w:gridCol w:w="1347"/>
        <w:gridCol w:w="3447"/>
      </w:tblGrid>
      <w:tr w14:paraId="308E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9" w:type="dxa"/>
            <w:vMerge w:val="restart"/>
            <w:tcMar>
              <w:top w:w="90" w:type="dxa"/>
              <w:left w:w="110" w:type="dxa"/>
              <w:bottom w:w="90" w:type="dxa"/>
              <w:right w:w="110" w:type="dxa"/>
            </w:tcMar>
            <w:textDirection w:val="tbRlV"/>
            <w:vAlign w:val="center"/>
          </w:tcPr>
          <w:p w14:paraId="75B8A5B7">
            <w:pPr>
              <w:spacing w:before="0" w:after="120" w:line="300" w:lineRule="auto"/>
              <w:ind w:firstLine="422"/>
              <w:jc w:val="center"/>
              <w:rPr>
                <w:rFonts w:hint="eastAsia" w:ascii="黑体" w:hAnsi="黑体" w:cs="Arial"/>
                <w:b/>
                <w:bCs/>
                <w:color w:val="000000"/>
              </w:rPr>
            </w:pPr>
            <w:r>
              <w:rPr>
                <w:rFonts w:hint="eastAsia" w:ascii="宋体" w:hAnsi="宋体" w:cs="Arial"/>
                <w:b/>
                <w:bCs/>
                <w:color w:val="000000"/>
              </w:rPr>
              <w:t>项 目 信 息</w:t>
            </w:r>
          </w:p>
        </w:tc>
        <w:tc>
          <w:tcPr>
            <w:tcW w:w="1759" w:type="dxa"/>
            <w:tcMar>
              <w:top w:w="90" w:type="dxa"/>
              <w:left w:w="110" w:type="dxa"/>
              <w:bottom w:w="90" w:type="dxa"/>
              <w:right w:w="110" w:type="dxa"/>
            </w:tcMar>
            <w:vAlign w:val="center"/>
          </w:tcPr>
          <w:p w14:paraId="47BA55F7">
            <w:pPr>
              <w:spacing w:before="0" w:after="120" w:line="300" w:lineRule="auto"/>
              <w:ind w:firstLine="298" w:firstLineChars="142"/>
              <w:jc w:val="left"/>
              <w:rPr>
                <w:rFonts w:hint="eastAsia" w:ascii="黑体" w:hAnsi="黑体" w:cs="Arial"/>
                <w:b/>
                <w:bCs/>
                <w:color w:val="000000"/>
              </w:rPr>
            </w:pPr>
            <w:r>
              <w:rPr>
                <w:rFonts w:ascii="宋体" w:hAnsi="宋体"/>
              </w:rPr>
              <w:t>项目</w:t>
            </w:r>
            <w:r>
              <w:rPr>
                <w:rFonts w:hint="eastAsia" w:ascii="宋体" w:hAnsi="宋体"/>
              </w:rPr>
              <w:t>名称</w:t>
            </w:r>
          </w:p>
        </w:tc>
        <w:tc>
          <w:tcPr>
            <w:tcW w:w="7094" w:type="dxa"/>
            <w:gridSpan w:val="4"/>
            <w:tcMar>
              <w:top w:w="90" w:type="dxa"/>
              <w:left w:w="110" w:type="dxa"/>
              <w:bottom w:w="90" w:type="dxa"/>
              <w:right w:w="110" w:type="dxa"/>
            </w:tcMar>
            <w:vAlign w:val="center"/>
          </w:tcPr>
          <w:p w14:paraId="5280C191">
            <w:pPr>
              <w:spacing w:before="0" w:after="120" w:line="300" w:lineRule="auto"/>
              <w:ind w:left="0" w:leftChars="0" w:firstLine="0" w:firstLineChars="0"/>
              <w:jc w:val="both"/>
              <w:rPr>
                <w:rFonts w:hint="eastAsia" w:ascii="黑体" w:hAnsi="黑体" w:eastAsia="黑体" w:cs="Arial"/>
                <w:b/>
                <w:bCs/>
                <w:color w:val="000000"/>
              </w:rPr>
            </w:pPr>
            <w:r>
              <w:rPr>
                <w:rFonts w:ascii="宋体" w:hAnsi="宋体" w:cs="宋体"/>
              </w:rPr>
              <w:t>基于周尺度监测数据与气候因子的巴西基孔肯雅热动力学建模</w:t>
            </w:r>
            <w:r>
              <w:rPr>
                <w:rFonts w:hint="eastAsia" w:ascii="宋体" w:hAnsi="宋体" w:cs="宋体"/>
              </w:rPr>
              <w:t>与预测分析</w:t>
            </w:r>
          </w:p>
        </w:tc>
      </w:tr>
      <w:tr w14:paraId="33B6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9" w:type="dxa"/>
            <w:vMerge w:val="continue"/>
            <w:textDirection w:val="tbRlV"/>
            <w:vAlign w:val="center"/>
          </w:tcPr>
          <w:p w14:paraId="6D8A8321">
            <w:pPr>
              <w:spacing w:line="440" w:lineRule="atLeast"/>
              <w:ind w:firstLine="422"/>
              <w:rPr>
                <w:rFonts w:hint="eastAsia" w:ascii="宋体" w:hAnsi="宋体" w:cs="Arial"/>
                <w:b/>
                <w:bCs/>
                <w:color w:val="000000"/>
              </w:rPr>
            </w:pPr>
          </w:p>
        </w:tc>
        <w:tc>
          <w:tcPr>
            <w:tcW w:w="1759" w:type="dxa"/>
            <w:tcMar>
              <w:top w:w="90" w:type="dxa"/>
              <w:left w:w="110" w:type="dxa"/>
              <w:bottom w:w="90" w:type="dxa"/>
              <w:right w:w="110" w:type="dxa"/>
            </w:tcMar>
            <w:vAlign w:val="center"/>
          </w:tcPr>
          <w:p w14:paraId="75D58C8F">
            <w:pPr>
              <w:spacing w:before="0" w:after="120" w:line="300" w:lineRule="auto"/>
              <w:ind w:firstLine="298" w:firstLineChars="142"/>
              <w:jc w:val="left"/>
            </w:pPr>
            <w:r>
              <w:rPr>
                <w:rFonts w:hint="eastAsia" w:ascii="宋体" w:hAnsi="宋体"/>
              </w:rPr>
              <w:t>项目级别</w:t>
            </w:r>
          </w:p>
        </w:tc>
        <w:tc>
          <w:tcPr>
            <w:tcW w:w="7094" w:type="dxa"/>
            <w:gridSpan w:val="4"/>
            <w:tcMar>
              <w:top w:w="90" w:type="dxa"/>
              <w:left w:w="110" w:type="dxa"/>
              <w:bottom w:w="90" w:type="dxa"/>
              <w:right w:w="110" w:type="dxa"/>
            </w:tcMar>
            <w:vAlign w:val="center"/>
          </w:tcPr>
          <w:p w14:paraId="1C7E48A8">
            <w:pPr>
              <w:spacing w:before="0" w:after="120" w:line="300" w:lineRule="auto"/>
              <w:ind w:firstLine="298" w:firstLineChars="142"/>
              <w:jc w:val="left"/>
              <w:rPr>
                <w:rFonts w:hint="eastAsia" w:ascii="黑体" w:hAnsi="黑体" w:eastAsia="黑体" w:cs="Arial"/>
                <w:b/>
                <w:bCs/>
                <w:color w:val="000000"/>
              </w:rPr>
            </w:pPr>
            <w:r>
              <w:rPr>
                <w:rFonts w:hint="eastAsia" w:ascii="宋体" w:hAnsi="宋体"/>
                <w:color w:val="000000"/>
              </w:rPr>
              <w:t>□国家级</w:t>
            </w:r>
            <w:r>
              <w:rPr>
                <w:rFonts w:hint="eastAsia" w:ascii="宋体" w:hAnsi="宋体"/>
              </w:rPr>
              <w:t xml:space="preserve">      ☑省级      □校级</w:t>
            </w:r>
          </w:p>
        </w:tc>
      </w:tr>
      <w:tr w14:paraId="28E0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9" w:type="dxa"/>
            <w:vMerge w:val="continue"/>
            <w:vAlign w:val="center"/>
          </w:tcPr>
          <w:p w14:paraId="6A572A8D">
            <w:pPr>
              <w:spacing w:line="440" w:lineRule="atLeast"/>
              <w:ind w:firstLine="422"/>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2D084C33">
            <w:pPr>
              <w:spacing w:before="0" w:after="120" w:line="300" w:lineRule="auto"/>
              <w:ind w:firstLine="298" w:firstLineChars="142"/>
              <w:jc w:val="left"/>
            </w:pPr>
            <w:r>
              <w:rPr>
                <w:rFonts w:hint="eastAsia" w:ascii="宋体" w:hAnsi="宋体"/>
              </w:rPr>
              <w:t>项目类别</w:t>
            </w:r>
          </w:p>
        </w:tc>
        <w:tc>
          <w:tcPr>
            <w:tcW w:w="7094" w:type="dxa"/>
            <w:gridSpan w:val="4"/>
            <w:tcMar>
              <w:top w:w="90" w:type="dxa"/>
              <w:left w:w="110" w:type="dxa"/>
              <w:bottom w:w="90" w:type="dxa"/>
              <w:right w:w="110" w:type="dxa"/>
            </w:tcMar>
            <w:vAlign w:val="center"/>
          </w:tcPr>
          <w:p w14:paraId="3260065D">
            <w:pPr>
              <w:spacing w:before="0" w:after="120" w:line="300" w:lineRule="auto"/>
              <w:ind w:firstLine="298" w:firstLineChars="142"/>
              <w:jc w:val="left"/>
              <w:rPr>
                <w:rFonts w:hint="eastAsia" w:ascii="黑体" w:hAnsi="黑体" w:eastAsia="黑体" w:cs="Arial"/>
                <w:b/>
                <w:bCs/>
                <w:color w:val="000000"/>
              </w:rPr>
            </w:pPr>
            <w:r>
              <w:rPr>
                <w:rFonts w:hint="eastAsia" w:ascii="宋体" w:hAnsi="宋体"/>
              </w:rPr>
              <w:t>☑创新训练      □创业训练      □创业实践</w:t>
            </w:r>
          </w:p>
        </w:tc>
      </w:tr>
      <w:tr w14:paraId="179B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5" w:hRule="atLeast"/>
          <w:jc w:val="center"/>
        </w:trPr>
        <w:tc>
          <w:tcPr>
            <w:tcW w:w="1109" w:type="dxa"/>
            <w:vMerge w:val="continue"/>
            <w:vAlign w:val="center"/>
          </w:tcPr>
          <w:p w14:paraId="557235DF">
            <w:pPr>
              <w:spacing w:line="440" w:lineRule="atLeast"/>
              <w:ind w:firstLine="422"/>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1989894D">
            <w:pPr>
              <w:spacing w:before="0" w:after="120" w:line="300" w:lineRule="auto"/>
              <w:ind w:firstLine="298" w:firstLineChars="142"/>
              <w:jc w:val="left"/>
            </w:pPr>
            <w:r>
              <w:rPr>
                <w:rFonts w:hint="eastAsia" w:ascii="宋体" w:hAnsi="宋体" w:cs="Arial"/>
                <w:bCs/>
                <w:color w:val="000000"/>
              </w:rPr>
              <w:t>项目编号</w:t>
            </w:r>
          </w:p>
        </w:tc>
        <w:tc>
          <w:tcPr>
            <w:tcW w:w="2300" w:type="dxa"/>
            <w:gridSpan w:val="2"/>
            <w:tcMar>
              <w:top w:w="90" w:type="dxa"/>
              <w:left w:w="110" w:type="dxa"/>
              <w:bottom w:w="90" w:type="dxa"/>
              <w:right w:w="110" w:type="dxa"/>
            </w:tcMar>
            <w:vAlign w:val="center"/>
          </w:tcPr>
          <w:p w14:paraId="4C6507EB">
            <w:pPr>
              <w:spacing w:before="0" w:after="120" w:line="300" w:lineRule="auto"/>
              <w:ind w:firstLine="298" w:firstLineChars="142"/>
              <w:rPr>
                <w:color w:val="000000"/>
              </w:rPr>
            </w:pPr>
            <w:r>
              <w:rPr>
                <w:rFonts w:ascii="宋体" w:hAnsi="宋体"/>
                <w:color w:val="000000"/>
              </w:rPr>
              <w:t>20260190005</w:t>
            </w:r>
          </w:p>
        </w:tc>
        <w:tc>
          <w:tcPr>
            <w:tcW w:w="1347" w:type="dxa"/>
            <w:tcMar>
              <w:top w:w="90" w:type="dxa"/>
              <w:left w:w="110" w:type="dxa"/>
              <w:bottom w:w="90" w:type="dxa"/>
              <w:right w:w="110" w:type="dxa"/>
            </w:tcMar>
            <w:vAlign w:val="center"/>
          </w:tcPr>
          <w:p w14:paraId="5AED9E02">
            <w:pPr>
              <w:spacing w:before="0" w:after="120" w:line="300" w:lineRule="auto"/>
              <w:ind w:firstLine="0" w:firstLineChars="0"/>
              <w:jc w:val="left"/>
              <w:rPr>
                <w:rFonts w:hint="eastAsia" w:ascii="宋体" w:hAnsi="宋体" w:cs="Arial"/>
                <w:bCs/>
                <w:color w:val="000000"/>
              </w:rPr>
            </w:pPr>
            <w:r>
              <w:rPr>
                <w:rFonts w:ascii="宋体" w:hAnsi="宋体"/>
              </w:rPr>
              <w:t>项目负责人</w:t>
            </w:r>
          </w:p>
        </w:tc>
        <w:tc>
          <w:tcPr>
            <w:tcW w:w="3447" w:type="dxa"/>
            <w:tcMar>
              <w:top w:w="90" w:type="dxa"/>
              <w:left w:w="110" w:type="dxa"/>
              <w:bottom w:w="90" w:type="dxa"/>
              <w:right w:w="110" w:type="dxa"/>
            </w:tcMar>
            <w:vAlign w:val="center"/>
          </w:tcPr>
          <w:p w14:paraId="68D3922F">
            <w:pPr>
              <w:spacing w:before="0" w:after="120" w:line="300" w:lineRule="auto"/>
              <w:ind w:firstLine="298" w:firstLineChars="142"/>
              <w:jc w:val="center"/>
              <w:rPr>
                <w:rFonts w:hint="eastAsia" w:ascii="黑体" w:hAnsi="黑体" w:eastAsia="黑体" w:cs="Arial"/>
                <w:b/>
                <w:bCs/>
                <w:color w:val="000000"/>
              </w:rPr>
            </w:pPr>
            <w:r>
              <w:rPr>
                <w:rFonts w:hint="eastAsia" w:ascii="宋体" w:hAnsi="宋体" w:cs="宋体"/>
                <w:color w:val="000000"/>
              </w:rPr>
              <w:t>王志灏</w:t>
            </w:r>
          </w:p>
        </w:tc>
      </w:tr>
      <w:tr w14:paraId="3AC3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9" w:type="dxa"/>
            <w:vMerge w:val="continue"/>
            <w:vAlign w:val="center"/>
          </w:tcPr>
          <w:p w14:paraId="5684FD85">
            <w:pPr>
              <w:spacing w:line="440" w:lineRule="atLeast"/>
              <w:ind w:firstLine="422"/>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46FEC1A4">
            <w:pPr>
              <w:spacing w:before="0" w:after="120" w:line="300" w:lineRule="auto"/>
              <w:ind w:firstLine="298" w:firstLineChars="142"/>
              <w:jc w:val="left"/>
              <w:rPr>
                <w:rFonts w:hint="eastAsia" w:ascii="黑体" w:hAnsi="黑体" w:eastAsia="黑体" w:cs="Arial"/>
                <w:b/>
                <w:bCs/>
                <w:color w:val="000000"/>
              </w:rPr>
            </w:pPr>
            <w:r>
              <w:rPr>
                <w:rFonts w:ascii="宋体" w:hAnsi="宋体"/>
              </w:rPr>
              <w:t>指导教师</w:t>
            </w:r>
          </w:p>
        </w:tc>
        <w:tc>
          <w:tcPr>
            <w:tcW w:w="2300" w:type="dxa"/>
            <w:gridSpan w:val="2"/>
            <w:tcMar>
              <w:top w:w="90" w:type="dxa"/>
              <w:left w:w="110" w:type="dxa"/>
              <w:bottom w:w="90" w:type="dxa"/>
              <w:right w:w="110" w:type="dxa"/>
            </w:tcMar>
            <w:vAlign w:val="center"/>
          </w:tcPr>
          <w:p w14:paraId="365780C1">
            <w:pPr>
              <w:spacing w:before="0" w:after="120" w:line="300" w:lineRule="auto"/>
              <w:ind w:firstLine="718" w:firstLineChars="342"/>
              <w:jc w:val="left"/>
              <w:rPr>
                <w:rFonts w:hint="eastAsia" w:ascii="宋体" w:hAnsi="宋体" w:cs="宋体"/>
                <w:color w:val="000000"/>
              </w:rPr>
            </w:pPr>
            <w:r>
              <w:rPr>
                <w:rFonts w:hint="eastAsia" w:ascii="宋体" w:hAnsi="宋体" w:cs="宋体"/>
                <w:color w:val="000000"/>
              </w:rPr>
              <w:t>李维德</w:t>
            </w:r>
          </w:p>
        </w:tc>
        <w:tc>
          <w:tcPr>
            <w:tcW w:w="1347" w:type="dxa"/>
            <w:tcMar>
              <w:top w:w="90" w:type="dxa"/>
              <w:left w:w="110" w:type="dxa"/>
              <w:bottom w:w="90" w:type="dxa"/>
              <w:right w:w="110" w:type="dxa"/>
            </w:tcMar>
            <w:vAlign w:val="center"/>
          </w:tcPr>
          <w:p w14:paraId="55F32D3A">
            <w:pPr>
              <w:spacing w:before="0" w:after="120" w:line="300" w:lineRule="auto"/>
              <w:ind w:firstLine="0" w:firstLineChars="0"/>
              <w:jc w:val="left"/>
              <w:rPr>
                <w:rFonts w:hint="eastAsia" w:ascii="黑体" w:hAnsi="黑体" w:cs="Arial"/>
                <w:b/>
                <w:bCs/>
                <w:color w:val="000000"/>
              </w:rPr>
            </w:pPr>
            <w:r>
              <w:rPr>
                <w:rFonts w:hint="eastAsia" w:ascii="宋体" w:hAnsi="宋体" w:cs="Arial"/>
                <w:bCs/>
                <w:color w:val="000000"/>
              </w:rPr>
              <w:t>朋辈导师</w:t>
            </w:r>
          </w:p>
        </w:tc>
        <w:tc>
          <w:tcPr>
            <w:tcW w:w="3447" w:type="dxa"/>
            <w:tcMar>
              <w:top w:w="90" w:type="dxa"/>
              <w:left w:w="110" w:type="dxa"/>
              <w:bottom w:w="90" w:type="dxa"/>
              <w:right w:w="110" w:type="dxa"/>
            </w:tcMar>
            <w:vAlign w:val="center"/>
          </w:tcPr>
          <w:p w14:paraId="6D1ADDFD">
            <w:pPr>
              <w:spacing w:before="0" w:after="120" w:line="300" w:lineRule="auto"/>
              <w:ind w:firstLine="298" w:firstLineChars="142"/>
              <w:jc w:val="center"/>
              <w:rPr>
                <w:rFonts w:hint="eastAsia" w:ascii="黑体" w:hAnsi="黑体" w:eastAsia="黑体" w:cs="Arial"/>
                <w:b/>
                <w:bCs/>
                <w:color w:val="000000"/>
              </w:rPr>
            </w:pPr>
            <w:r>
              <w:rPr>
                <w:rFonts w:hint="eastAsia" w:ascii="宋体" w:hAnsi="宋体" w:cs="宋体"/>
                <w:color w:val="000000"/>
              </w:rPr>
              <w:t>李丹阳</w:t>
            </w:r>
          </w:p>
        </w:tc>
      </w:tr>
      <w:tr w14:paraId="5BBB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9" w:type="dxa"/>
            <w:vMerge w:val="continue"/>
            <w:vAlign w:val="center"/>
          </w:tcPr>
          <w:p w14:paraId="6A50D687">
            <w:pPr>
              <w:spacing w:line="440" w:lineRule="atLeast"/>
              <w:ind w:firstLine="422"/>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3A42D701">
            <w:pPr>
              <w:spacing w:before="0" w:after="120" w:line="300" w:lineRule="auto"/>
              <w:ind w:firstLine="210" w:firstLineChars="100"/>
              <w:jc w:val="left"/>
            </w:pPr>
            <w:r>
              <w:rPr>
                <w:rFonts w:hint="eastAsia" w:ascii="宋体" w:hAnsi="宋体"/>
              </w:rPr>
              <w:t>已支出经费</w:t>
            </w:r>
          </w:p>
        </w:tc>
        <w:tc>
          <w:tcPr>
            <w:tcW w:w="7094" w:type="dxa"/>
            <w:gridSpan w:val="4"/>
            <w:tcMar>
              <w:top w:w="90" w:type="dxa"/>
              <w:left w:w="110" w:type="dxa"/>
              <w:bottom w:w="90" w:type="dxa"/>
              <w:right w:w="110" w:type="dxa"/>
            </w:tcMar>
            <w:vAlign w:val="center"/>
          </w:tcPr>
          <w:p w14:paraId="313F12A9">
            <w:pPr>
              <w:spacing w:before="0" w:after="120" w:line="300" w:lineRule="auto"/>
              <w:ind w:firstLine="2398" w:firstLineChars="1142"/>
              <w:rPr>
                <w:rFonts w:hint="eastAsia" w:ascii="黑体" w:hAnsi="黑体" w:eastAsia="黑体" w:cs="Arial"/>
                <w:b/>
                <w:bCs/>
                <w:color w:val="000000"/>
              </w:rPr>
            </w:pPr>
            <w:r>
              <w:rPr>
                <w:rFonts w:ascii="宋体" w:hAnsi="宋体"/>
                <w:color w:val="000000"/>
              </w:rPr>
              <w:t>500元</w:t>
            </w:r>
          </w:p>
        </w:tc>
      </w:tr>
      <w:tr w14:paraId="4CCD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7" w:hRule="atLeast"/>
          <w:jc w:val="center"/>
        </w:trPr>
        <w:tc>
          <w:tcPr>
            <w:tcW w:w="1109" w:type="dxa"/>
            <w:vMerge w:val="restart"/>
            <w:tcMar>
              <w:top w:w="90" w:type="dxa"/>
              <w:left w:w="110" w:type="dxa"/>
              <w:bottom w:w="90" w:type="dxa"/>
              <w:right w:w="110" w:type="dxa"/>
            </w:tcMar>
            <w:textDirection w:val="tbRlV"/>
            <w:vAlign w:val="center"/>
          </w:tcPr>
          <w:p w14:paraId="4BE7252A">
            <w:pPr>
              <w:spacing w:before="0" w:after="120" w:line="300" w:lineRule="auto"/>
              <w:ind w:firstLine="0" w:firstLineChars="0"/>
              <w:jc w:val="center"/>
              <w:rPr>
                <w:rFonts w:hint="eastAsia" w:ascii="黑体" w:hAnsi="黑体" w:eastAsia="黑体" w:cs="Arial"/>
                <w:b/>
                <w:bCs/>
                <w:color w:val="000000"/>
              </w:rPr>
            </w:pPr>
            <w:r>
              <w:rPr>
                <w:rFonts w:ascii="宋体" w:hAnsi="宋体"/>
                <w:b/>
                <w:bCs/>
              </w:rPr>
              <w:t>其</w:t>
            </w:r>
            <w:r>
              <w:rPr>
                <w:rFonts w:hint="eastAsia" w:ascii="宋体" w:hAnsi="宋体"/>
                <w:b/>
                <w:bCs/>
              </w:rPr>
              <w:t xml:space="preserve"> </w:t>
            </w:r>
            <w:r>
              <w:rPr>
                <w:rFonts w:ascii="宋体" w:hAnsi="宋体"/>
                <w:b/>
                <w:bCs/>
              </w:rPr>
              <w:t>他</w:t>
            </w:r>
            <w:r>
              <w:rPr>
                <w:rFonts w:hint="eastAsia" w:ascii="宋体" w:hAnsi="宋体"/>
                <w:b/>
                <w:bCs/>
              </w:rPr>
              <w:t xml:space="preserve"> </w:t>
            </w:r>
            <w:r>
              <w:rPr>
                <w:rFonts w:ascii="宋体" w:hAnsi="宋体"/>
                <w:b/>
                <w:bCs/>
              </w:rPr>
              <w:t>合</w:t>
            </w:r>
            <w:r>
              <w:rPr>
                <w:rFonts w:hint="eastAsia" w:ascii="宋体" w:hAnsi="宋体"/>
                <w:b/>
                <w:bCs/>
              </w:rPr>
              <w:t xml:space="preserve"> </w:t>
            </w:r>
            <w:r>
              <w:rPr>
                <w:rFonts w:ascii="宋体" w:hAnsi="宋体"/>
                <w:b/>
                <w:bCs/>
              </w:rPr>
              <w:t>作</w:t>
            </w:r>
            <w:r>
              <w:rPr>
                <w:rFonts w:hint="eastAsia" w:ascii="宋体" w:hAnsi="宋体"/>
                <w:b/>
                <w:bCs/>
              </w:rPr>
              <w:t xml:space="preserve"> </w:t>
            </w:r>
            <w:r>
              <w:rPr>
                <w:rFonts w:ascii="宋体" w:hAnsi="宋体"/>
                <w:b/>
                <w:bCs/>
              </w:rPr>
              <w:t>者</w:t>
            </w:r>
            <w:r>
              <w:rPr>
                <w:rFonts w:hint="eastAsia" w:ascii="宋体" w:hAnsi="宋体"/>
                <w:b/>
                <w:bCs/>
              </w:rPr>
              <w:t xml:space="preserve"> </w:t>
            </w:r>
            <w:r>
              <w:rPr>
                <w:rFonts w:ascii="宋体" w:hAnsi="宋体"/>
                <w:b/>
                <w:bCs/>
              </w:rPr>
              <w:t>情</w:t>
            </w:r>
            <w:r>
              <w:rPr>
                <w:rFonts w:hint="eastAsia" w:ascii="宋体" w:hAnsi="宋体"/>
                <w:b/>
                <w:bCs/>
              </w:rPr>
              <w:t xml:space="preserve"> </w:t>
            </w:r>
            <w:r>
              <w:rPr>
                <w:rFonts w:ascii="宋体" w:hAnsi="宋体"/>
                <w:b/>
                <w:bCs/>
              </w:rPr>
              <w:t>况</w:t>
            </w:r>
          </w:p>
        </w:tc>
        <w:tc>
          <w:tcPr>
            <w:tcW w:w="1759" w:type="dxa"/>
            <w:tcMar>
              <w:top w:w="90" w:type="dxa"/>
              <w:left w:w="110" w:type="dxa"/>
              <w:bottom w:w="90" w:type="dxa"/>
              <w:right w:w="110" w:type="dxa"/>
            </w:tcMar>
            <w:vAlign w:val="center"/>
          </w:tcPr>
          <w:p w14:paraId="7D89AC7F">
            <w:pPr>
              <w:spacing w:before="0" w:after="120" w:line="300" w:lineRule="auto"/>
              <w:ind w:firstLine="508" w:firstLineChars="242"/>
              <w:jc w:val="left"/>
              <w:rPr>
                <w:rFonts w:hint="eastAsia" w:ascii="宋体" w:hAnsi="宋体" w:cs="Arial"/>
                <w:bCs/>
                <w:color w:val="000000"/>
              </w:rPr>
            </w:pPr>
            <w:r>
              <w:rPr>
                <w:rFonts w:hint="eastAsia" w:ascii="宋体" w:hAnsi="宋体" w:cs="Arial"/>
                <w:bCs/>
                <w:color w:val="000000"/>
              </w:rPr>
              <w:t>姓  名</w:t>
            </w:r>
          </w:p>
        </w:tc>
        <w:tc>
          <w:tcPr>
            <w:tcW w:w="2300" w:type="dxa"/>
            <w:gridSpan w:val="2"/>
            <w:tcMar>
              <w:top w:w="90" w:type="dxa"/>
              <w:left w:w="110" w:type="dxa"/>
              <w:bottom w:w="90" w:type="dxa"/>
              <w:right w:w="110" w:type="dxa"/>
            </w:tcMar>
            <w:vAlign w:val="center"/>
          </w:tcPr>
          <w:p w14:paraId="25AB8816">
            <w:pPr>
              <w:spacing w:before="0" w:after="120" w:line="300" w:lineRule="auto"/>
              <w:ind w:firstLine="840" w:firstLineChars="400"/>
              <w:jc w:val="left"/>
              <w:rPr>
                <w:rFonts w:hint="eastAsia" w:ascii="宋体" w:hAnsi="宋体" w:cs="Arial"/>
                <w:bCs/>
                <w:color w:val="000000"/>
              </w:rPr>
            </w:pPr>
            <w:r>
              <w:rPr>
                <w:rFonts w:hint="eastAsia" w:ascii="宋体" w:hAnsi="宋体" w:cs="Arial"/>
                <w:bCs/>
                <w:color w:val="000000"/>
              </w:rPr>
              <w:t>学  院</w:t>
            </w:r>
          </w:p>
        </w:tc>
        <w:tc>
          <w:tcPr>
            <w:tcW w:w="1347" w:type="dxa"/>
            <w:tcMar>
              <w:top w:w="90" w:type="dxa"/>
              <w:left w:w="110" w:type="dxa"/>
              <w:bottom w:w="90" w:type="dxa"/>
              <w:right w:w="110" w:type="dxa"/>
            </w:tcMar>
            <w:vAlign w:val="center"/>
          </w:tcPr>
          <w:p w14:paraId="409088E3">
            <w:pPr>
              <w:spacing w:before="0" w:after="120" w:line="300" w:lineRule="auto"/>
              <w:ind w:firstLine="210" w:firstLineChars="100"/>
              <w:jc w:val="left"/>
              <w:rPr>
                <w:rFonts w:hint="eastAsia" w:ascii="宋体" w:hAnsi="宋体" w:cs="Arial"/>
                <w:bCs/>
                <w:color w:val="000000"/>
              </w:rPr>
            </w:pPr>
            <w:r>
              <w:rPr>
                <w:rFonts w:hint="eastAsia" w:ascii="宋体" w:hAnsi="宋体" w:cs="Arial"/>
                <w:bCs/>
                <w:color w:val="000000"/>
              </w:rPr>
              <w:t>年  级</w:t>
            </w:r>
          </w:p>
        </w:tc>
        <w:tc>
          <w:tcPr>
            <w:tcW w:w="3447" w:type="dxa"/>
            <w:tcMar>
              <w:top w:w="90" w:type="dxa"/>
              <w:left w:w="110" w:type="dxa"/>
              <w:bottom w:w="90" w:type="dxa"/>
              <w:right w:w="110" w:type="dxa"/>
            </w:tcMar>
            <w:vAlign w:val="center"/>
          </w:tcPr>
          <w:p w14:paraId="03E03E97">
            <w:pPr>
              <w:spacing w:before="0" w:after="120" w:line="300" w:lineRule="auto"/>
              <w:ind w:firstLine="420"/>
              <w:jc w:val="left"/>
              <w:rPr>
                <w:rFonts w:hint="eastAsia" w:ascii="宋体" w:hAnsi="宋体" w:cs="Arial"/>
                <w:bCs/>
                <w:color w:val="000000"/>
              </w:rPr>
            </w:pPr>
            <w:r>
              <w:rPr>
                <w:rFonts w:hint="eastAsia" w:ascii="宋体" w:hAnsi="宋体" w:cs="Arial"/>
                <w:bCs/>
                <w:color w:val="000000"/>
              </w:rPr>
              <w:t>专  业</w:t>
            </w:r>
          </w:p>
        </w:tc>
      </w:tr>
      <w:tr w14:paraId="52B9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jc w:val="center"/>
        </w:trPr>
        <w:tc>
          <w:tcPr>
            <w:tcW w:w="1109" w:type="dxa"/>
            <w:vMerge w:val="continue"/>
            <w:vAlign w:val="center"/>
          </w:tcPr>
          <w:p w14:paraId="10B0BB62">
            <w:pPr>
              <w:spacing w:line="440" w:lineRule="atLeast"/>
              <w:ind w:firstLine="422"/>
              <w:jc w:val="center"/>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6711463D">
            <w:pPr>
              <w:spacing w:before="0" w:after="120" w:line="300" w:lineRule="auto"/>
              <w:ind w:firstLine="0" w:firstLineChars="0"/>
              <w:jc w:val="center"/>
              <w:rPr>
                <w:rFonts w:hint="eastAsia" w:ascii="宋体" w:hAnsi="宋体" w:cs="宋体"/>
                <w:color w:val="000000"/>
              </w:rPr>
            </w:pPr>
            <w:r>
              <w:rPr>
                <w:rFonts w:hint="eastAsia" w:ascii="宋体" w:hAnsi="宋体" w:cs="宋体"/>
                <w:color w:val="000000"/>
              </w:rPr>
              <w:t>王志灏</w:t>
            </w:r>
          </w:p>
        </w:tc>
        <w:tc>
          <w:tcPr>
            <w:tcW w:w="2300" w:type="dxa"/>
            <w:gridSpan w:val="2"/>
            <w:tcMar>
              <w:top w:w="90" w:type="dxa"/>
              <w:left w:w="110" w:type="dxa"/>
              <w:bottom w:w="90" w:type="dxa"/>
              <w:right w:w="110" w:type="dxa"/>
            </w:tcMar>
            <w:vAlign w:val="center"/>
          </w:tcPr>
          <w:p w14:paraId="1CC06F60">
            <w:pPr>
              <w:spacing w:before="0" w:after="120" w:line="300" w:lineRule="auto"/>
              <w:ind w:firstLine="0" w:firstLineChars="0"/>
              <w:jc w:val="center"/>
              <w:rPr>
                <w:rFonts w:hint="eastAsia" w:ascii="宋体" w:hAnsi="宋体" w:cs="宋体"/>
                <w:color w:val="000000"/>
              </w:rPr>
            </w:pPr>
            <w:r>
              <w:rPr>
                <w:rFonts w:hint="eastAsia" w:ascii="宋体" w:hAnsi="宋体" w:cs="宋体"/>
                <w:color w:val="000000"/>
              </w:rPr>
              <w:t>数学与统计学院</w:t>
            </w:r>
          </w:p>
        </w:tc>
        <w:tc>
          <w:tcPr>
            <w:tcW w:w="1347" w:type="dxa"/>
            <w:tcMar>
              <w:top w:w="90" w:type="dxa"/>
              <w:left w:w="110" w:type="dxa"/>
              <w:bottom w:w="90" w:type="dxa"/>
              <w:right w:w="110" w:type="dxa"/>
            </w:tcMar>
            <w:vAlign w:val="center"/>
          </w:tcPr>
          <w:p w14:paraId="1D7D67DB">
            <w:pPr>
              <w:spacing w:before="0" w:after="120" w:line="300" w:lineRule="auto"/>
              <w:ind w:firstLine="0" w:firstLineChars="0"/>
              <w:jc w:val="center"/>
              <w:rPr>
                <w:color w:val="000000"/>
              </w:rPr>
            </w:pPr>
            <w:r>
              <w:rPr>
                <w:rFonts w:ascii="宋体" w:hAnsi="宋体"/>
                <w:color w:val="000000"/>
              </w:rPr>
              <w:t>2024</w:t>
            </w:r>
          </w:p>
        </w:tc>
        <w:tc>
          <w:tcPr>
            <w:tcW w:w="3447" w:type="dxa"/>
            <w:tcMar>
              <w:top w:w="90" w:type="dxa"/>
              <w:left w:w="110" w:type="dxa"/>
              <w:bottom w:w="90" w:type="dxa"/>
              <w:right w:w="110" w:type="dxa"/>
            </w:tcMar>
            <w:vAlign w:val="center"/>
          </w:tcPr>
          <w:p w14:paraId="6F05F5F3">
            <w:pPr>
              <w:spacing w:before="0" w:after="120" w:line="300" w:lineRule="auto"/>
              <w:ind w:firstLine="0" w:firstLineChars="0"/>
              <w:jc w:val="center"/>
              <w:rPr>
                <w:rFonts w:hint="eastAsia" w:ascii="黑体" w:hAnsi="黑体" w:cs="Arial"/>
                <w:bCs/>
                <w:color w:val="000000"/>
              </w:rPr>
            </w:pPr>
            <w:r>
              <w:rPr>
                <w:rFonts w:hint="eastAsia" w:ascii="黑体" w:hAnsi="黑体" w:cs="Arial"/>
                <w:bCs/>
                <w:color w:val="000000"/>
              </w:rPr>
              <w:t>统计学</w:t>
            </w:r>
          </w:p>
        </w:tc>
      </w:tr>
      <w:tr w14:paraId="2085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jc w:val="center"/>
        </w:trPr>
        <w:tc>
          <w:tcPr>
            <w:tcW w:w="1109" w:type="dxa"/>
            <w:vMerge w:val="continue"/>
            <w:vAlign w:val="center"/>
          </w:tcPr>
          <w:p w14:paraId="2F265661">
            <w:pPr>
              <w:spacing w:line="440" w:lineRule="atLeast"/>
              <w:ind w:firstLine="422"/>
              <w:jc w:val="center"/>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6CCC93AA">
            <w:pPr>
              <w:spacing w:before="0" w:after="120" w:line="300" w:lineRule="auto"/>
              <w:ind w:firstLine="0" w:firstLineChars="0"/>
              <w:jc w:val="center"/>
              <w:rPr>
                <w:rFonts w:hint="eastAsia" w:ascii="宋体" w:hAnsi="宋体" w:cs="宋体"/>
                <w:bCs/>
                <w:color w:val="000000"/>
              </w:rPr>
            </w:pPr>
            <w:r>
              <w:rPr>
                <w:rFonts w:hint="eastAsia" w:ascii="宋体" w:hAnsi="宋体" w:cs="宋体"/>
                <w:bCs/>
                <w:color w:val="000000"/>
              </w:rPr>
              <w:t>朱志柯</w:t>
            </w:r>
          </w:p>
        </w:tc>
        <w:tc>
          <w:tcPr>
            <w:tcW w:w="2300" w:type="dxa"/>
            <w:gridSpan w:val="2"/>
            <w:tcMar>
              <w:top w:w="90" w:type="dxa"/>
              <w:left w:w="110" w:type="dxa"/>
              <w:bottom w:w="90" w:type="dxa"/>
              <w:right w:w="110" w:type="dxa"/>
            </w:tcMar>
            <w:vAlign w:val="center"/>
          </w:tcPr>
          <w:p w14:paraId="7F49C515">
            <w:pPr>
              <w:spacing w:before="0" w:after="120" w:line="300" w:lineRule="auto"/>
              <w:ind w:firstLine="0" w:firstLineChars="0"/>
              <w:jc w:val="center"/>
              <w:rPr>
                <w:rFonts w:hint="eastAsia" w:ascii="宋体" w:hAnsi="宋体" w:cs="宋体"/>
                <w:color w:val="000000"/>
              </w:rPr>
            </w:pPr>
            <w:r>
              <w:rPr>
                <w:rFonts w:hint="eastAsia" w:ascii="宋体" w:hAnsi="宋体" w:cs="宋体"/>
                <w:color w:val="000000"/>
              </w:rPr>
              <w:t>数学与统计学院</w:t>
            </w:r>
          </w:p>
        </w:tc>
        <w:tc>
          <w:tcPr>
            <w:tcW w:w="1347" w:type="dxa"/>
            <w:tcMar>
              <w:top w:w="90" w:type="dxa"/>
              <w:left w:w="110" w:type="dxa"/>
              <w:bottom w:w="90" w:type="dxa"/>
              <w:right w:w="110" w:type="dxa"/>
            </w:tcMar>
            <w:vAlign w:val="center"/>
          </w:tcPr>
          <w:p w14:paraId="4C1ABF39">
            <w:pPr>
              <w:spacing w:before="0" w:after="120" w:line="300" w:lineRule="auto"/>
              <w:ind w:firstLine="0" w:firstLineChars="0"/>
              <w:jc w:val="center"/>
              <w:rPr>
                <w:color w:val="000000"/>
              </w:rPr>
            </w:pPr>
            <w:r>
              <w:rPr>
                <w:rFonts w:ascii="宋体" w:hAnsi="宋体"/>
                <w:color w:val="000000"/>
              </w:rPr>
              <w:t>2024</w:t>
            </w:r>
          </w:p>
        </w:tc>
        <w:tc>
          <w:tcPr>
            <w:tcW w:w="3447" w:type="dxa"/>
            <w:tcMar>
              <w:top w:w="90" w:type="dxa"/>
              <w:left w:w="110" w:type="dxa"/>
              <w:bottom w:w="90" w:type="dxa"/>
              <w:right w:w="110" w:type="dxa"/>
            </w:tcMar>
            <w:vAlign w:val="center"/>
          </w:tcPr>
          <w:p w14:paraId="3926CCA4">
            <w:pPr>
              <w:spacing w:before="0" w:after="120" w:line="300" w:lineRule="auto"/>
              <w:ind w:firstLine="0" w:firstLineChars="0"/>
              <w:jc w:val="center"/>
              <w:rPr>
                <w:color w:val="000000"/>
              </w:rPr>
            </w:pPr>
            <w:r>
              <w:rPr>
                <w:rFonts w:hint="eastAsia" w:ascii="宋体" w:hAnsi="宋体"/>
                <w:color w:val="000000"/>
              </w:rPr>
              <w:t>数学与应用数学</w:t>
            </w:r>
          </w:p>
        </w:tc>
      </w:tr>
      <w:tr w14:paraId="23E2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8" w:hRule="atLeast"/>
          <w:jc w:val="center"/>
        </w:trPr>
        <w:tc>
          <w:tcPr>
            <w:tcW w:w="1109" w:type="dxa"/>
            <w:vMerge w:val="continue"/>
            <w:vAlign w:val="center"/>
          </w:tcPr>
          <w:p w14:paraId="3EC1B65C">
            <w:pPr>
              <w:spacing w:line="440" w:lineRule="atLeast"/>
              <w:ind w:firstLine="422"/>
              <w:jc w:val="center"/>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287DCF20">
            <w:pPr>
              <w:spacing w:before="0" w:after="120" w:line="300" w:lineRule="auto"/>
              <w:ind w:firstLine="0" w:firstLineChars="0"/>
              <w:jc w:val="center"/>
              <w:rPr>
                <w:rFonts w:hint="eastAsia" w:ascii="宋体" w:hAnsi="宋体" w:cs="宋体"/>
                <w:bCs/>
                <w:color w:val="000000"/>
              </w:rPr>
            </w:pPr>
            <w:r>
              <w:rPr>
                <w:rFonts w:hint="eastAsia" w:ascii="宋体" w:hAnsi="宋体" w:cs="宋体"/>
                <w:bCs/>
                <w:color w:val="000000"/>
              </w:rPr>
              <w:t>袁  伟</w:t>
            </w:r>
          </w:p>
        </w:tc>
        <w:tc>
          <w:tcPr>
            <w:tcW w:w="2300" w:type="dxa"/>
            <w:gridSpan w:val="2"/>
            <w:tcMar>
              <w:top w:w="90" w:type="dxa"/>
              <w:left w:w="110" w:type="dxa"/>
              <w:bottom w:w="90" w:type="dxa"/>
              <w:right w:w="110" w:type="dxa"/>
            </w:tcMar>
            <w:vAlign w:val="center"/>
          </w:tcPr>
          <w:p w14:paraId="7D7FC115">
            <w:pPr>
              <w:spacing w:before="0" w:after="120" w:line="300" w:lineRule="auto"/>
              <w:ind w:firstLine="0" w:firstLineChars="0"/>
              <w:jc w:val="center"/>
              <w:rPr>
                <w:rFonts w:hint="eastAsia" w:ascii="宋体" w:hAnsi="宋体" w:cs="宋体"/>
                <w:bCs/>
                <w:color w:val="000000"/>
              </w:rPr>
            </w:pPr>
            <w:r>
              <w:rPr>
                <w:rFonts w:hint="eastAsia" w:ascii="宋体" w:hAnsi="宋体" w:cs="宋体"/>
                <w:bCs/>
                <w:color w:val="000000"/>
              </w:rPr>
              <w:t>数学与统计学院</w:t>
            </w:r>
          </w:p>
        </w:tc>
        <w:tc>
          <w:tcPr>
            <w:tcW w:w="1347" w:type="dxa"/>
            <w:tcMar>
              <w:top w:w="90" w:type="dxa"/>
              <w:left w:w="110" w:type="dxa"/>
              <w:bottom w:w="90" w:type="dxa"/>
              <w:right w:w="110" w:type="dxa"/>
            </w:tcMar>
            <w:vAlign w:val="center"/>
          </w:tcPr>
          <w:p w14:paraId="291F4741">
            <w:pPr>
              <w:spacing w:before="0" w:after="120" w:line="300" w:lineRule="auto"/>
              <w:ind w:firstLine="0" w:firstLineChars="0"/>
              <w:jc w:val="center"/>
              <w:rPr>
                <w:bCs/>
                <w:color w:val="000000"/>
              </w:rPr>
            </w:pPr>
            <w:r>
              <w:rPr>
                <w:rFonts w:ascii="宋体" w:hAnsi="宋体"/>
                <w:bCs/>
                <w:color w:val="000000"/>
              </w:rPr>
              <w:t>2024</w:t>
            </w:r>
          </w:p>
        </w:tc>
        <w:tc>
          <w:tcPr>
            <w:tcW w:w="3447" w:type="dxa"/>
            <w:tcMar>
              <w:top w:w="90" w:type="dxa"/>
              <w:left w:w="110" w:type="dxa"/>
              <w:bottom w:w="90" w:type="dxa"/>
              <w:right w:w="110" w:type="dxa"/>
            </w:tcMar>
            <w:vAlign w:val="center"/>
          </w:tcPr>
          <w:p w14:paraId="2FFD4F92">
            <w:pPr>
              <w:spacing w:before="0" w:after="120" w:line="300" w:lineRule="auto"/>
              <w:ind w:firstLine="0" w:firstLineChars="0"/>
              <w:jc w:val="center"/>
              <w:rPr>
                <w:rFonts w:hint="eastAsia" w:ascii="宋体" w:hAnsi="宋体" w:cs="宋体"/>
                <w:bCs/>
                <w:color w:val="000000"/>
              </w:rPr>
            </w:pPr>
            <w:r>
              <w:rPr>
                <w:rFonts w:hint="eastAsia" w:ascii="宋体" w:hAnsi="宋体" w:cs="宋体"/>
                <w:bCs/>
                <w:color w:val="000000"/>
              </w:rPr>
              <w:t>信息与计算科学</w:t>
            </w:r>
          </w:p>
        </w:tc>
      </w:tr>
      <w:tr w14:paraId="65AC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jc w:val="center"/>
        </w:trPr>
        <w:tc>
          <w:tcPr>
            <w:tcW w:w="1109" w:type="dxa"/>
            <w:vMerge w:val="continue"/>
            <w:vAlign w:val="center"/>
          </w:tcPr>
          <w:p w14:paraId="40B24181">
            <w:pPr>
              <w:spacing w:line="440" w:lineRule="atLeast"/>
              <w:ind w:firstLine="422"/>
              <w:jc w:val="center"/>
              <w:rPr>
                <w:rFonts w:hint="eastAsia" w:ascii="黑体" w:hAnsi="黑体" w:eastAsia="黑体" w:cs="Arial"/>
                <w:b/>
                <w:bCs/>
                <w:color w:val="000000"/>
              </w:rPr>
            </w:pPr>
          </w:p>
        </w:tc>
        <w:tc>
          <w:tcPr>
            <w:tcW w:w="1759" w:type="dxa"/>
            <w:tcMar>
              <w:top w:w="90" w:type="dxa"/>
              <w:left w:w="110" w:type="dxa"/>
              <w:bottom w:w="90" w:type="dxa"/>
              <w:right w:w="110" w:type="dxa"/>
            </w:tcMar>
            <w:vAlign w:val="center"/>
          </w:tcPr>
          <w:p w14:paraId="1187D4C6">
            <w:pPr>
              <w:spacing w:before="0" w:after="120" w:line="300" w:lineRule="auto"/>
              <w:ind w:firstLine="0" w:firstLineChars="0"/>
              <w:jc w:val="center"/>
              <w:rPr>
                <w:rFonts w:hint="eastAsia" w:ascii="宋体" w:hAnsi="宋体" w:cs="宋体"/>
                <w:bCs/>
                <w:color w:val="000000"/>
              </w:rPr>
            </w:pPr>
            <w:r>
              <w:rPr>
                <w:rFonts w:hint="eastAsia" w:ascii="宋体" w:hAnsi="宋体" w:cs="宋体"/>
                <w:bCs/>
                <w:color w:val="000000"/>
              </w:rPr>
              <w:t>梁梦真</w:t>
            </w:r>
          </w:p>
        </w:tc>
        <w:tc>
          <w:tcPr>
            <w:tcW w:w="2300" w:type="dxa"/>
            <w:gridSpan w:val="2"/>
            <w:tcMar>
              <w:top w:w="90" w:type="dxa"/>
              <w:left w:w="110" w:type="dxa"/>
              <w:bottom w:w="90" w:type="dxa"/>
              <w:right w:w="110" w:type="dxa"/>
            </w:tcMar>
            <w:vAlign w:val="center"/>
          </w:tcPr>
          <w:p w14:paraId="22FA5A6B">
            <w:pPr>
              <w:spacing w:before="0" w:after="120" w:line="300" w:lineRule="auto"/>
              <w:ind w:firstLine="0" w:firstLineChars="0"/>
              <w:jc w:val="center"/>
              <w:rPr>
                <w:rFonts w:hint="eastAsia" w:ascii="宋体" w:hAnsi="宋体" w:cs="宋体"/>
                <w:bCs/>
                <w:color w:val="000000"/>
              </w:rPr>
            </w:pPr>
            <w:r>
              <w:rPr>
                <w:rFonts w:hint="eastAsia" w:ascii="宋体" w:hAnsi="宋体" w:cs="宋体"/>
                <w:bCs/>
                <w:color w:val="000000"/>
              </w:rPr>
              <w:t>公共卫生学院</w:t>
            </w:r>
          </w:p>
        </w:tc>
        <w:tc>
          <w:tcPr>
            <w:tcW w:w="1347" w:type="dxa"/>
            <w:tcMar>
              <w:top w:w="90" w:type="dxa"/>
              <w:left w:w="110" w:type="dxa"/>
              <w:bottom w:w="90" w:type="dxa"/>
              <w:right w:w="110" w:type="dxa"/>
            </w:tcMar>
            <w:vAlign w:val="center"/>
          </w:tcPr>
          <w:p w14:paraId="796B6DF8">
            <w:pPr>
              <w:spacing w:before="0" w:after="120" w:line="300" w:lineRule="auto"/>
              <w:ind w:firstLine="0" w:firstLineChars="0"/>
              <w:jc w:val="center"/>
              <w:rPr>
                <w:bCs/>
                <w:color w:val="000000"/>
              </w:rPr>
            </w:pPr>
            <w:r>
              <w:rPr>
                <w:rFonts w:ascii="宋体" w:hAnsi="宋体"/>
                <w:bCs/>
                <w:color w:val="000000"/>
              </w:rPr>
              <w:t>2025</w:t>
            </w:r>
          </w:p>
        </w:tc>
        <w:tc>
          <w:tcPr>
            <w:tcW w:w="3447" w:type="dxa"/>
            <w:tcMar>
              <w:top w:w="90" w:type="dxa"/>
              <w:left w:w="110" w:type="dxa"/>
              <w:bottom w:w="90" w:type="dxa"/>
              <w:right w:w="110" w:type="dxa"/>
            </w:tcMar>
            <w:vAlign w:val="center"/>
          </w:tcPr>
          <w:p w14:paraId="2966BEA7">
            <w:pPr>
              <w:spacing w:before="0" w:after="120" w:line="300" w:lineRule="auto"/>
              <w:ind w:firstLine="0" w:firstLineChars="0"/>
              <w:jc w:val="center"/>
              <w:rPr>
                <w:rFonts w:hint="eastAsia" w:ascii="宋体" w:hAnsi="宋体" w:cs="宋体"/>
                <w:bCs/>
                <w:color w:val="000000"/>
              </w:rPr>
            </w:pPr>
            <w:r>
              <w:rPr>
                <w:rFonts w:hint="eastAsia" w:ascii="宋体" w:hAnsi="宋体" w:cs="宋体"/>
                <w:bCs/>
                <w:color w:val="000000"/>
              </w:rPr>
              <w:t>预防医学</w:t>
            </w:r>
          </w:p>
        </w:tc>
      </w:tr>
      <w:tr w14:paraId="0817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5" w:hRule="atLeast"/>
          <w:jc w:val="center"/>
        </w:trPr>
        <w:tc>
          <w:tcPr>
            <w:tcW w:w="1109" w:type="dxa"/>
            <w:tcMar>
              <w:top w:w="90" w:type="dxa"/>
              <w:left w:w="110" w:type="dxa"/>
              <w:bottom w:w="90" w:type="dxa"/>
              <w:right w:w="110" w:type="dxa"/>
            </w:tcMar>
            <w:textDirection w:val="tbRlV"/>
            <w:vAlign w:val="center"/>
          </w:tcPr>
          <w:p w14:paraId="325C3A32">
            <w:pPr>
              <w:spacing w:before="0" w:after="120" w:afterLines="70" w:afterAutospacing="0" w:line="300" w:lineRule="auto"/>
              <w:ind w:firstLine="0" w:firstLineChars="0"/>
              <w:jc w:val="center"/>
              <w:rPr>
                <w:rFonts w:ascii="Arial" w:hAnsi="Arial" w:cs="Arial"/>
                <w:b/>
                <w:bCs/>
                <w:color w:val="000000"/>
              </w:rPr>
            </w:pPr>
            <w:r>
              <w:rPr>
                <w:rFonts w:hint="eastAsia" w:ascii="Arial" w:hAnsi="Arial" w:cs="Arial"/>
                <w:b/>
                <w:bCs/>
                <w:color w:val="000000"/>
              </w:rPr>
              <w:t>项 目 进 展 及 所 取 得 的 阶 段 性 成 果</w:t>
            </w:r>
          </w:p>
        </w:tc>
        <w:tc>
          <w:tcPr>
            <w:tcW w:w="8853" w:type="dxa"/>
            <w:gridSpan w:val="5"/>
            <w:tcMar>
              <w:top w:w="90" w:type="dxa"/>
              <w:left w:w="110" w:type="dxa"/>
              <w:bottom w:w="90" w:type="dxa"/>
              <w:right w:w="110" w:type="dxa"/>
            </w:tcMar>
            <w:vAlign w:val="center"/>
          </w:tcPr>
          <w:p w14:paraId="17316968">
            <w:pPr>
              <w:spacing w:before="120" w:after="200" w:line="300" w:lineRule="auto"/>
              <w:ind w:firstLine="422"/>
              <w:jc w:val="left"/>
            </w:pPr>
            <w:r>
              <w:rPr>
                <w:rFonts w:ascii="宋体" w:hAnsi="宋体"/>
                <w:b/>
              </w:rPr>
              <w:t>项目进展：</w:t>
            </w:r>
          </w:p>
          <w:p w14:paraId="5DA57B11">
            <w:pPr>
              <w:spacing w:before="0" w:after="120" w:line="300" w:lineRule="auto"/>
              <w:ind w:firstLine="420"/>
              <w:jc w:val="left"/>
            </w:pPr>
            <w:r>
              <w:rPr>
                <w:rFonts w:ascii="宋体" w:hAnsi="宋体"/>
              </w:rPr>
              <w:t>本项目拟利用巴西周尺度病例数据以及温度、降雨等气候资料，建立基孔肯雅热宿主-媒介耦合动力学模型，并在数学分析、参数估计、短期预测和气候解释之间形成研究链条。项目启动后，实际推进时先收束到全国尺度常参数模型，保留人群 SEIR 与蚊媒 SEI 的基本传播过程，暂不加入无症状分层、蚊媒幼虫阶段、区域迁移和干预控制模块。</w:t>
            </w:r>
          </w:p>
          <w:p w14:paraId="306F3589">
            <w:pPr>
              <w:spacing w:before="0" w:after="120" w:line="300" w:lineRule="auto"/>
              <w:ind w:firstLine="422"/>
              <w:jc w:val="left"/>
            </w:pPr>
            <w:r>
              <w:rPr>
                <w:rFonts w:ascii="宋体" w:hAnsi="宋体"/>
                <w:b/>
              </w:rPr>
              <w:t>一、文献整理与模型路线确定</w:t>
            </w:r>
          </w:p>
          <w:p w14:paraId="35659400">
            <w:pPr>
              <w:spacing w:before="0" w:after="120" w:line="300" w:lineRule="auto"/>
              <w:ind w:firstLine="420"/>
              <w:jc w:val="left"/>
              <w:rPr>
                <w:rFonts w:hint="eastAsia" w:eastAsia="宋体"/>
                <w:lang w:eastAsia="zh-CN"/>
              </w:rPr>
            </w:pPr>
            <w:r>
              <w:rPr>
                <w:rFonts w:ascii="宋体" w:hAnsi="宋体"/>
              </w:rPr>
              <w:t>已整理 C01-C22 共 22 个候选文献条目，其中 21 篇全文已保存到本地文献库。文献按作用分为四类：Dumont 等[1]和 Manore 等[2]用于确定宿主-媒介模型结构与固定参数；Yakob 与 Clements[3]、Dodero-Rojas 等[4]、Yakob[5]用于理解病例拟合和巴西相关场景；Liu 等[6]、Mordecai 等[7]、Huber 等[8]为后续温度、降雨机制扩展提供参考；Anjos 等[9]、Silva Neto 等[10]、Lowe 等[11]用于补充报告比例、数据整理和同媒介病水文气象建模依据。同时参考 Qian 等猴痘模型文章[12]中“建模-阈值分析-参数估计-模拟比较”的论文组织方式</w:t>
            </w:r>
            <w:r>
              <w:rPr>
                <w:rFonts w:hint="eastAsia" w:ascii="宋体" w:hAnsi="宋体"/>
                <w:lang w:eastAsia="zh-CN"/>
              </w:rPr>
              <w:t>。</w:t>
            </w:r>
          </w:p>
          <w:p w14:paraId="14EB8591">
            <w:pPr>
              <w:spacing w:before="0" w:after="120" w:line="300" w:lineRule="auto"/>
              <w:ind w:firstLine="422"/>
              <w:jc w:val="left"/>
            </w:pPr>
            <w:r>
              <w:rPr>
                <w:rFonts w:ascii="宋体" w:hAnsi="宋体"/>
                <w:b/>
              </w:rPr>
              <w:t>二、病例数据整理与拟合窗口选择</w:t>
            </w:r>
          </w:p>
          <w:p w14:paraId="2A6FBCAE">
            <w:pPr>
              <w:spacing w:before="0" w:after="120" w:line="300" w:lineRule="auto"/>
              <w:ind w:firstLine="420"/>
              <w:jc w:val="left"/>
            </w:pPr>
            <w:r>
              <w:rPr>
                <w:rFonts w:ascii="宋体" w:hAnsi="宋体"/>
              </w:rPr>
              <w:t>数据来源为 OpenDataSUS/SINAN 年度文件 CHIKBR15-CHIKBR26。现阶段已按症状开始日期重建全国周病例序列，时间范围为 2015-W01 至 2026-W31，共 605 周；以 probable cases 为主口径时，累计病例数为 1,676,999 例。当前选取 2023-W35 至 2024-W45 作为首轮参数估计窗口，共 63 周，病例合计 278,088 例。该窗口包含主峰、峰前增长段和峰后回落段，能够初步检验基础模型对一个相对完整流行波的描述能力。</w:t>
            </w:r>
          </w:p>
          <w:p w14:paraId="1BA6311C">
            <w:pPr>
              <w:spacing w:before="0" w:after="120" w:line="300" w:lineRule="auto"/>
              <w:ind w:firstLine="420"/>
              <w:jc w:val="center"/>
            </w:pPr>
            <w:r>
              <w:rPr>
                <w:rFonts w:ascii="宋体" w:hAnsi="宋体"/>
              </w:rPr>
              <w:drawing>
                <wp:inline distT="0" distB="0" distL="114300" distR="114300">
                  <wp:extent cx="4787900" cy="30829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788000" cy="3083262"/>
                          </a:xfrm>
                          <a:prstGeom prst="rect">
                            <a:avLst/>
                          </a:prstGeom>
                        </pic:spPr>
                      </pic:pic>
                    </a:graphicData>
                  </a:graphic>
                </wp:inline>
              </w:drawing>
            </w:r>
          </w:p>
          <w:p w14:paraId="51B6C71A">
            <w:pPr>
              <w:spacing w:before="0" w:after="120" w:line="300" w:lineRule="auto"/>
              <w:ind w:firstLine="360"/>
              <w:jc w:val="center"/>
            </w:pPr>
            <w:r>
              <w:rPr>
                <w:rFonts w:ascii="宋体" w:hAnsi="宋体"/>
                <w:sz w:val="18"/>
              </w:rPr>
              <w:t>图1  巴西全国周病例序列及拟合窗口</w:t>
            </w:r>
          </w:p>
          <w:p w14:paraId="6C0118AB">
            <w:pPr>
              <w:spacing w:before="0" w:after="120" w:line="300" w:lineRule="auto"/>
              <w:ind w:firstLine="422"/>
              <w:jc w:val="left"/>
            </w:pPr>
            <w:r>
              <w:rPr>
                <w:rFonts w:ascii="宋体" w:hAnsi="宋体"/>
                <w:b/>
              </w:rPr>
              <w:t>三、基础模型与数学分析</w:t>
            </w:r>
          </w:p>
          <w:p w14:paraId="011C4B5D">
            <w:pPr>
              <w:spacing w:before="0" w:after="120" w:line="300" w:lineRule="auto"/>
              <w:ind w:firstLine="420"/>
              <w:jc w:val="left"/>
            </w:pPr>
            <w:r>
              <w:rPr>
                <w:rFonts w:ascii="宋体" w:hAnsi="宋体"/>
              </w:rPr>
              <w:t xml:space="preserve">当前模型包含七个仓室：宿主 </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 xml:space="preserve">和蚊媒 </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。宿主侧表示易感、暴露、感染和康复人群，蚊媒侧表示易感、暴露和感染蚊媒。宿主暂不考虑出生、死亡和地区流动，康复后保持免疫；蚊媒考虑补充与自然死亡。比例感染力定义为：</w:t>
            </w:r>
          </w:p>
          <w:p w14:paraId="3583F059">
            <w:pPr>
              <w:spacing w:before="0" w:after="120" w:line="300" w:lineRule="auto"/>
              <w:ind w:firstLine="420"/>
              <w:jc w:val="center"/>
            </w:pPr>
            <m:oMathPara>
              <m:oMath>
                <m:sSub>
                  <m:sSubPr>
                    <m:ctrlPr>
                      <w:rPr>
                        <w:rFonts w:ascii="Cambria Math" w:hAnsi="Cambria Math"/>
                        <w:i/>
                      </w:rPr>
                    </m:ctrlPr>
                  </m:sSubPr>
                  <m:e>
                    <m:r>
                      <m:rPr/>
                      <w:rPr>
                        <w:rFonts w:hint="eastAsia" w:ascii="Cambria Math" w:hAnsi="Cambria Math"/>
                      </w:rPr>
                      <m:t>Λ</m:t>
                    </m:r>
                    <m:ctrlPr>
                      <w:rPr>
                        <w:rFonts w:hint="eastAsia" w:ascii="Cambria Math" w:hAnsi="Cambria Math"/>
                        <w:i/>
                      </w:rPr>
                    </m:ctrlPr>
                  </m:e>
                  <m:sub>
                    <m:r>
                      <m:rPr/>
                      <w:rPr>
                        <w:rFonts w:ascii="Cambria Math" w:hAnsi="Cambria Math"/>
                      </w:rPr>
                      <m:t>h</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den>
                </m:f>
                <m:r>
                  <m:rPr/>
                  <w:rPr>
                    <w:rFonts w:ascii="Cambria Math" w:hAnsi="Cambria Math"/>
                  </w:rPr>
                  <m:t xml:space="preserve">,   </m:t>
                </m:r>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v</m:t>
                        </m:r>
                        <m:ctrlPr>
                          <w:rPr>
                            <w:rFonts w:ascii="Cambria Math" w:hAnsi="Cambria Math"/>
                            <w:i/>
                          </w:rPr>
                        </m:ctrlPr>
                      </m:sub>
                    </m:sSub>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den>
                </m:f>
              </m:oMath>
            </m:oMathPara>
          </w:p>
          <w:p w14:paraId="21A85DB4">
            <w:pPr>
              <w:spacing w:before="0" w:after="120" w:line="300" w:lineRule="auto"/>
              <w:ind w:firstLine="420"/>
              <w:jc w:val="left"/>
            </w:pPr>
            <w:r>
              <w:rPr>
                <w:rFonts w:ascii="宋体" w:hAnsi="宋体"/>
              </w:rPr>
              <w:t>对应的 SEIR-SEI 常参数基础模型写为：</w:t>
            </w:r>
          </w:p>
          <w:p w14:paraId="531F7963">
            <w:pPr>
              <w:spacing w:before="0" w:after="120" w:line="300" w:lineRule="auto"/>
              <w:ind w:firstLine="420"/>
              <w:jc w:val="center"/>
            </w:pPr>
            <m:oMathPara>
              <m:oMath>
                <m:f>
                  <m:fPr>
                    <m:ctrlPr>
                      <w:rPr>
                        <w:rFonts w:ascii="Cambria Math" w:hAnsi="Cambria Math"/>
                        <w:i/>
                      </w:rPr>
                    </m:ctrlPr>
                  </m:fPr>
                  <m:num>
                    <m:r>
                      <m:rPr/>
                      <w:rPr>
                        <w:rFonts w:ascii="Cambria Math" w:hAnsi="Cambria Math"/>
                      </w:rPr>
                      <m:t>d</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h</m:t>
                    </m:r>
                    <m:ctrlPr>
                      <w:rPr>
                        <w:rFonts w:ascii="Cambria Math" w:hAnsi="Cambria Math"/>
                        <w:i/>
                      </w:rPr>
                    </m:ctrlPr>
                  </m:sub>
                </m:sSub>
              </m:oMath>
            </m:oMathPara>
          </w:p>
          <w:p w14:paraId="7980B13D">
            <w:pPr>
              <w:spacing w:before="0" w:after="120" w:line="300" w:lineRule="auto"/>
              <w:ind w:firstLine="420"/>
              <w:jc w:val="center"/>
            </w:pPr>
            <m:oMathPara>
              <m:oMath>
                <m:f>
                  <m:fPr>
                    <m:ctrlPr>
                      <w:rPr>
                        <w:rFonts w:ascii="Cambria Math" w:hAnsi="Cambria Math"/>
                        <w:i/>
                      </w:rPr>
                    </m:ctrlPr>
                  </m:fPr>
                  <m:num>
                    <m:r>
                      <m:rPr/>
                      <w:rPr>
                        <w:rFonts w:ascii="Cambria Math" w:hAnsi="Cambria Math"/>
                      </w:rPr>
                      <m:t>d</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h</m:t>
                    </m:r>
                    <m:ctrlPr>
                      <w:rPr>
                        <w:rFonts w:ascii="Cambria Math" w:hAnsi="Cambria Math"/>
                        <w:i/>
                      </w:rPr>
                    </m:ctrlPr>
                  </m:sub>
                </m:sSub>
              </m:oMath>
            </m:oMathPara>
          </w:p>
          <w:p w14:paraId="591C6F0A">
            <w:pPr>
              <w:spacing w:before="0" w:after="120" w:line="300" w:lineRule="auto"/>
              <w:ind w:firstLine="420"/>
              <w:jc w:val="center"/>
            </w:pPr>
            <m:oMathPara>
              <m:oMath>
                <m:f>
                  <m:fPr>
                    <m:ctrlPr>
                      <w:rPr>
                        <w:rFonts w:ascii="Cambria Math" w:hAnsi="Cambria Math"/>
                        <w:i/>
                      </w:rPr>
                    </m:ctrlPr>
                  </m:fPr>
                  <m:num>
                    <m:r>
                      <m:rPr/>
                      <w:rPr>
                        <w:rFonts w:ascii="Cambria Math" w:hAnsi="Cambria Math"/>
                      </w:rPr>
                      <m:t>d</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h</m:t>
                    </m:r>
                    <m:ctrlPr>
                      <w:rPr>
                        <w:rFonts w:ascii="Cambria Math" w:hAnsi="Cambria Math"/>
                        <w:i/>
                      </w:rPr>
                    </m:ctrlPr>
                  </m:sub>
                </m:sSub>
              </m:oMath>
            </m:oMathPara>
          </w:p>
          <w:p w14:paraId="32DCB278">
            <w:pPr>
              <w:spacing w:before="0" w:after="120" w:line="300" w:lineRule="auto"/>
              <w:ind w:firstLine="420"/>
              <w:jc w:val="center"/>
            </w:pPr>
            <m:oMathPara>
              <m:oMath>
                <m:f>
                  <m:fPr>
                    <m:ctrlPr>
                      <w:rPr>
                        <w:rFonts w:ascii="Cambria Math" w:hAnsi="Cambria Math"/>
                        <w:i/>
                      </w:rPr>
                    </m:ctrlPr>
                  </m:fPr>
                  <m:num>
                    <m:r>
                      <m:rPr/>
                      <w:rPr>
                        <w:rFonts w:ascii="Cambria Math" w:hAnsi="Cambria Math"/>
                      </w:rPr>
                      <m:t>d</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h</m:t>
                    </m:r>
                    <m:ctrlPr>
                      <w:rPr>
                        <w:rFonts w:ascii="Cambria Math" w:hAnsi="Cambria Math"/>
                        <w:i/>
                      </w:rPr>
                    </m:ctrlPr>
                  </m:sub>
                </m:sSub>
              </m:oMath>
            </m:oMathPara>
          </w:p>
          <w:p w14:paraId="57B76548">
            <w:pPr>
              <w:spacing w:before="0" w:after="120" w:line="300" w:lineRule="auto"/>
              <w:ind w:firstLine="420"/>
              <w:jc w:val="center"/>
            </w:pPr>
            <m:oMathPara>
              <m:oMath>
                <m:f>
                  <m:fPr>
                    <m:ctrlPr>
                      <w:rPr>
                        <w:rFonts w:ascii="Cambria Math" w:hAnsi="Cambria Math"/>
                        <w:i/>
                      </w:rPr>
                    </m:ctrlPr>
                  </m:fPr>
                  <m:num>
                    <m:r>
                      <m:rPr/>
                      <w:rPr>
                        <w:rFonts w:ascii="Cambria Math" w:hAnsi="Cambria Math"/>
                      </w:rPr>
                      <m:t>d</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v</m:t>
                    </m:r>
                    <m:ctrlPr>
                      <w:rPr>
                        <w:rFonts w:ascii="Cambria Math" w:hAnsi="Cambria Math"/>
                        <w:i/>
                      </w:rPr>
                    </m:ctrlPr>
                  </m:sub>
                </m:sSub>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v</m:t>
                    </m:r>
                    <m:ctrlPr>
                      <w:rPr>
                        <w:rFonts w:ascii="Cambria Math" w:hAnsi="Cambria Math"/>
                        <w:i/>
                      </w:rPr>
                    </m:ctrlPr>
                  </m:sub>
                </m:sSub>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v</m:t>
                    </m:r>
                    <m:ctrlPr>
                      <w:rPr>
                        <w:rFonts w:ascii="Cambria Math" w:hAnsi="Cambria Math"/>
                        <w:i/>
                      </w:rPr>
                    </m:ctrlPr>
                  </m:sub>
                </m:sSub>
              </m:oMath>
            </m:oMathPara>
          </w:p>
          <w:p w14:paraId="31B56422">
            <w:pPr>
              <w:spacing w:before="0" w:after="120" w:line="300" w:lineRule="auto"/>
              <w:ind w:firstLine="420"/>
              <w:jc w:val="center"/>
            </w:pPr>
            <m:oMathPara>
              <m:oMath>
                <m:f>
                  <m:fPr>
                    <m:ctrlPr>
                      <w:rPr>
                        <w:rFonts w:ascii="Cambria Math" w:hAnsi="Cambria Math"/>
                        <w:i/>
                      </w:rPr>
                    </m:ctrlPr>
                  </m:fPr>
                  <m:num>
                    <m:r>
                      <m:rPr/>
                      <w:rPr>
                        <w:rFonts w:ascii="Cambria Math" w:hAnsi="Cambria Math"/>
                      </w:rPr>
                      <m:t>d</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v</m:t>
                    </m:r>
                    <m:ctrlPr>
                      <w:rPr>
                        <w:rFonts w:ascii="Cambria Math" w:hAnsi="Cambria Math"/>
                        <w:i/>
                      </w:rPr>
                    </m:ctrlPr>
                  </m:sub>
                </m:sSub>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v</m:t>
                    </m:r>
                    <m:ctrlPr>
                      <w:rPr>
                        <w:rFonts w:ascii="Cambria Math" w:hAnsi="Cambria Math"/>
                        <w:i/>
                      </w:rPr>
                    </m:ctrlPr>
                  </m:sub>
                </m:sSub>
              </m:oMath>
            </m:oMathPara>
          </w:p>
          <w:p w14:paraId="16CF3230">
            <w:pPr>
              <w:spacing w:before="0" w:after="120" w:line="300" w:lineRule="auto"/>
              <w:ind w:firstLine="420"/>
              <w:jc w:val="center"/>
            </w:pPr>
            <m:oMathPara>
              <m:oMath>
                <m:f>
                  <m:fPr>
                    <m:ctrlPr>
                      <w:rPr>
                        <w:rFonts w:ascii="Cambria Math" w:hAnsi="Cambria Math"/>
                        <w:i/>
                      </w:rPr>
                    </m:ctrlPr>
                  </m:fPr>
                  <m:num>
                    <m:r>
                      <m:rPr/>
                      <w:rPr>
                        <w:rFonts w:ascii="Cambria Math" w:hAnsi="Cambria Math"/>
                      </w:rPr>
                      <m:t>d</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v</m:t>
                    </m:r>
                    <m:ctrlPr>
                      <w:rPr>
                        <w:rFonts w:ascii="Cambria Math" w:hAnsi="Cambria Math"/>
                        <w:i/>
                      </w:rPr>
                    </m:ctrlPr>
                  </m:sub>
                </m:sSub>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v</m:t>
                    </m:r>
                    <m:ctrlPr>
                      <w:rPr>
                        <w:rFonts w:ascii="Cambria Math" w:hAnsi="Cambria Math"/>
                        <w:i/>
                      </w:rPr>
                    </m:ctrlPr>
                  </m:sub>
                </m:sSub>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v</m:t>
                    </m:r>
                    <m:ctrlPr>
                      <w:rPr>
                        <w:rFonts w:ascii="Cambria Math" w:hAnsi="Cambria Math"/>
                        <w:i/>
                      </w:rPr>
                    </m:ctrlPr>
                  </m:sub>
                </m:sSub>
              </m:oMath>
            </m:oMathPara>
          </w:p>
          <w:p w14:paraId="25C51A01">
            <w:pPr>
              <w:spacing w:before="0" w:after="120" w:line="300" w:lineRule="auto"/>
              <w:ind w:firstLine="420"/>
              <w:jc w:val="left"/>
            </w:pPr>
            <w:r>
              <w:rPr>
                <w:rFonts w:ascii="宋体" w:hAnsi="宋体"/>
              </w:rPr>
              <w:t xml:space="preserve">已经完成的数学分析包括解的非负性与有界性、疾病消除平衡、下一代矩阵、基本再生数、感染子系统局部稳定性和 </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oMath>
            <w:r>
              <w:rPr>
                <w:rFonts w:ascii="宋体" w:hAnsi="宋体"/>
              </w:rPr>
              <w:t xml:space="preserve"> 的局部敏感性。疾病消除平衡为</w:t>
            </w:r>
            <w:r>
              <w:rPr>
                <w:rFonts w:hint="eastAsia" w:ascii="宋体" w:hAnsi="宋体"/>
                <w:lang w:eastAsia="zh-CN"/>
              </w:rPr>
              <w:t>一组</w:t>
            </w:r>
            <w:r>
              <w:rPr>
                <w:rFonts w:ascii="宋体" w:hAnsi="宋体"/>
              </w:rPr>
              <w:t>状态：</w:t>
            </w:r>
          </w:p>
          <w:p w14:paraId="1583658B">
            <w:pPr>
              <w:spacing w:before="0" w:after="120" w:line="300" w:lineRule="auto"/>
              <w:ind w:firstLine="420"/>
              <w:jc w:val="center"/>
            </w:pPr>
            <m:oMathPara>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h</m:t>
                        </m:r>
                        <m:ctrlPr>
                          <w:rPr>
                            <w:rFonts w:ascii="Cambria Math" w:hAnsi="Cambria Math"/>
                            <w:i/>
                          </w:rPr>
                        </m:ctrlPr>
                      </m:sub>
                    </m:sSub>
                    <m:r>
                      <m:rPr/>
                      <w:rPr>
                        <w:rFonts w:ascii="Cambria Math" w:hAnsi="Cambria Math"/>
                      </w:rPr>
                      <m:t>,0,0,0,</m:t>
                    </m:r>
                    <m:f>
                      <m:fPr>
                        <m:ctrlPr>
                          <w:rPr>
                            <w:rFonts w:ascii="Cambria Math" w:hAnsi="Cambria Math"/>
                            <w:i/>
                          </w:rPr>
                        </m:ctrlPr>
                      </m:fPr>
                      <m:num>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den>
                    </m:f>
                    <m:r>
                      <m:rPr/>
                      <w:rPr>
                        <w:rFonts w:ascii="Cambria Math" w:hAnsi="Cambria Math"/>
                      </w:rPr>
                      <m:t>,0,0</m:t>
                    </m:r>
                    <m:ctrlPr>
                      <w:rPr>
                        <w:rFonts w:ascii="Cambria Math" w:hAnsi="Cambria Math"/>
                        <w:i/>
                      </w:rPr>
                    </m:ctrlPr>
                  </m:e>
                </m:d>
              </m:oMath>
            </m:oMathPara>
          </w:p>
          <w:p w14:paraId="6CDB3C6B">
            <w:pPr>
              <w:spacing w:before="0" w:after="120" w:line="300" w:lineRule="auto"/>
              <w:ind w:firstLine="420"/>
              <w:jc w:val="left"/>
            </w:pPr>
            <w:r>
              <w:rPr>
                <w:rFonts w:ascii="宋体" w:hAnsi="宋体"/>
              </w:rPr>
              <w:t>在完全易感情形下，基本再生数为：</w:t>
            </w:r>
          </w:p>
          <w:p w14:paraId="31A9B42E">
            <w:pPr>
              <w:spacing w:before="0" w:after="120" w:line="300" w:lineRule="auto"/>
              <w:ind w:firstLine="420"/>
              <w:jc w:val="center"/>
            </w:pPr>
            <m:oMathPara>
              <m:oMath>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0</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hint="eastAsia" w:ascii="Cambria Math" w:hAnsi="Cambria Math"/>
                              </w:rPr>
                              <m:t>β</m:t>
                            </m:r>
                            <m:ctrlPr>
                              <w:rPr>
                                <w:rFonts w:ascii="Cambria Math" w:hAnsi="Cambria Math"/>
                                <w:i/>
                              </w:rPr>
                            </m:ctrlPr>
                          </m:e>
                          <m:sub>
                            <m:r>
                              <m:rPr/>
                              <w:rPr>
                                <w:rFonts w:ascii="Cambria Math" w:hAnsi="Cambria Math" w:cs="Cambria Math"/>
                              </w:rPr>
                              <m:t>h</m:t>
                            </m:r>
                            <m:ctrlPr>
                              <w:rPr>
                                <w:rFonts w:ascii="Cambria Math" w:hAnsi="Cambria Math"/>
                                <w:i/>
                              </w:rPr>
                            </m:ctrlPr>
                          </m:sub>
                        </m:sSub>
                        <m:sSub>
                          <m:sSubPr>
                            <m:ctrlPr>
                              <w:rPr>
                                <w:rFonts w:ascii="Cambria Math" w:hAnsi="Cambria Math"/>
                                <w:i/>
                              </w:rPr>
                            </m:ctrlPr>
                          </m:sSubPr>
                          <m:e>
                            <m:r>
                              <m:rPr/>
                              <w:rPr>
                                <w:rFonts w:hint="eastAsia" w:ascii="Cambria Math" w:hAnsi="Cambria Math"/>
                              </w:rPr>
                              <m:t>β</m:t>
                            </m:r>
                            <m:ctrlPr>
                              <w:rPr>
                                <w:rFonts w:hint="eastAsia" w:ascii="Cambria Math" w:hAnsi="Cambria Math"/>
                                <w:i/>
                              </w:rPr>
                            </m:ctrlPr>
                          </m:e>
                          <m:sub>
                            <m:r>
                              <m:rPr/>
                              <w:rPr>
                                <w:rFonts w:hint="eastAsia" w:ascii="Cambria Math" w:hAnsi="Cambria Math"/>
                              </w:rPr>
                              <m:t>v</m:t>
                            </m:r>
                            <m:ctrlPr>
                              <w:rPr>
                                <w:rFonts w:ascii="Cambria Math" w:hAnsi="Cambria Math"/>
                                <w:i/>
                              </w:rPr>
                            </m:ctrlPr>
                          </m:sub>
                        </m:sSub>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v</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γ</m:t>
                            </m:r>
                            <m:ctrlPr>
                              <w:rPr>
                                <w:rFonts w:ascii="Cambria Math" w:hAnsi="Cambria Math"/>
                                <w:i/>
                              </w:rPr>
                            </m:ctrlPr>
                          </m:e>
                          <m:sub>
                            <m:r>
                              <m:rPr/>
                              <w:rPr>
                                <w:rFonts w:ascii="Cambria Math" w:hAnsi="Cambria Math" w:cs="Cambria Math"/>
                              </w:rPr>
                              <m:t>h</m:t>
                            </m:r>
                            <m:ctrlPr>
                              <w:rPr>
                                <w:rFonts w:ascii="Cambria Math" w:hAnsi="Cambria Math"/>
                                <w:i/>
                              </w:rPr>
                            </m:ctrlPr>
                          </m:sub>
                        </m:sSub>
                        <m:sSub>
                          <m:sSubPr>
                            <m:ctrlPr>
                              <w:rPr>
                                <w:rFonts w:ascii="Cambria Math" w:hAnsi="Cambria Math"/>
                                <w:i/>
                              </w:rPr>
                            </m:ctrlPr>
                          </m:sSubPr>
                          <m:e>
                            <m:r>
                              <m:rPr/>
                              <w:rPr>
                                <w:rFonts w:hint="eastAsia" w:ascii="Cambria Math" w:hAnsi="Cambria Math"/>
                              </w:rPr>
                              <m:t>μ</m:t>
                            </m:r>
                            <m:ctrlPr>
                              <w:rPr>
                                <w:rFonts w:hint="eastAsia" w:ascii="Cambria Math" w:hAnsi="Cambria Math"/>
                                <w:i/>
                              </w:rPr>
                            </m:ctrlPr>
                          </m:e>
                          <m:sub>
                            <m:r>
                              <m:rPr/>
                              <w:rPr>
                                <w:rFonts w:hint="eastAsia" w:ascii="Cambria Math" w:hAnsi="Cambria Math"/>
                              </w:rPr>
                              <m:t>v</m:t>
                            </m:r>
                            <m:d>
                              <m:dPr>
                                <m:ctrlPr>
                                  <w:rPr>
                                    <w:rFonts w:ascii="Cambria Math" w:hAnsi="Cambria Math"/>
                                    <w:i/>
                                  </w:rPr>
                                </m:ctrlPr>
                              </m:dPr>
                              <m:e>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hint="eastAsia" w:ascii="Cambria Math" w:hAnsi="Cambria Math"/>
                                      </w:rPr>
                                      <m:t>v</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μ</m:t>
                                    </m:r>
                                    <m:ctrlPr>
                                      <w:rPr>
                                        <w:rFonts w:ascii="Cambria Math" w:hAnsi="Cambria Math"/>
                                        <w:i/>
                                      </w:rPr>
                                    </m:ctrlPr>
                                  </m:e>
                                  <m:sub>
                                    <m:r>
                                      <m:rPr/>
                                      <w:rPr>
                                        <w:rFonts w:hint="eastAsia" w:ascii="Cambria Math" w:hAnsi="Cambria Math"/>
                                      </w:rPr>
                                      <m:t>v</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rad>
              </m:oMath>
            </m:oMathPara>
          </w:p>
          <w:p w14:paraId="56722459">
            <w:pPr>
              <w:spacing w:before="0" w:after="120" w:line="300" w:lineRule="auto"/>
              <w:ind w:firstLine="420"/>
              <w:jc w:val="left"/>
            </w:pPr>
            <w:r>
              <w:rPr>
                <w:rFonts w:ascii="宋体" w:hAnsi="宋体"/>
              </w:rPr>
              <w:t>该结果与下一代矩阵法一致[13]。由于宿主暴露期内未加入死亡或移出，</w:t>
            </w:r>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 xml:space="preserve"> 只改变等待时间，不直接进入 </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oMath>
            <w:r>
              <w:rPr>
                <w:rFonts w:ascii="宋体" w:hAnsi="宋体"/>
              </w:rPr>
              <w:t>；</w:t>
            </w:r>
            <m:oMath>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 在比例感染力和蚊媒平衡假设下被消去。局部敏感性显示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 xml:space="preserve"> 与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 的弹性指数均为 0.50，</w:t>
            </w:r>
            <m:oMath>
              <m:sSub>
                <m:sSubPr>
                  <m:ctrlPr>
                    <w:rPr>
                      <w:rFonts w:hint="default" w:ascii="Cambria Math" w:hAnsi="Cambria Math"/>
                      <w:sz w:val="21"/>
                    </w:rPr>
                  </m:ctrlPr>
                </m:sSubPr>
                <m:e>
                  <m:r>
                    <m:rPr/>
                    <w:rPr>
                      <w:rFonts w:hint="default" w:ascii="Cambria Math" w:hAnsi="Cambria Math"/>
                      <w:sz w:val="21"/>
                    </w:rPr>
                    <m:t>γ</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 xml:space="preserve"> 为 -0.50，</w:t>
            </w:r>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 在当前固定值下约为 0.22，</w:t>
            </w:r>
            <m:oMath>
              <m:sSub>
                <m:sSubPr>
                  <m:ctrlPr>
                    <w:rPr>
                      <w:rFonts w:hint="default" w:ascii="Cambria Math" w:hAnsi="Cambria Math"/>
                      <w:sz w:val="21"/>
                    </w:rPr>
                  </m:ctrlPr>
                </m:sSubPr>
                <m:e>
                  <m:r>
                    <m:rPr/>
                    <w:rPr>
                      <w:rFonts w:hint="default" w:ascii="Cambria Math" w:hAnsi="Cambria Math"/>
                      <w:sz w:val="21"/>
                    </w:rPr>
                    <m:t>μ</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 约为 -0.72，</w:t>
            </w:r>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 xml:space="preserve"> 为 0。</w:t>
            </w:r>
          </w:p>
          <w:p w14:paraId="73E949CA">
            <w:pPr>
              <w:spacing w:before="0" w:after="120" w:line="300" w:lineRule="auto"/>
              <w:ind w:firstLine="420"/>
              <w:jc w:val="center"/>
            </w:pPr>
            <w:r>
              <w:rPr>
                <w:rFonts w:ascii="宋体" w:hAnsi="宋体"/>
              </w:rPr>
              <w:drawing>
                <wp:inline distT="0" distB="0" distL="114300" distR="114300">
                  <wp:extent cx="4319905" cy="222123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320000" cy="2221714"/>
                          </a:xfrm>
                          <a:prstGeom prst="rect">
                            <a:avLst/>
                          </a:prstGeom>
                        </pic:spPr>
                      </pic:pic>
                    </a:graphicData>
                  </a:graphic>
                </wp:inline>
              </w:drawing>
            </w:r>
          </w:p>
          <w:p w14:paraId="57C0B3F5">
            <w:pPr>
              <w:spacing w:before="0" w:after="120" w:line="300" w:lineRule="auto"/>
              <w:ind w:firstLine="360"/>
              <w:jc w:val="center"/>
            </w:pPr>
            <w:r>
              <w:rPr>
                <w:rFonts w:ascii="宋体" w:hAnsi="宋体"/>
                <w:sz w:val="18"/>
              </w:rPr>
              <w:t>图2  SEIR-SEI 基础模型仓室结构</w:t>
            </w:r>
          </w:p>
          <w:p w14:paraId="16C4954C">
            <w:pPr>
              <w:spacing w:before="0" w:after="120" w:line="300" w:lineRule="auto"/>
              <w:ind w:firstLine="422"/>
              <w:jc w:val="left"/>
            </w:pPr>
            <w:r>
              <w:rPr>
                <w:rFonts w:ascii="宋体" w:hAnsi="宋体"/>
                <w:b/>
              </w:rPr>
              <w:t>四、参数估计与模型尝试</w:t>
            </w:r>
          </w:p>
          <w:p w14:paraId="0EA04F8A">
            <w:pPr>
              <w:spacing w:before="0" w:after="120" w:line="300" w:lineRule="auto"/>
              <w:ind w:firstLine="420"/>
              <w:jc w:val="left"/>
            </w:pPr>
            <w:r>
              <w:rPr>
                <w:rFonts w:ascii="宋体" w:hAnsi="宋体"/>
              </w:rPr>
              <w:t>首轮参数估计采用日尺度微分方程求解，再按周与病例数据对齐。固定参数取自 Manore 等基孔肯雅热基线设置[2]：</w:t>
            </w:r>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=1/3，</w:t>
            </w:r>
            <m:oMath>
              <m:sSub>
                <m:sSubPr>
                  <m:ctrlPr>
                    <w:rPr>
                      <w:rFonts w:hint="default" w:ascii="Cambria Math" w:hAnsi="Cambria Math"/>
                      <w:sz w:val="21"/>
                    </w:rPr>
                  </m:ctrlPr>
                </m:sSubPr>
                <m:e>
                  <m:r>
                    <m:rPr/>
                    <w:rPr>
                      <w:rFonts w:hint="default" w:ascii="Cambria Math" w:hAnsi="Cambria Math"/>
                      <w:sz w:val="21"/>
                    </w:rPr>
                    <m:t>γ</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=1/6，</w:t>
            </w:r>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=1/11，</w:t>
            </w:r>
            <m:oMath>
              <m:sSub>
                <m:sSubPr>
                  <m:ctrlPr>
                    <w:rPr>
                      <w:rFonts w:hint="default" w:ascii="Cambria Math" w:hAnsi="Cambria Math"/>
                      <w:sz w:val="21"/>
                    </w:rPr>
                  </m:ctrlPr>
                </m:sSubPr>
                <m:e>
                  <m:r>
                    <m:rPr/>
                    <w:rPr>
                      <w:rFonts w:hint="default" w:ascii="Cambria Math" w:hAnsi="Cambria Math"/>
                      <w:sz w:val="21"/>
                    </w:rPr>
                    <m:t>μ</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=1/14，时间单位均为天；观测比例 q 首轮固定为 1。待估量包括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、有效人群 </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r>
                <m:rPr/>
                <w:rPr>
                  <w:rFonts w:hint="default" w:ascii="Cambria Math" w:hAnsi="Cambria Math"/>
                  <w:sz w:val="21"/>
                </w:rPr>
                <m:t>ff</m:t>
              </m:r>
            </m:oMath>
            <w:r>
              <w:rPr>
                <w:rFonts w:ascii="宋体" w:hAnsi="宋体"/>
              </w:rPr>
              <w:t>、初始 Eh(0)、Ih(0) 和蚊媒感染比例 iv(0)。数值求解使用 solve_ivp 的 DOP853 方法，参数估计使用有界非线性最小二乘，每组设置 100 个起点以降低局部最优影响。</w:t>
            </w:r>
          </w:p>
          <w:tbl>
            <w:tblPr>
              <w:tblStyle w:val="11"/>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247"/>
              <w:gridCol w:w="2835"/>
              <w:gridCol w:w="1474"/>
              <w:gridCol w:w="1474"/>
            </w:tblGrid>
            <w:tr w14:paraId="4ADBD7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shd w:val="clear" w:color="auto" w:fill="D9EAF7"/>
                  <w:tcMar>
                    <w:top w:w="35" w:type="dxa"/>
                    <w:left w:w="70" w:type="dxa"/>
                    <w:bottom w:w="35" w:type="dxa"/>
                    <w:right w:w="70" w:type="dxa"/>
                  </w:tcMar>
                  <w:vAlign w:val="center"/>
                </w:tcPr>
                <w:p w14:paraId="37182D30">
                  <w:pPr>
                    <w:ind w:firstLine="341"/>
                    <w:jc w:val="left"/>
                  </w:pPr>
                  <w:r>
                    <w:rPr>
                      <w:b/>
                      <w:sz w:val="17"/>
                    </w:rPr>
                    <w:t>参数</w:t>
                  </w:r>
                </w:p>
              </w:tc>
              <w:tc>
                <w:tcPr>
                  <w:tcW w:w="2835" w:type="dxa"/>
                  <w:shd w:val="clear" w:color="auto" w:fill="D9EAF7"/>
                  <w:tcMar>
                    <w:top w:w="35" w:type="dxa"/>
                    <w:left w:w="70" w:type="dxa"/>
                    <w:bottom w:w="35" w:type="dxa"/>
                    <w:right w:w="70" w:type="dxa"/>
                  </w:tcMar>
                  <w:vAlign w:val="center"/>
                </w:tcPr>
                <w:p w14:paraId="358A4BED">
                  <w:pPr>
                    <w:ind w:firstLine="341"/>
                    <w:jc w:val="left"/>
                  </w:pPr>
                  <w:r>
                    <w:rPr>
                      <w:b/>
                      <w:sz w:val="17"/>
                    </w:rPr>
                    <w:t>含义</w:t>
                  </w:r>
                </w:p>
              </w:tc>
              <w:tc>
                <w:tcPr>
                  <w:tcW w:w="1474" w:type="dxa"/>
                  <w:shd w:val="clear" w:color="auto" w:fill="D9EAF7"/>
                  <w:tcMar>
                    <w:top w:w="35" w:type="dxa"/>
                    <w:left w:w="70" w:type="dxa"/>
                    <w:bottom w:w="35" w:type="dxa"/>
                    <w:right w:w="70" w:type="dxa"/>
                  </w:tcMar>
                  <w:vAlign w:val="center"/>
                </w:tcPr>
                <w:p w14:paraId="158F9380">
                  <w:pPr>
                    <w:ind w:firstLine="341"/>
                    <w:jc w:val="left"/>
                  </w:pPr>
                  <w:r>
                    <w:rPr>
                      <w:b/>
                      <w:sz w:val="17"/>
                    </w:rPr>
                    <w:t>取值</w:t>
                  </w:r>
                </w:p>
              </w:tc>
              <w:tc>
                <w:tcPr>
                  <w:tcW w:w="1474" w:type="dxa"/>
                  <w:shd w:val="clear" w:color="auto" w:fill="D9EAF7"/>
                  <w:tcMar>
                    <w:top w:w="35" w:type="dxa"/>
                    <w:left w:w="70" w:type="dxa"/>
                    <w:bottom w:w="35" w:type="dxa"/>
                    <w:right w:w="70" w:type="dxa"/>
                  </w:tcMar>
                  <w:vAlign w:val="center"/>
                </w:tcPr>
                <w:p w14:paraId="401A4528">
                  <w:pPr>
                    <w:ind w:firstLine="341"/>
                    <w:jc w:val="left"/>
                  </w:pPr>
                  <w:r>
                    <w:rPr>
                      <w:b/>
                      <w:sz w:val="17"/>
                    </w:rPr>
                    <w:t>来源</w:t>
                  </w:r>
                </w:p>
              </w:tc>
            </w:tr>
            <w:tr w14:paraId="54B56A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6ED752BD">
                  <w:pPr>
                    <w:ind w:firstLine="340"/>
                    <w:jc w:val="left"/>
                  </w:pPr>
                  <w:r>
                    <w:rPr>
                      <w:sz w:val="17"/>
                    </w:rPr>
                    <w:t>σh</w:t>
                  </w:r>
                </w:p>
              </w:tc>
              <w:tc>
                <w:tcPr>
                  <w:tcW w:w="2835" w:type="dxa"/>
                  <w:tcMar>
                    <w:top w:w="30" w:type="dxa"/>
                    <w:left w:w="70" w:type="dxa"/>
                    <w:bottom w:w="30" w:type="dxa"/>
                    <w:right w:w="70" w:type="dxa"/>
                  </w:tcMar>
                  <w:vAlign w:val="center"/>
                </w:tcPr>
                <w:p w14:paraId="558DFE24">
                  <w:pPr>
                    <w:ind w:firstLine="340"/>
                    <w:jc w:val="left"/>
                  </w:pPr>
                  <w:r>
                    <w:rPr>
                      <w:sz w:val="17"/>
                    </w:rPr>
                    <w:t>宿主潜伏期结束速率</w:t>
                  </w:r>
                </w:p>
              </w:tc>
              <w:tc>
                <w:tcPr>
                  <w:tcW w:w="1474" w:type="dxa"/>
                  <w:tcMar>
                    <w:top w:w="30" w:type="dxa"/>
                    <w:left w:w="70" w:type="dxa"/>
                    <w:bottom w:w="30" w:type="dxa"/>
                    <w:right w:w="70" w:type="dxa"/>
                  </w:tcMar>
                  <w:vAlign w:val="center"/>
                </w:tcPr>
                <w:p w14:paraId="435B910E">
                  <w:pPr>
                    <w:ind w:firstLine="340"/>
                    <w:jc w:val="left"/>
                  </w:pPr>
                  <w:r>
                    <w:rPr>
                      <w:sz w:val="17"/>
                    </w:rPr>
                    <w:t>1/3</w:t>
                  </w:r>
                </w:p>
              </w:tc>
              <w:tc>
                <w:tcPr>
                  <w:tcW w:w="1474" w:type="dxa"/>
                  <w:tcMar>
                    <w:top w:w="30" w:type="dxa"/>
                    <w:left w:w="70" w:type="dxa"/>
                    <w:bottom w:w="30" w:type="dxa"/>
                    <w:right w:w="70" w:type="dxa"/>
                  </w:tcMar>
                  <w:vAlign w:val="center"/>
                </w:tcPr>
                <w:p w14:paraId="2AD8A818">
                  <w:pPr>
                    <w:ind w:firstLine="340"/>
                    <w:jc w:val="left"/>
                  </w:pPr>
                  <w:r>
                    <w:rPr>
                      <w:sz w:val="17"/>
                    </w:rPr>
                    <w:t>[2]</w:t>
                  </w:r>
                </w:p>
              </w:tc>
            </w:tr>
            <w:tr w14:paraId="36E207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4ECA2D0A">
                  <w:pPr>
                    <w:ind w:firstLine="340"/>
                    <w:jc w:val="left"/>
                  </w:pPr>
                  <w:r>
                    <w:rPr>
                      <w:sz w:val="17"/>
                    </w:rPr>
                    <w:t>γh</w:t>
                  </w:r>
                </w:p>
              </w:tc>
              <w:tc>
                <w:tcPr>
                  <w:tcW w:w="2835" w:type="dxa"/>
                  <w:tcMar>
                    <w:top w:w="30" w:type="dxa"/>
                    <w:left w:w="70" w:type="dxa"/>
                    <w:bottom w:w="30" w:type="dxa"/>
                    <w:right w:w="70" w:type="dxa"/>
                  </w:tcMar>
                  <w:vAlign w:val="center"/>
                </w:tcPr>
                <w:p w14:paraId="3D2EA955">
                  <w:pPr>
                    <w:ind w:firstLine="340"/>
                    <w:jc w:val="left"/>
                  </w:pPr>
                  <w:r>
                    <w:rPr>
                      <w:sz w:val="17"/>
                    </w:rPr>
                    <w:t>宿主恢复率</w:t>
                  </w:r>
                </w:p>
              </w:tc>
              <w:tc>
                <w:tcPr>
                  <w:tcW w:w="1474" w:type="dxa"/>
                  <w:tcMar>
                    <w:top w:w="30" w:type="dxa"/>
                    <w:left w:w="70" w:type="dxa"/>
                    <w:bottom w:w="30" w:type="dxa"/>
                    <w:right w:w="70" w:type="dxa"/>
                  </w:tcMar>
                  <w:vAlign w:val="center"/>
                </w:tcPr>
                <w:p w14:paraId="4222ED68">
                  <w:pPr>
                    <w:ind w:firstLine="340"/>
                    <w:jc w:val="left"/>
                  </w:pPr>
                  <w:r>
                    <w:rPr>
                      <w:sz w:val="17"/>
                    </w:rPr>
                    <w:t>1/6</w:t>
                  </w:r>
                </w:p>
              </w:tc>
              <w:tc>
                <w:tcPr>
                  <w:tcW w:w="1474" w:type="dxa"/>
                  <w:tcMar>
                    <w:top w:w="30" w:type="dxa"/>
                    <w:left w:w="70" w:type="dxa"/>
                    <w:bottom w:w="30" w:type="dxa"/>
                    <w:right w:w="70" w:type="dxa"/>
                  </w:tcMar>
                  <w:vAlign w:val="center"/>
                </w:tcPr>
                <w:p w14:paraId="50FA8C37">
                  <w:pPr>
                    <w:ind w:firstLine="340"/>
                    <w:jc w:val="left"/>
                  </w:pPr>
                  <w:r>
                    <w:rPr>
                      <w:sz w:val="17"/>
                    </w:rPr>
                    <w:t>[2]</w:t>
                  </w:r>
                </w:p>
              </w:tc>
            </w:tr>
            <w:tr w14:paraId="65CA97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183C0F78">
                  <w:pPr>
                    <w:ind w:firstLine="340"/>
                    <w:jc w:val="left"/>
                  </w:pPr>
                  <w:r>
                    <w:rPr>
                      <w:sz w:val="17"/>
                    </w:rPr>
                    <w:t>σv</w:t>
                  </w:r>
                </w:p>
              </w:tc>
              <w:tc>
                <w:tcPr>
                  <w:tcW w:w="2835" w:type="dxa"/>
                  <w:tcMar>
                    <w:top w:w="30" w:type="dxa"/>
                    <w:left w:w="70" w:type="dxa"/>
                    <w:bottom w:w="30" w:type="dxa"/>
                    <w:right w:w="70" w:type="dxa"/>
                  </w:tcMar>
                  <w:vAlign w:val="center"/>
                </w:tcPr>
                <w:p w14:paraId="532A2870">
                  <w:pPr>
                    <w:ind w:firstLine="340"/>
                    <w:jc w:val="left"/>
                  </w:pPr>
                  <w:r>
                    <w:rPr>
                      <w:sz w:val="17"/>
                    </w:rPr>
                    <w:t>蚊媒外潜伏期结束速率</w:t>
                  </w:r>
                </w:p>
              </w:tc>
              <w:tc>
                <w:tcPr>
                  <w:tcW w:w="1474" w:type="dxa"/>
                  <w:tcMar>
                    <w:top w:w="30" w:type="dxa"/>
                    <w:left w:w="70" w:type="dxa"/>
                    <w:bottom w:w="30" w:type="dxa"/>
                    <w:right w:w="70" w:type="dxa"/>
                  </w:tcMar>
                  <w:vAlign w:val="center"/>
                </w:tcPr>
                <w:p w14:paraId="135E3339">
                  <w:pPr>
                    <w:ind w:firstLine="340"/>
                    <w:jc w:val="left"/>
                  </w:pPr>
                  <w:r>
                    <w:rPr>
                      <w:sz w:val="17"/>
                    </w:rPr>
                    <w:t>1/11</w:t>
                  </w:r>
                </w:p>
              </w:tc>
              <w:tc>
                <w:tcPr>
                  <w:tcW w:w="1474" w:type="dxa"/>
                  <w:tcMar>
                    <w:top w:w="30" w:type="dxa"/>
                    <w:left w:w="70" w:type="dxa"/>
                    <w:bottom w:w="30" w:type="dxa"/>
                    <w:right w:w="70" w:type="dxa"/>
                  </w:tcMar>
                  <w:vAlign w:val="center"/>
                </w:tcPr>
                <w:p w14:paraId="1FDFBFB7">
                  <w:pPr>
                    <w:ind w:firstLine="340"/>
                    <w:jc w:val="left"/>
                  </w:pPr>
                  <w:r>
                    <w:rPr>
                      <w:sz w:val="17"/>
                    </w:rPr>
                    <w:t>[2]</w:t>
                  </w:r>
                </w:p>
              </w:tc>
            </w:tr>
            <w:tr w14:paraId="6563AE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2816DFC2">
                  <w:pPr>
                    <w:ind w:firstLine="340"/>
                    <w:jc w:val="left"/>
                  </w:pPr>
                  <w:r>
                    <w:rPr>
                      <w:sz w:val="17"/>
                    </w:rPr>
                    <w:t>μv</w:t>
                  </w:r>
                </w:p>
              </w:tc>
              <w:tc>
                <w:tcPr>
                  <w:tcW w:w="2835" w:type="dxa"/>
                  <w:tcMar>
                    <w:top w:w="30" w:type="dxa"/>
                    <w:left w:w="70" w:type="dxa"/>
                    <w:bottom w:w="30" w:type="dxa"/>
                    <w:right w:w="70" w:type="dxa"/>
                  </w:tcMar>
                  <w:vAlign w:val="center"/>
                </w:tcPr>
                <w:p w14:paraId="1092EEB8">
                  <w:pPr>
                    <w:ind w:firstLine="340"/>
                    <w:jc w:val="left"/>
                  </w:pPr>
                  <w:r>
                    <w:rPr>
                      <w:sz w:val="17"/>
                    </w:rPr>
                    <w:t>成蚊自然死亡率</w:t>
                  </w:r>
                </w:p>
              </w:tc>
              <w:tc>
                <w:tcPr>
                  <w:tcW w:w="1474" w:type="dxa"/>
                  <w:tcMar>
                    <w:top w:w="30" w:type="dxa"/>
                    <w:left w:w="70" w:type="dxa"/>
                    <w:bottom w:w="30" w:type="dxa"/>
                    <w:right w:w="70" w:type="dxa"/>
                  </w:tcMar>
                  <w:vAlign w:val="center"/>
                </w:tcPr>
                <w:p w14:paraId="6FDCC921">
                  <w:pPr>
                    <w:ind w:firstLine="340"/>
                    <w:jc w:val="left"/>
                  </w:pPr>
                  <w:r>
                    <w:rPr>
                      <w:sz w:val="17"/>
                    </w:rPr>
                    <w:t>1/14</w:t>
                  </w:r>
                </w:p>
              </w:tc>
              <w:tc>
                <w:tcPr>
                  <w:tcW w:w="1474" w:type="dxa"/>
                  <w:tcMar>
                    <w:top w:w="30" w:type="dxa"/>
                    <w:left w:w="70" w:type="dxa"/>
                    <w:bottom w:w="30" w:type="dxa"/>
                    <w:right w:w="70" w:type="dxa"/>
                  </w:tcMar>
                  <w:vAlign w:val="center"/>
                </w:tcPr>
                <w:p w14:paraId="041CF15A">
                  <w:pPr>
                    <w:ind w:firstLine="340"/>
                    <w:jc w:val="left"/>
                  </w:pPr>
                  <w:r>
                    <w:rPr>
                      <w:sz w:val="17"/>
                    </w:rPr>
                    <w:t>[2]</w:t>
                  </w:r>
                </w:p>
              </w:tc>
            </w:tr>
            <w:tr w14:paraId="5C07C9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3C2F6BBF">
                  <w:pPr>
                    <w:ind w:firstLine="340"/>
                    <w:jc w:val="left"/>
                  </w:pPr>
                  <w:r>
                    <w:rPr>
                      <w:sz w:val="17"/>
                    </w:rPr>
                    <w:t>q</w:t>
                  </w:r>
                </w:p>
              </w:tc>
              <w:tc>
                <w:tcPr>
                  <w:tcW w:w="2835" w:type="dxa"/>
                  <w:tcMar>
                    <w:top w:w="30" w:type="dxa"/>
                    <w:left w:w="70" w:type="dxa"/>
                    <w:bottom w:w="30" w:type="dxa"/>
                    <w:right w:w="70" w:type="dxa"/>
                  </w:tcMar>
                  <w:vAlign w:val="center"/>
                </w:tcPr>
                <w:p w14:paraId="024551A3">
                  <w:pPr>
                    <w:ind w:firstLine="340"/>
                    <w:jc w:val="left"/>
                  </w:pPr>
                  <w:r>
                    <w:rPr>
                      <w:sz w:val="17"/>
                    </w:rPr>
                    <w:t>观测比例</w:t>
                  </w:r>
                </w:p>
              </w:tc>
              <w:tc>
                <w:tcPr>
                  <w:tcW w:w="1474" w:type="dxa"/>
                  <w:tcMar>
                    <w:top w:w="30" w:type="dxa"/>
                    <w:left w:w="70" w:type="dxa"/>
                    <w:bottom w:w="30" w:type="dxa"/>
                    <w:right w:w="70" w:type="dxa"/>
                  </w:tcMar>
                  <w:vAlign w:val="center"/>
                </w:tcPr>
                <w:p w14:paraId="38598620">
                  <w:pPr>
                    <w:ind w:firstLine="340"/>
                    <w:jc w:val="left"/>
                  </w:pPr>
                  <w:r>
                    <w:rPr>
                      <w:sz w:val="17"/>
                    </w:rPr>
                    <w:t>1</w:t>
                  </w:r>
                </w:p>
              </w:tc>
              <w:tc>
                <w:tcPr>
                  <w:tcW w:w="1474" w:type="dxa"/>
                  <w:tcMar>
                    <w:top w:w="30" w:type="dxa"/>
                    <w:left w:w="70" w:type="dxa"/>
                    <w:bottom w:w="30" w:type="dxa"/>
                    <w:right w:w="70" w:type="dxa"/>
                  </w:tcMar>
                  <w:vAlign w:val="center"/>
                </w:tcPr>
                <w:p w14:paraId="5D7B3E09">
                  <w:pPr>
                    <w:ind w:firstLine="340"/>
                    <w:jc w:val="left"/>
                  </w:pPr>
                  <w:r>
                    <w:rPr>
                      <w:sz w:val="17"/>
                    </w:rPr>
                    <w:t>首轮设定</w:t>
                  </w:r>
                </w:p>
              </w:tc>
            </w:tr>
          </w:tbl>
          <w:p w14:paraId="31D91BE0">
            <w:pPr>
              <w:spacing w:before="0" w:after="120" w:line="300" w:lineRule="auto"/>
              <w:ind w:firstLine="420"/>
            </w:pPr>
          </w:p>
          <w:p w14:paraId="710F375D">
            <w:pPr>
              <w:spacing w:before="0" w:after="120" w:line="300" w:lineRule="auto"/>
              <w:ind w:firstLine="360"/>
              <w:jc w:val="center"/>
            </w:pPr>
            <w:r>
              <w:rPr>
                <w:rFonts w:ascii="宋体" w:hAnsi="宋体"/>
                <w:sz w:val="18"/>
              </w:rPr>
              <w:t>表1  当前固定参数设置</w:t>
            </w:r>
          </w:p>
          <w:p w14:paraId="6FCBE690">
            <w:pPr>
              <w:spacing w:before="0" w:after="120" w:line="300" w:lineRule="auto"/>
              <w:ind w:firstLine="420"/>
              <w:jc w:val="left"/>
            </w:pPr>
            <w:r>
              <w:rPr>
                <w:rFonts w:ascii="宋体" w:hAnsi="宋体"/>
              </w:rPr>
              <w:t>由于监测数据表示一周内新增病例，现阶段采用周新发流量观测方程：</w:t>
            </w:r>
          </w:p>
          <w:p w14:paraId="7C592535">
            <w:pPr>
              <w:spacing w:before="0" w:after="120" w:line="300" w:lineRule="auto"/>
              <w:ind w:firstLine="420"/>
              <w:jc w:val="center"/>
            </w:pPr>
            <m:oMathPara>
              <m:oMath>
                <m:sSub>
                  <m:sSubPr>
                    <m:ctrlPr>
                      <w:rPr>
                        <w:rFonts w:ascii="Cambria Math" w:hAnsi="Cambria Math"/>
                        <w:i/>
                      </w:rPr>
                    </m:ctrlPr>
                  </m:sSubPr>
                  <m:e>
                    <m:r>
                      <m:rPr/>
                      <w:rPr>
                        <w:rFonts w:ascii="Cambria Math" w:hAnsi="Cambria Math"/>
                      </w:rPr>
                      <m:t>ŷ</m:t>
                    </m:r>
                    <m:ctrlPr>
                      <w:rPr>
                        <w:rFonts w:ascii="Cambria Math" w:hAnsi="Cambria Math"/>
                        <w:i/>
                      </w:rPr>
                    </m:ctrlPr>
                  </m:e>
                  <m:sub>
                    <m:r>
                      <m:rPr/>
                      <w:rPr>
                        <w:rFonts w:ascii="Cambria Math" w:hAnsi="Cambria Math"/>
                      </w:rPr>
                      <m:t>i</m:t>
                    </m:r>
                    <m:d>
                      <m:dPr>
                        <m:ctrlPr>
                          <w:rPr>
                            <w:rFonts w:ascii="Cambria Math" w:hAnsi="Cambria Math"/>
                            <w:i/>
                          </w:rPr>
                        </m:ctrlPr>
                      </m:dPr>
                      <m:e>
                        <m:r>
                          <m:rPr/>
                          <w:rPr>
                            <w:rFonts w:ascii="Cambria Math" w:hAnsi="Cambria Math"/>
                          </w:rPr>
                          <m:t>θ</m:t>
                        </m:r>
                        <m:ctrlPr>
                          <w:rPr>
                            <w:rFonts w:ascii="Cambria Math" w:hAnsi="Cambria Math"/>
                            <w:i/>
                          </w:rPr>
                        </m:ctrlPr>
                      </m:e>
                    </m:d>
                    <m:ctrlPr>
                      <w:rPr>
                        <w:rFonts w:ascii="Cambria Math" w:hAnsi="Cambria Math"/>
                        <w:i/>
                      </w:rPr>
                    </m:ctrlPr>
                  </m:sub>
                </m:sSub>
                <m:r>
                  <m:rPr/>
                  <w:rPr>
                    <w:rFonts w:ascii="Cambria Math" w:hAnsi="Cambria Math"/>
                  </w:rPr>
                  <m:t>=q</m:t>
                </m:r>
                <m:nary>
                  <m:naryPr>
                    <m:ctrlPr>
                      <w:rPr>
                        <w:rFonts w:ascii="Cambria Math" w:hAnsi="Cambria Math"/>
                        <w:i/>
                      </w:rPr>
                    </m:ctrlPr>
                  </m:naryPr>
                  <m:sub>
                    <m:r>
                      <m:rPr/>
                      <w:rPr>
                        <w:rFonts w:ascii="Cambria Math" w:hAnsi="Cambria Math"/>
                      </w:rPr>
                      <m:t>7</m:t>
                    </m:r>
                    <m:d>
                      <m:dPr>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sub>
                  <m:sup>
                    <m:r>
                      <m:rPr/>
                      <w:rPr>
                        <w:rFonts w:ascii="Cambria Math" w:hAnsi="Cambria Math"/>
                      </w:rPr>
                      <m:t>7i</m:t>
                    </m:r>
                    <m:ctrlPr>
                      <w:rPr>
                        <w:rFonts w:ascii="Cambria Math" w:hAnsi="Cambria Math"/>
                        <w:i/>
                      </w:rPr>
                    </m:ctrlPr>
                  </m:sup>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h</m:t>
                        </m:r>
                        <m:d>
                          <m:dPr>
                            <m:ctrlPr>
                              <w:rPr>
                                <w:rFonts w:ascii="Cambria Math" w:hAnsi="Cambria Math"/>
                                <w:i/>
                              </w:rPr>
                            </m:ctrlPr>
                          </m:dPr>
                          <m:e>
                            <m:r>
                              <m:rPr/>
                              <w:rPr>
                                <w:rFonts w:ascii="Cambria Math" w:hAnsi="Cambria Math"/>
                              </w:rPr>
                              <m:t>t;θ</m:t>
                            </m:r>
                            <m:ctrlPr>
                              <w:rPr>
                                <w:rFonts w:ascii="Cambria Math" w:hAnsi="Cambria Math"/>
                                <w:i/>
                              </w:rPr>
                            </m:ctrlPr>
                          </m:e>
                        </m:d>
                        <m:r>
                          <m:rPr/>
                          <w:rPr>
                            <w:rFonts w:ascii="Cambria Math" w:hAnsi="Cambria Math"/>
                          </w:rPr>
                          <m:t>dt</m:t>
                        </m:r>
                        <m:ctrlPr>
                          <w:rPr>
                            <w:rFonts w:ascii="Cambria Math" w:hAnsi="Cambria Math"/>
                            <w:i/>
                          </w:rPr>
                        </m:ctrlPr>
                      </m:sub>
                    </m:sSub>
                    <m:ctrlPr>
                      <w:rPr>
                        <w:rFonts w:ascii="Cambria Math" w:hAnsi="Cambria Math"/>
                        <w:i/>
                      </w:rPr>
                    </m:ctrlPr>
                  </m:e>
                </m:nary>
              </m:oMath>
            </m:oMathPara>
          </w:p>
          <w:p w14:paraId="02F56F0C">
            <w:pPr>
              <w:spacing w:before="0" w:after="120" w:line="300" w:lineRule="auto"/>
              <w:ind w:firstLine="420"/>
              <w:jc w:val="left"/>
            </w:pPr>
            <w:r>
              <w:rPr>
                <w:rFonts w:ascii="宋体" w:hAnsi="宋体"/>
              </w:rPr>
              <w:t xml:space="preserve">围绕该读出方式完成四组尝试：A1 约束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，A2 放开</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 xml:space="preserve">与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 并自由估计宿主初值，A3 固定 Eh(0)=250、Ih(0)=500，A4 固定 Eh(0)=189、Ih(0)=63。</w:t>
            </w:r>
          </w:p>
          <w:tbl>
            <w:tblPr>
              <w:tblStyle w:val="11"/>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247"/>
              <w:gridCol w:w="2551"/>
              <w:gridCol w:w="1701"/>
              <w:gridCol w:w="1531"/>
            </w:tblGrid>
            <w:tr w14:paraId="3789C3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shd w:val="clear" w:color="auto" w:fill="D9EAF7"/>
                  <w:tcMar>
                    <w:top w:w="35" w:type="dxa"/>
                    <w:left w:w="70" w:type="dxa"/>
                    <w:bottom w:w="35" w:type="dxa"/>
                    <w:right w:w="70" w:type="dxa"/>
                  </w:tcMar>
                  <w:vAlign w:val="center"/>
                </w:tcPr>
                <w:p w14:paraId="1CB1DE87">
                  <w:pPr>
                    <w:ind w:firstLine="341"/>
                    <w:jc w:val="left"/>
                  </w:pPr>
                  <w:r>
                    <w:rPr>
                      <w:b/>
                      <w:sz w:val="17"/>
                    </w:rPr>
                    <w:t>编号</w:t>
                  </w:r>
                </w:p>
              </w:tc>
              <w:tc>
                <w:tcPr>
                  <w:tcW w:w="2551" w:type="dxa"/>
                  <w:shd w:val="clear" w:color="auto" w:fill="D9EAF7"/>
                  <w:tcMar>
                    <w:top w:w="35" w:type="dxa"/>
                    <w:left w:w="70" w:type="dxa"/>
                    <w:bottom w:w="35" w:type="dxa"/>
                    <w:right w:w="70" w:type="dxa"/>
                  </w:tcMar>
                  <w:vAlign w:val="center"/>
                </w:tcPr>
                <w:p w14:paraId="6EB2993D">
                  <w:pPr>
                    <w:ind w:firstLine="341"/>
                    <w:jc w:val="left"/>
                  </w:pPr>
                  <w:r>
                    <w:rPr>
                      <w:b/>
                      <w:sz w:val="17"/>
                    </w:rPr>
                    <w:t>传播参数</w:t>
                  </w:r>
                </w:p>
              </w:tc>
              <w:tc>
                <w:tcPr>
                  <w:tcW w:w="1701" w:type="dxa"/>
                  <w:shd w:val="clear" w:color="auto" w:fill="D9EAF7"/>
                  <w:tcMar>
                    <w:top w:w="35" w:type="dxa"/>
                    <w:left w:w="70" w:type="dxa"/>
                    <w:bottom w:w="35" w:type="dxa"/>
                    <w:right w:w="70" w:type="dxa"/>
                  </w:tcMar>
                  <w:vAlign w:val="center"/>
                </w:tcPr>
                <w:p w14:paraId="54ADB2D8">
                  <w:pPr>
                    <w:ind w:firstLine="341"/>
                    <w:jc w:val="left"/>
                  </w:pPr>
                  <w:r>
                    <w:rPr>
                      <w:b/>
                      <w:sz w:val="17"/>
                    </w:rPr>
                    <w:t>宿主初值</w:t>
                  </w:r>
                </w:p>
              </w:tc>
              <w:tc>
                <w:tcPr>
                  <w:tcW w:w="1531" w:type="dxa"/>
                  <w:shd w:val="clear" w:color="auto" w:fill="D9EAF7"/>
                  <w:tcMar>
                    <w:top w:w="35" w:type="dxa"/>
                    <w:left w:w="70" w:type="dxa"/>
                    <w:bottom w:w="35" w:type="dxa"/>
                    <w:right w:w="70" w:type="dxa"/>
                  </w:tcMar>
                  <w:vAlign w:val="center"/>
                </w:tcPr>
                <w:p w14:paraId="26B2E1B6">
                  <w:pPr>
                    <w:ind w:firstLine="341"/>
                    <w:jc w:val="left"/>
                  </w:pPr>
                  <w:r>
                    <w:rPr>
                      <w:b/>
                      <w:sz w:val="17"/>
                    </w:rPr>
                    <w:t>RMSE</w:t>
                  </w:r>
                </w:p>
              </w:tc>
            </w:tr>
            <w:tr w14:paraId="799330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3B1A40C7">
                  <w:pPr>
                    <w:ind w:firstLine="340"/>
                    <w:jc w:val="left"/>
                  </w:pPr>
                  <w:r>
                    <w:rPr>
                      <w:sz w:val="17"/>
                    </w:rPr>
                    <w:t>A1</w:t>
                  </w:r>
                </w:p>
              </w:tc>
              <w:tc>
                <w:tcPr>
                  <w:tcW w:w="2551" w:type="dxa"/>
                  <w:tcMar>
                    <w:top w:w="30" w:type="dxa"/>
                    <w:left w:w="70" w:type="dxa"/>
                    <w:bottom w:w="30" w:type="dxa"/>
                    <w:right w:w="70" w:type="dxa"/>
                  </w:tcMar>
                  <w:vAlign w:val="center"/>
                </w:tcPr>
                <w:p w14:paraId="7933DD85">
                  <w:pPr>
                    <w:ind w:firstLine="340"/>
                    <w:jc w:val="left"/>
                  </w:pPr>
                  <w:r>
                    <w:rPr>
                      <w:sz w:val="17"/>
                    </w:rPr>
                    <w:t>βh=βv</w:t>
                  </w:r>
                </w:p>
              </w:tc>
              <w:tc>
                <w:tcPr>
                  <w:tcW w:w="1701" w:type="dxa"/>
                  <w:tcMar>
                    <w:top w:w="30" w:type="dxa"/>
                    <w:left w:w="70" w:type="dxa"/>
                    <w:bottom w:w="30" w:type="dxa"/>
                    <w:right w:w="70" w:type="dxa"/>
                  </w:tcMar>
                  <w:vAlign w:val="center"/>
                </w:tcPr>
                <w:p w14:paraId="55C61F3E">
                  <w:pPr>
                    <w:ind w:firstLine="340"/>
                    <w:jc w:val="left"/>
                  </w:pPr>
                  <w:r>
                    <w:rPr>
                      <w:sz w:val="17"/>
                    </w:rPr>
                    <w:t>自由</w:t>
                  </w:r>
                </w:p>
              </w:tc>
              <w:tc>
                <w:tcPr>
                  <w:tcW w:w="1531" w:type="dxa"/>
                  <w:tcMar>
                    <w:top w:w="30" w:type="dxa"/>
                    <w:left w:w="70" w:type="dxa"/>
                    <w:bottom w:w="30" w:type="dxa"/>
                    <w:right w:w="70" w:type="dxa"/>
                  </w:tcMar>
                  <w:vAlign w:val="center"/>
                </w:tcPr>
                <w:p w14:paraId="2CA964F7">
                  <w:pPr>
                    <w:ind w:firstLine="340"/>
                    <w:jc w:val="left"/>
                  </w:pPr>
                  <w:r>
                    <w:rPr>
                      <w:sz w:val="17"/>
                    </w:rPr>
                    <w:t>965.62</w:t>
                  </w:r>
                </w:p>
              </w:tc>
            </w:tr>
            <w:tr w14:paraId="1C5EFB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1EBC2165">
                  <w:pPr>
                    <w:ind w:firstLine="340"/>
                    <w:jc w:val="left"/>
                  </w:pPr>
                  <w:r>
                    <w:rPr>
                      <w:sz w:val="17"/>
                    </w:rPr>
                    <w:t>A2</w:t>
                  </w:r>
                </w:p>
              </w:tc>
              <w:tc>
                <w:tcPr>
                  <w:tcW w:w="2551" w:type="dxa"/>
                  <w:tcMar>
                    <w:top w:w="30" w:type="dxa"/>
                    <w:left w:w="70" w:type="dxa"/>
                    <w:bottom w:w="30" w:type="dxa"/>
                    <w:right w:w="70" w:type="dxa"/>
                  </w:tcMar>
                  <w:vAlign w:val="center"/>
                </w:tcPr>
                <w:p w14:paraId="3259E201">
                  <w:pPr>
                    <w:ind w:firstLine="340"/>
                    <w:jc w:val="left"/>
                  </w:pPr>
                  <w:r>
                    <w:rPr>
                      <w:sz w:val="17"/>
                    </w:rPr>
                    <w:t>分别估计</w:t>
                  </w:r>
                </w:p>
              </w:tc>
              <w:tc>
                <w:tcPr>
                  <w:tcW w:w="1701" w:type="dxa"/>
                  <w:tcMar>
                    <w:top w:w="30" w:type="dxa"/>
                    <w:left w:w="70" w:type="dxa"/>
                    <w:bottom w:w="30" w:type="dxa"/>
                    <w:right w:w="70" w:type="dxa"/>
                  </w:tcMar>
                  <w:vAlign w:val="center"/>
                </w:tcPr>
                <w:p w14:paraId="3D4010B0">
                  <w:pPr>
                    <w:ind w:firstLine="340"/>
                    <w:jc w:val="left"/>
                  </w:pPr>
                  <w:r>
                    <w:rPr>
                      <w:sz w:val="17"/>
                    </w:rPr>
                    <w:t>自由</w:t>
                  </w:r>
                </w:p>
              </w:tc>
              <w:tc>
                <w:tcPr>
                  <w:tcW w:w="1531" w:type="dxa"/>
                  <w:tcMar>
                    <w:top w:w="30" w:type="dxa"/>
                    <w:left w:w="70" w:type="dxa"/>
                    <w:bottom w:w="30" w:type="dxa"/>
                    <w:right w:w="70" w:type="dxa"/>
                  </w:tcMar>
                  <w:vAlign w:val="center"/>
                </w:tcPr>
                <w:p w14:paraId="5DCCFEFC">
                  <w:pPr>
                    <w:ind w:firstLine="340"/>
                    <w:jc w:val="left"/>
                  </w:pPr>
                  <w:r>
                    <w:rPr>
                      <w:sz w:val="17"/>
                    </w:rPr>
                    <w:t>709.61</w:t>
                  </w:r>
                </w:p>
              </w:tc>
            </w:tr>
            <w:tr w14:paraId="5CF40E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02E694DE">
                  <w:pPr>
                    <w:ind w:firstLine="340"/>
                    <w:jc w:val="left"/>
                  </w:pPr>
                  <w:r>
                    <w:rPr>
                      <w:sz w:val="17"/>
                    </w:rPr>
                    <w:t>A3</w:t>
                  </w:r>
                </w:p>
              </w:tc>
              <w:tc>
                <w:tcPr>
                  <w:tcW w:w="2551" w:type="dxa"/>
                  <w:tcMar>
                    <w:top w:w="30" w:type="dxa"/>
                    <w:left w:w="70" w:type="dxa"/>
                    <w:bottom w:w="30" w:type="dxa"/>
                    <w:right w:w="70" w:type="dxa"/>
                  </w:tcMar>
                  <w:vAlign w:val="center"/>
                </w:tcPr>
                <w:p w14:paraId="62E9C749">
                  <w:pPr>
                    <w:ind w:firstLine="340"/>
                    <w:jc w:val="left"/>
                  </w:pPr>
                  <w:r>
                    <w:rPr>
                      <w:sz w:val="17"/>
                    </w:rPr>
                    <w:t>分别估计</w:t>
                  </w:r>
                </w:p>
              </w:tc>
              <w:tc>
                <w:tcPr>
                  <w:tcW w:w="1701" w:type="dxa"/>
                  <w:tcMar>
                    <w:top w:w="30" w:type="dxa"/>
                    <w:left w:w="70" w:type="dxa"/>
                    <w:bottom w:w="30" w:type="dxa"/>
                    <w:right w:w="70" w:type="dxa"/>
                  </w:tcMar>
                  <w:vAlign w:val="center"/>
                </w:tcPr>
                <w:p w14:paraId="3D8F3608">
                  <w:pPr>
                    <w:ind w:firstLine="340"/>
                    <w:jc w:val="left"/>
                  </w:pPr>
                  <w:r>
                    <w:rPr>
                      <w:sz w:val="17"/>
                    </w:rPr>
                    <w:t>250/500</w:t>
                  </w:r>
                </w:p>
              </w:tc>
              <w:tc>
                <w:tcPr>
                  <w:tcW w:w="1531" w:type="dxa"/>
                  <w:tcMar>
                    <w:top w:w="30" w:type="dxa"/>
                    <w:left w:w="70" w:type="dxa"/>
                    <w:bottom w:w="30" w:type="dxa"/>
                    <w:right w:w="70" w:type="dxa"/>
                  </w:tcMar>
                  <w:vAlign w:val="center"/>
                </w:tcPr>
                <w:p w14:paraId="3A189AB6">
                  <w:pPr>
                    <w:ind w:firstLine="340"/>
                    <w:jc w:val="left"/>
                  </w:pPr>
                  <w:r>
                    <w:rPr>
                      <w:sz w:val="17"/>
                    </w:rPr>
                    <w:t>1163.41</w:t>
                  </w:r>
                </w:p>
              </w:tc>
            </w:tr>
            <w:tr w14:paraId="68D943D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247" w:type="dxa"/>
                  <w:tcMar>
                    <w:top w:w="30" w:type="dxa"/>
                    <w:left w:w="70" w:type="dxa"/>
                    <w:bottom w:w="30" w:type="dxa"/>
                    <w:right w:w="70" w:type="dxa"/>
                  </w:tcMar>
                  <w:vAlign w:val="center"/>
                </w:tcPr>
                <w:p w14:paraId="19E61B3D">
                  <w:pPr>
                    <w:ind w:firstLine="340"/>
                    <w:jc w:val="left"/>
                  </w:pPr>
                  <w:r>
                    <w:rPr>
                      <w:sz w:val="17"/>
                    </w:rPr>
                    <w:t>A4</w:t>
                  </w:r>
                </w:p>
              </w:tc>
              <w:tc>
                <w:tcPr>
                  <w:tcW w:w="2551" w:type="dxa"/>
                  <w:tcMar>
                    <w:top w:w="30" w:type="dxa"/>
                    <w:left w:w="70" w:type="dxa"/>
                    <w:bottom w:w="30" w:type="dxa"/>
                    <w:right w:w="70" w:type="dxa"/>
                  </w:tcMar>
                  <w:vAlign w:val="center"/>
                </w:tcPr>
                <w:p w14:paraId="2BAFBDF1">
                  <w:pPr>
                    <w:ind w:firstLine="340"/>
                    <w:jc w:val="left"/>
                  </w:pPr>
                  <w:r>
                    <w:rPr>
                      <w:sz w:val="17"/>
                    </w:rPr>
                    <w:t>分别估计</w:t>
                  </w:r>
                </w:p>
              </w:tc>
              <w:tc>
                <w:tcPr>
                  <w:tcW w:w="1701" w:type="dxa"/>
                  <w:tcMar>
                    <w:top w:w="30" w:type="dxa"/>
                    <w:left w:w="70" w:type="dxa"/>
                    <w:bottom w:w="30" w:type="dxa"/>
                    <w:right w:w="70" w:type="dxa"/>
                  </w:tcMar>
                  <w:vAlign w:val="center"/>
                </w:tcPr>
                <w:p w14:paraId="101684AB">
                  <w:pPr>
                    <w:ind w:firstLine="340"/>
                    <w:jc w:val="left"/>
                  </w:pPr>
                  <w:r>
                    <w:rPr>
                      <w:sz w:val="17"/>
                    </w:rPr>
                    <w:t>189/63</w:t>
                  </w:r>
                </w:p>
              </w:tc>
              <w:tc>
                <w:tcPr>
                  <w:tcW w:w="1531" w:type="dxa"/>
                  <w:tcMar>
                    <w:top w:w="30" w:type="dxa"/>
                    <w:left w:w="70" w:type="dxa"/>
                    <w:bottom w:w="30" w:type="dxa"/>
                    <w:right w:w="70" w:type="dxa"/>
                  </w:tcMar>
                  <w:vAlign w:val="center"/>
                </w:tcPr>
                <w:p w14:paraId="4AEC5DDA">
                  <w:pPr>
                    <w:ind w:firstLine="340"/>
                    <w:jc w:val="left"/>
                  </w:pPr>
                  <w:r>
                    <w:rPr>
                      <w:sz w:val="17"/>
                    </w:rPr>
                    <w:t>892.36</w:t>
                  </w:r>
                </w:p>
              </w:tc>
            </w:tr>
          </w:tbl>
          <w:p w14:paraId="720C9287">
            <w:pPr>
              <w:spacing w:before="0" w:after="120" w:line="300" w:lineRule="auto"/>
              <w:ind w:firstLine="420"/>
            </w:pPr>
          </w:p>
          <w:p w14:paraId="675E35CF">
            <w:pPr>
              <w:spacing w:before="0" w:after="120" w:line="300" w:lineRule="auto"/>
              <w:ind w:firstLine="360"/>
              <w:jc w:val="center"/>
            </w:pPr>
            <w:r>
              <w:rPr>
                <w:rFonts w:ascii="宋体" w:hAnsi="宋体"/>
                <w:sz w:val="18"/>
              </w:rPr>
              <w:t>表2  周新发流量观测下四组拟合结果</w:t>
            </w:r>
          </w:p>
          <w:p w14:paraId="24432E47">
            <w:pPr>
              <w:spacing w:before="0" w:after="120" w:line="300" w:lineRule="auto"/>
              <w:ind w:firstLine="420"/>
              <w:jc w:val="left"/>
            </w:pPr>
            <w:r>
              <w:rPr>
                <w:rFonts w:ascii="宋体" w:hAnsi="宋体"/>
              </w:rPr>
              <w:t xml:space="preserve">A2 的 RMSE 最低，但 </w:t>
            </w:r>
            <m:oMath>
              <m:r>
                <m:rPr>
                  <m:sty m:val="p"/>
                </m:rPr>
                <w:rPr>
                  <w:rFonts w:ascii="Cambria Math" w:hAnsi="Cambria Math" w:cs="Times New Roman"/>
                  <w:sz w:val="21"/>
                  <w:szCs w:val="21"/>
                  <w:lang w:val="en-US" w:bidi="ar-SA"/>
                </w:rPr>
                <m:t>Ih(0)</m:t>
              </m:r>
            </m:oMath>
            <w:r>
              <w:rPr>
                <w:rFonts w:ascii="宋体" w:hAnsi="宋体"/>
              </w:rPr>
              <w:t xml:space="preserve"> 和 iv(0) 贴近下界，</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sSub>
                <m:sSubPr>
                  <m:ctrlPr>
                    <w:rPr>
                      <w:rFonts w:hint="default" w:ascii="Cambria Math" w:hAnsi="Cambria Math"/>
                      <w:sz w:val="21"/>
                    </w:rPr>
                  </m:ctrlPr>
                </m:sSubPr>
                <m:e>
                  <m:r>
                    <m:rPr/>
                    <w:rPr>
                      <w:rFonts w:hint="eastAsia" w:ascii="Cambria Math" w:hAnsi="Cambria Math"/>
                      <w:sz w:val="21"/>
                      <w:lang w:eastAsia="zh-CN"/>
                    </w:rPr>
                    <m:t>、</m:t>
                  </m:r>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 xml:space="preserve">的局部相关性接近 -0.98，提示参数可辨识性不足。A3 的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 xml:space="preserve"> 命中上界且误差最高，不适合作为后续主线。A4 采用固定宿主初值，传播参数均在搜索上界之内，周输出总量最接近观测，当前作为候选对照模型继续检查。A4 的关键结果为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ascii="宋体" w:hAnsi="宋体"/>
              </w:rPr>
              <w:t>=0.096024，</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ascii="宋体" w:hAnsi="宋体"/>
              </w:rPr>
              <w:t>=0.548579，</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r>
                <m:rPr/>
                <w:rPr>
                  <w:rFonts w:hint="default" w:ascii="Cambria Math" w:hAnsi="Cambria Math"/>
                  <w:sz w:val="21"/>
                </w:rPr>
                <m:t>ff</m:t>
              </m:r>
            </m:oMath>
            <w:r>
              <w:rPr>
                <w:rFonts w:ascii="宋体" w:hAnsi="宋体"/>
              </w:rPr>
              <w:t>=338,285.75，</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oMath>
            <w:r>
              <w:rPr>
                <w:rFonts w:ascii="宋体" w:hAnsi="宋体"/>
              </w:rPr>
              <w:t>=1.5741；具体参数如下：</w:t>
            </w:r>
          </w:p>
          <w:tbl>
            <w:tblPr>
              <w:tblStyle w:val="11"/>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417"/>
              <w:gridCol w:w="3402"/>
              <w:gridCol w:w="2041"/>
            </w:tblGrid>
            <w:tr w14:paraId="1EA554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417" w:type="dxa"/>
                  <w:shd w:val="clear" w:color="auto" w:fill="D9EAF7"/>
                  <w:tcMar>
                    <w:top w:w="18" w:type="dxa"/>
                    <w:left w:w="70" w:type="dxa"/>
                    <w:bottom w:w="18" w:type="dxa"/>
                    <w:right w:w="70" w:type="dxa"/>
                  </w:tcMar>
                  <w:vAlign w:val="center"/>
                </w:tcPr>
                <w:p w14:paraId="405318BC">
                  <w:pPr>
                    <w:ind w:firstLine="321"/>
                    <w:jc w:val="left"/>
                  </w:pPr>
                  <w:r>
                    <w:rPr>
                      <w:b/>
                      <w:sz w:val="16"/>
                    </w:rPr>
                    <w:t>参数</w:t>
                  </w:r>
                </w:p>
              </w:tc>
              <w:tc>
                <w:tcPr>
                  <w:tcW w:w="3402" w:type="dxa"/>
                  <w:shd w:val="clear" w:color="auto" w:fill="D9EAF7"/>
                  <w:tcMar>
                    <w:top w:w="18" w:type="dxa"/>
                    <w:left w:w="70" w:type="dxa"/>
                    <w:bottom w:w="18" w:type="dxa"/>
                    <w:right w:w="70" w:type="dxa"/>
                  </w:tcMar>
                  <w:vAlign w:val="center"/>
                </w:tcPr>
                <w:p w14:paraId="4EE8ADF3">
                  <w:pPr>
                    <w:ind w:firstLine="321"/>
                    <w:jc w:val="left"/>
                  </w:pPr>
                  <w:r>
                    <w:rPr>
                      <w:b/>
                      <w:sz w:val="16"/>
                    </w:rPr>
                    <w:t>含义</w:t>
                  </w:r>
                </w:p>
              </w:tc>
              <w:tc>
                <w:tcPr>
                  <w:tcW w:w="2041" w:type="dxa"/>
                  <w:shd w:val="clear" w:color="auto" w:fill="D9EAF7"/>
                  <w:tcMar>
                    <w:top w:w="18" w:type="dxa"/>
                    <w:left w:w="70" w:type="dxa"/>
                    <w:bottom w:w="18" w:type="dxa"/>
                    <w:right w:w="70" w:type="dxa"/>
                  </w:tcMar>
                  <w:vAlign w:val="center"/>
                </w:tcPr>
                <w:p w14:paraId="4F663252">
                  <w:pPr>
                    <w:ind w:firstLine="321"/>
                    <w:jc w:val="left"/>
                  </w:pPr>
                  <w:r>
                    <w:rPr>
                      <w:b/>
                      <w:sz w:val="16"/>
                    </w:rPr>
                    <w:t>A4 取值</w:t>
                  </w:r>
                </w:p>
              </w:tc>
            </w:tr>
            <w:tr w14:paraId="4DB6E8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417" w:type="dxa"/>
                  <w:tcMar>
                    <w:top w:w="14" w:type="dxa"/>
                    <w:left w:w="70" w:type="dxa"/>
                    <w:bottom w:w="14" w:type="dxa"/>
                    <w:right w:w="70" w:type="dxa"/>
                  </w:tcMar>
                  <w:vAlign w:val="center"/>
                </w:tcPr>
                <w:p w14:paraId="47B99E7C">
                  <w:pPr>
                    <w:ind w:firstLine="320"/>
                    <w:jc w:val="left"/>
                  </w:pPr>
                  <m:oMathPara>
                    <m:oMath>
                      <m:sSub>
                        <m:sSubPr>
                          <m:ctrlPr>
                            <w:rPr>
                              <w:rFonts w:hint="default" w:ascii="Cambria Math" w:hAnsi="Cambria Math"/>
                              <w:sz w:val="16"/>
                            </w:rPr>
                          </m:ctrlPr>
                        </m:sSubPr>
                        <m:e>
                          <m:r>
                            <m:rPr/>
                            <w:rPr>
                              <w:rFonts w:hint="default" w:ascii="Cambria Math" w:hAnsi="Cambria Math"/>
                              <w:sz w:val="16"/>
                            </w:rPr>
                            <m:t>β</m:t>
                          </m:r>
                          <m:ctrlPr>
                            <w:rPr>
                              <w:rFonts w:ascii="Cambria Math" w:hAnsi="Cambria Math"/>
                              <w:sz w:val="16"/>
                            </w:rPr>
                          </m:ctrlPr>
                        </m:e>
                        <m:sub>
                          <m:r>
                            <m:rPr/>
                            <w:rPr>
                              <w:rFonts w:hint="default" w:ascii="Cambria Math" w:hAnsi="Cambria Math"/>
                              <w:sz w:val="16"/>
                            </w:rPr>
                            <m:t>h</m:t>
                          </m:r>
                          <m:ctrlPr>
                            <w:rPr>
                              <w:rFonts w:ascii="Cambria Math" w:hAnsi="Cambria Math"/>
                              <w:sz w:val="16"/>
                            </w:rPr>
                          </m:ctrlPr>
                        </m:sub>
                      </m:sSub>
                    </m:oMath>
                  </m:oMathPara>
                </w:p>
              </w:tc>
              <w:tc>
                <w:tcPr>
                  <w:tcW w:w="3402" w:type="dxa"/>
                  <w:tcMar>
                    <w:top w:w="14" w:type="dxa"/>
                    <w:left w:w="70" w:type="dxa"/>
                    <w:bottom w:w="14" w:type="dxa"/>
                    <w:right w:w="70" w:type="dxa"/>
                  </w:tcMar>
                  <w:vAlign w:val="center"/>
                </w:tcPr>
                <w:p w14:paraId="3701E692">
                  <w:pPr>
                    <w:ind w:firstLine="320"/>
                    <w:jc w:val="left"/>
                  </w:pPr>
                  <w:r>
                    <w:rPr>
                      <w:sz w:val="16"/>
                    </w:rPr>
                    <w:t>宿主传播速率（天^-1）</w:t>
                  </w:r>
                </w:p>
              </w:tc>
              <w:tc>
                <w:tcPr>
                  <w:tcW w:w="2041" w:type="dxa"/>
                  <w:tcMar>
                    <w:top w:w="14" w:type="dxa"/>
                    <w:left w:w="70" w:type="dxa"/>
                    <w:bottom w:w="14" w:type="dxa"/>
                    <w:right w:w="70" w:type="dxa"/>
                  </w:tcMar>
                  <w:vAlign w:val="center"/>
                </w:tcPr>
                <w:p w14:paraId="5EF73B9D">
                  <w:pPr>
                    <w:ind w:firstLine="320"/>
                    <w:jc w:val="left"/>
                  </w:pPr>
                  <w:r>
                    <w:rPr>
                      <w:sz w:val="16"/>
                    </w:rPr>
                    <w:t>0.096024</w:t>
                  </w:r>
                </w:p>
              </w:tc>
            </w:tr>
            <w:tr w14:paraId="7D0C46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417" w:type="dxa"/>
                  <w:tcMar>
                    <w:top w:w="14" w:type="dxa"/>
                    <w:left w:w="70" w:type="dxa"/>
                    <w:bottom w:w="14" w:type="dxa"/>
                    <w:right w:w="70" w:type="dxa"/>
                  </w:tcMar>
                  <w:vAlign w:val="center"/>
                </w:tcPr>
                <w:p w14:paraId="7CFAABE2">
                  <w:pPr>
                    <w:ind w:firstLine="320"/>
                    <w:jc w:val="left"/>
                  </w:pPr>
                  <m:oMathPara>
                    <m:oMath>
                      <m:sSub>
                        <m:sSubPr>
                          <m:ctrlPr>
                            <w:rPr>
                              <w:rFonts w:hint="default" w:ascii="Cambria Math" w:hAnsi="Cambria Math"/>
                              <w:sz w:val="16"/>
                            </w:rPr>
                          </m:ctrlPr>
                        </m:sSubPr>
                        <m:e>
                          <m:r>
                            <m:rPr/>
                            <w:rPr>
                              <w:rFonts w:hint="default" w:ascii="Cambria Math" w:hAnsi="Cambria Math"/>
                              <w:sz w:val="16"/>
                            </w:rPr>
                            <m:t>β</m:t>
                          </m:r>
                          <m:ctrlPr>
                            <w:rPr>
                              <w:rFonts w:ascii="Cambria Math" w:hAnsi="Cambria Math"/>
                              <w:sz w:val="16"/>
                            </w:rPr>
                          </m:ctrlPr>
                        </m:e>
                        <m:sub>
                          <m:r>
                            <m:rPr/>
                            <w:rPr>
                              <w:rFonts w:hint="default" w:ascii="Cambria Math" w:hAnsi="Cambria Math"/>
                              <w:sz w:val="16"/>
                            </w:rPr>
                            <m:t>v</m:t>
                          </m:r>
                          <m:ctrlPr>
                            <w:rPr>
                              <w:rFonts w:ascii="Cambria Math" w:hAnsi="Cambria Math"/>
                              <w:sz w:val="16"/>
                            </w:rPr>
                          </m:ctrlPr>
                        </m:sub>
                      </m:sSub>
                    </m:oMath>
                  </m:oMathPara>
                </w:p>
              </w:tc>
              <w:tc>
                <w:tcPr>
                  <w:tcW w:w="3402" w:type="dxa"/>
                  <w:tcMar>
                    <w:top w:w="14" w:type="dxa"/>
                    <w:left w:w="70" w:type="dxa"/>
                    <w:bottom w:w="14" w:type="dxa"/>
                    <w:right w:w="70" w:type="dxa"/>
                  </w:tcMar>
                  <w:vAlign w:val="center"/>
                </w:tcPr>
                <w:p w14:paraId="37A0FC1B">
                  <w:pPr>
                    <w:ind w:firstLine="320"/>
                    <w:jc w:val="left"/>
                  </w:pPr>
                  <w:r>
                    <w:rPr>
                      <w:sz w:val="16"/>
                    </w:rPr>
                    <w:t>蚊媒传播速率（天^-1）</w:t>
                  </w:r>
                </w:p>
              </w:tc>
              <w:tc>
                <w:tcPr>
                  <w:tcW w:w="2041" w:type="dxa"/>
                  <w:tcMar>
                    <w:top w:w="14" w:type="dxa"/>
                    <w:left w:w="70" w:type="dxa"/>
                    <w:bottom w:w="14" w:type="dxa"/>
                    <w:right w:w="70" w:type="dxa"/>
                  </w:tcMar>
                  <w:vAlign w:val="center"/>
                </w:tcPr>
                <w:p w14:paraId="35F46D27">
                  <w:pPr>
                    <w:ind w:firstLine="320"/>
                    <w:jc w:val="left"/>
                  </w:pPr>
                  <w:r>
                    <w:rPr>
                      <w:sz w:val="16"/>
                    </w:rPr>
                    <w:t>0.548579</w:t>
                  </w:r>
                </w:p>
              </w:tc>
            </w:tr>
            <w:tr w14:paraId="2F41CF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417" w:type="dxa"/>
                  <w:tcMar>
                    <w:top w:w="14" w:type="dxa"/>
                    <w:left w:w="70" w:type="dxa"/>
                    <w:bottom w:w="14" w:type="dxa"/>
                    <w:right w:w="70" w:type="dxa"/>
                  </w:tcMar>
                  <w:vAlign w:val="center"/>
                </w:tcPr>
                <w:p w14:paraId="5B0284C5">
                  <w:pPr>
                    <w:ind w:firstLine="320"/>
                    <w:jc w:val="left"/>
                  </w:pPr>
                  <m:oMathPara>
                    <m:oMath>
                      <m:sSub>
                        <m:sSubPr>
                          <m:ctrlPr>
                            <w:rPr>
                              <w:rFonts w:hint="default" w:ascii="Cambria Math" w:hAnsi="Cambria Math"/>
                              <w:sz w:val="16"/>
                            </w:rPr>
                          </m:ctrlPr>
                        </m:sSubPr>
                        <m:e>
                          <m:r>
                            <m:rPr/>
                            <w:rPr>
                              <w:rFonts w:hint="default" w:ascii="Cambria Math" w:hAnsi="Cambria Math"/>
                              <w:sz w:val="16"/>
                            </w:rPr>
                            <m:t>N</m:t>
                          </m:r>
                          <m:ctrlPr>
                            <w:rPr>
                              <w:rFonts w:ascii="Cambria Math" w:hAnsi="Cambria Math"/>
                              <w:sz w:val="16"/>
                            </w:rPr>
                          </m:ctrlPr>
                        </m:e>
                        <m:sub>
                          <m:r>
                            <m:rPr/>
                            <w:rPr>
                              <w:rFonts w:hint="default" w:ascii="Cambria Math" w:hAnsi="Cambria Math"/>
                              <w:sz w:val="16"/>
                            </w:rPr>
                            <m:t>e</m:t>
                          </m:r>
                          <m:ctrlPr>
                            <w:rPr>
                              <w:rFonts w:ascii="Cambria Math" w:hAnsi="Cambria Math"/>
                              <w:sz w:val="16"/>
                            </w:rPr>
                          </m:ctrlPr>
                        </m:sub>
                      </m:sSub>
                      <m:r>
                        <m:rPr/>
                        <w:rPr>
                          <w:rFonts w:hint="default" w:ascii="Cambria Math" w:hAnsi="Cambria Math"/>
                          <w:sz w:val="16"/>
                        </w:rPr>
                        <m:t>ff</m:t>
                      </m:r>
                    </m:oMath>
                  </m:oMathPara>
                </w:p>
              </w:tc>
              <w:tc>
                <w:tcPr>
                  <w:tcW w:w="3402" w:type="dxa"/>
                  <w:tcMar>
                    <w:top w:w="14" w:type="dxa"/>
                    <w:left w:w="70" w:type="dxa"/>
                    <w:bottom w:w="14" w:type="dxa"/>
                    <w:right w:w="70" w:type="dxa"/>
                  </w:tcMar>
                  <w:vAlign w:val="center"/>
                </w:tcPr>
                <w:p w14:paraId="0AAC57C1">
                  <w:pPr>
                    <w:ind w:firstLine="320"/>
                    <w:jc w:val="left"/>
                  </w:pPr>
                  <w:r>
                    <w:rPr>
                      <w:sz w:val="16"/>
                    </w:rPr>
                    <w:t>有效人群（人数）</w:t>
                  </w:r>
                </w:p>
              </w:tc>
              <w:tc>
                <w:tcPr>
                  <w:tcW w:w="2041" w:type="dxa"/>
                  <w:tcMar>
                    <w:top w:w="14" w:type="dxa"/>
                    <w:left w:w="70" w:type="dxa"/>
                    <w:bottom w:w="14" w:type="dxa"/>
                    <w:right w:w="70" w:type="dxa"/>
                  </w:tcMar>
                  <w:vAlign w:val="center"/>
                </w:tcPr>
                <w:p w14:paraId="10AF46F5">
                  <w:pPr>
                    <w:ind w:firstLine="320"/>
                    <w:jc w:val="left"/>
                  </w:pPr>
                  <w:r>
                    <w:rPr>
                      <w:sz w:val="16"/>
                    </w:rPr>
                    <w:t>338,285.75</w:t>
                  </w:r>
                </w:p>
              </w:tc>
            </w:tr>
            <w:tr w14:paraId="522736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417" w:type="dxa"/>
                  <w:tcMar>
                    <w:top w:w="14" w:type="dxa"/>
                    <w:left w:w="70" w:type="dxa"/>
                    <w:bottom w:w="14" w:type="dxa"/>
                    <w:right w:w="70" w:type="dxa"/>
                  </w:tcMar>
                  <w:vAlign w:val="center"/>
                </w:tcPr>
                <w:p w14:paraId="0AB64865">
                  <w:pPr>
                    <w:ind w:firstLine="320"/>
                    <w:jc w:val="center"/>
                  </w:pPr>
                  <m:oMathPara>
                    <m:oMath>
                      <m:r>
                        <m:rPr>
                          <m:sty m:val="p"/>
                        </m:rPr>
                        <w:rPr>
                          <w:rFonts w:ascii="Cambria Math" w:hAnsi="Cambria Math" w:cs="Times New Roman"/>
                          <w:sz w:val="16"/>
                          <w:szCs w:val="21"/>
                          <w:lang w:val="en-US" w:bidi="ar-SA"/>
                        </w:rPr>
                        <m:t>Eh(0)</m:t>
                      </m:r>
                    </m:oMath>
                  </m:oMathPara>
                </w:p>
              </w:tc>
              <w:tc>
                <w:tcPr>
                  <w:tcW w:w="3402" w:type="dxa"/>
                  <w:tcMar>
                    <w:top w:w="14" w:type="dxa"/>
                    <w:left w:w="70" w:type="dxa"/>
                    <w:bottom w:w="14" w:type="dxa"/>
                    <w:right w:w="70" w:type="dxa"/>
                  </w:tcMar>
                  <w:vAlign w:val="center"/>
                </w:tcPr>
                <w:p w14:paraId="0E040A02">
                  <w:pPr>
                    <w:ind w:firstLine="320"/>
                    <w:jc w:val="left"/>
                  </w:pPr>
                  <w:r>
                    <w:rPr>
                      <w:sz w:val="16"/>
                    </w:rPr>
                    <w:t>宿主暴露者初值（固定）</w:t>
                  </w:r>
                </w:p>
              </w:tc>
              <w:tc>
                <w:tcPr>
                  <w:tcW w:w="2041" w:type="dxa"/>
                  <w:tcMar>
                    <w:top w:w="14" w:type="dxa"/>
                    <w:left w:w="70" w:type="dxa"/>
                    <w:bottom w:w="14" w:type="dxa"/>
                    <w:right w:w="70" w:type="dxa"/>
                  </w:tcMar>
                  <w:vAlign w:val="center"/>
                </w:tcPr>
                <w:p w14:paraId="4C00B4DC">
                  <w:pPr>
                    <w:ind w:firstLine="320"/>
                    <w:jc w:val="left"/>
                  </w:pPr>
                  <w:r>
                    <w:rPr>
                      <w:sz w:val="16"/>
                    </w:rPr>
                    <w:t>189</w:t>
                  </w:r>
                </w:p>
              </w:tc>
            </w:tr>
            <w:tr w14:paraId="0FDF62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c>
                <w:tcPr>
                  <w:tcW w:w="1417" w:type="dxa"/>
                  <w:tcMar>
                    <w:top w:w="14" w:type="dxa"/>
                    <w:left w:w="70" w:type="dxa"/>
                    <w:bottom w:w="14" w:type="dxa"/>
                    <w:right w:w="70" w:type="dxa"/>
                  </w:tcMar>
                  <w:vAlign w:val="center"/>
                </w:tcPr>
                <w:p w14:paraId="455D4A7A">
                  <w:pPr>
                    <w:ind w:firstLine="320"/>
                    <w:jc w:val="left"/>
                  </w:pPr>
                  <m:oMathPara>
                    <m:oMath>
                      <m:r>
                        <m:rPr>
                          <m:sty m:val="p"/>
                        </m:rPr>
                        <w:rPr>
                          <w:rFonts w:ascii="Cambria Math" w:hAnsi="Cambria Math" w:cs="Times New Roman"/>
                          <w:sz w:val="16"/>
                          <w:szCs w:val="21"/>
                          <w:lang w:val="en-US" w:bidi="ar-SA"/>
                        </w:rPr>
                        <m:t>Ih(0)</m:t>
                      </m:r>
                    </m:oMath>
                  </m:oMathPara>
                </w:p>
              </w:tc>
              <w:tc>
                <w:tcPr>
                  <w:tcW w:w="3402" w:type="dxa"/>
                  <w:tcMar>
                    <w:top w:w="14" w:type="dxa"/>
                    <w:left w:w="70" w:type="dxa"/>
                    <w:bottom w:w="14" w:type="dxa"/>
                    <w:right w:w="70" w:type="dxa"/>
                  </w:tcMar>
                  <w:vAlign w:val="center"/>
                </w:tcPr>
                <w:p w14:paraId="26FF091B">
                  <w:pPr>
                    <w:ind w:firstLine="320"/>
                    <w:jc w:val="left"/>
                  </w:pPr>
                  <w:r>
                    <w:rPr>
                      <w:sz w:val="16"/>
                    </w:rPr>
                    <w:t>宿主感染者初值（固定）</w:t>
                  </w:r>
                </w:p>
              </w:tc>
              <w:tc>
                <w:tcPr>
                  <w:tcW w:w="2041" w:type="dxa"/>
                  <w:tcMar>
                    <w:top w:w="14" w:type="dxa"/>
                    <w:left w:w="70" w:type="dxa"/>
                    <w:bottom w:w="14" w:type="dxa"/>
                    <w:right w:w="70" w:type="dxa"/>
                  </w:tcMar>
                  <w:vAlign w:val="center"/>
                </w:tcPr>
                <w:p w14:paraId="210D2208">
                  <w:pPr>
                    <w:ind w:firstLine="320"/>
                    <w:jc w:val="left"/>
                  </w:pPr>
                  <w:r>
                    <w:rPr>
                      <w:sz w:val="16"/>
                    </w:rPr>
                    <w:t>63</w:t>
                  </w:r>
                </w:p>
              </w:tc>
            </w:tr>
            <w:tr w14:paraId="3EC24A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1417" w:type="dxa"/>
                  <w:tcMar>
                    <w:top w:w="14" w:type="dxa"/>
                    <w:left w:w="70" w:type="dxa"/>
                    <w:bottom w:w="14" w:type="dxa"/>
                    <w:right w:w="70" w:type="dxa"/>
                  </w:tcMar>
                  <w:vAlign w:val="center"/>
                </w:tcPr>
                <w:p w14:paraId="07E005CA">
                  <w:pPr>
                    <w:ind w:firstLine="320"/>
                    <w:jc w:val="left"/>
                  </w:pPr>
                  <m:oMathPara>
                    <m:oMath>
                      <m:r>
                        <m:rPr>
                          <m:sty m:val="p"/>
                        </m:rPr>
                        <w:rPr>
                          <w:rFonts w:ascii="Cambria Math" w:hAnsi="Cambria Math" w:cs="Times New Roman"/>
                          <w:sz w:val="16"/>
                          <w:szCs w:val="21"/>
                          <w:lang w:val="en-US" w:bidi="ar-SA"/>
                        </w:rPr>
                        <m:t>iv(0)</m:t>
                      </m:r>
                    </m:oMath>
                  </m:oMathPara>
                </w:p>
              </w:tc>
              <w:tc>
                <w:tcPr>
                  <w:tcW w:w="3402" w:type="dxa"/>
                  <w:tcMar>
                    <w:top w:w="14" w:type="dxa"/>
                    <w:left w:w="70" w:type="dxa"/>
                    <w:bottom w:w="14" w:type="dxa"/>
                    <w:right w:w="70" w:type="dxa"/>
                  </w:tcMar>
                  <w:vAlign w:val="center"/>
                </w:tcPr>
                <w:p w14:paraId="384AB986">
                  <w:pPr>
                    <w:ind w:firstLine="320"/>
                    <w:jc w:val="left"/>
                  </w:pPr>
                  <w:r>
                    <w:rPr>
                      <w:sz w:val="16"/>
                    </w:rPr>
                    <w:t>蚊媒感染比例初值</w:t>
                  </w:r>
                </w:p>
              </w:tc>
              <w:tc>
                <w:tcPr>
                  <w:tcW w:w="2041" w:type="dxa"/>
                  <w:tcMar>
                    <w:top w:w="14" w:type="dxa"/>
                    <w:left w:w="70" w:type="dxa"/>
                    <w:bottom w:w="14" w:type="dxa"/>
                    <w:right w:w="70" w:type="dxa"/>
                  </w:tcMar>
                  <w:vAlign w:val="center"/>
                </w:tcPr>
                <w:p w14:paraId="25BC2ACA">
                  <w:pPr>
                    <w:ind w:firstLine="320"/>
                    <w:jc w:val="left"/>
                  </w:pPr>
                  <w:r>
                    <w:rPr>
                      <w:sz w:val="16"/>
                    </w:rPr>
                    <w:t>1.00×10^-8</w:t>
                  </w:r>
                </w:p>
              </w:tc>
            </w:tr>
          </w:tbl>
          <w:p w14:paraId="3EAEC0B2">
            <w:pPr>
              <w:spacing w:before="0" w:after="120" w:line="300" w:lineRule="auto"/>
              <w:ind w:firstLine="420"/>
            </w:pPr>
          </w:p>
          <w:p w14:paraId="512338DE">
            <w:pPr>
              <w:spacing w:before="0" w:after="120" w:line="300" w:lineRule="auto"/>
              <w:ind w:firstLine="360"/>
              <w:jc w:val="center"/>
            </w:pPr>
            <w:r>
              <w:rPr>
                <w:rFonts w:ascii="宋体" w:hAnsi="宋体"/>
                <w:sz w:val="18"/>
              </w:rPr>
              <w:t>表3  A4 固定宿主初值模型的最优参数</w:t>
            </w:r>
          </w:p>
          <w:p w14:paraId="4F496C12">
            <w:pPr>
              <w:spacing w:before="0" w:after="120" w:line="300" w:lineRule="auto"/>
              <w:ind w:firstLine="420"/>
              <w:jc w:val="center"/>
            </w:pPr>
            <w:r>
              <w:rPr>
                <w:rFonts w:ascii="宋体" w:hAnsi="宋体"/>
              </w:rPr>
              <w:drawing>
                <wp:inline distT="0" distB="0" distL="114300" distR="114300">
                  <wp:extent cx="4823460" cy="3173730"/>
                  <wp:effectExtent l="0" t="0" r="571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824000" cy="3174192"/>
                          </a:xfrm>
                          <a:prstGeom prst="rect">
                            <a:avLst/>
                          </a:prstGeom>
                        </pic:spPr>
                      </pic:pic>
                    </a:graphicData>
                  </a:graphic>
                </wp:inline>
              </w:drawing>
            </w:r>
          </w:p>
          <w:p w14:paraId="4EC3DD0F">
            <w:pPr>
              <w:spacing w:before="0" w:after="120" w:line="300" w:lineRule="auto"/>
              <w:ind w:firstLine="360"/>
              <w:jc w:val="center"/>
            </w:pPr>
            <w:r>
              <w:rPr>
                <w:rFonts w:ascii="宋体" w:hAnsi="宋体"/>
                <w:sz w:val="18"/>
              </w:rPr>
              <w:t>图3  A组四次尝试的周流量拟合</w:t>
            </w:r>
          </w:p>
          <w:p w14:paraId="4B045F37">
            <w:pPr>
              <w:spacing w:before="0" w:after="120" w:line="300" w:lineRule="auto"/>
              <w:ind w:firstLine="420"/>
              <w:jc w:val="center"/>
            </w:pPr>
            <w:r>
              <w:rPr>
                <w:rFonts w:ascii="宋体" w:hAnsi="宋体"/>
              </w:rPr>
              <w:drawing>
                <wp:inline distT="0" distB="0" distL="114300" distR="114300">
                  <wp:extent cx="4823460" cy="3173730"/>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824000" cy="3174192"/>
                          </a:xfrm>
                          <a:prstGeom prst="rect">
                            <a:avLst/>
                          </a:prstGeom>
                        </pic:spPr>
                      </pic:pic>
                    </a:graphicData>
                  </a:graphic>
                </wp:inline>
              </w:drawing>
            </w:r>
          </w:p>
          <w:p w14:paraId="01C5A7DC">
            <w:pPr>
              <w:spacing w:before="0" w:after="120" w:line="300" w:lineRule="auto"/>
              <w:ind w:firstLine="360"/>
              <w:jc w:val="center"/>
            </w:pPr>
            <w:r>
              <w:rPr>
                <w:rFonts w:ascii="宋体" w:hAnsi="宋体"/>
                <w:sz w:val="18"/>
              </w:rPr>
              <w:t>图4  A组观测与模型周新发流量的累加比较</w:t>
            </w:r>
          </w:p>
          <w:p w14:paraId="16C56576">
            <w:pPr>
              <w:spacing w:before="0" w:after="120" w:line="300" w:lineRule="auto"/>
              <w:ind w:firstLine="420"/>
              <w:jc w:val="center"/>
            </w:pPr>
            <w:r>
              <w:rPr>
                <w:rFonts w:ascii="宋体" w:hAnsi="宋体"/>
              </w:rPr>
              <w:drawing>
                <wp:inline distT="0" distB="0" distL="114300" distR="114300">
                  <wp:extent cx="4823460" cy="3296920"/>
                  <wp:effectExtent l="0" t="0" r="571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824000" cy="3297284"/>
                          </a:xfrm>
                          <a:prstGeom prst="rect">
                            <a:avLst/>
                          </a:prstGeom>
                        </pic:spPr>
                      </pic:pic>
                    </a:graphicData>
                  </a:graphic>
                </wp:inline>
              </w:drawing>
            </w:r>
          </w:p>
          <w:p w14:paraId="2DD21EBC">
            <w:pPr>
              <w:spacing w:before="0" w:after="120" w:line="300" w:lineRule="auto"/>
              <w:ind w:firstLine="360"/>
              <w:jc w:val="center"/>
            </w:pPr>
            <w:r>
              <w:rPr>
                <w:rFonts w:ascii="宋体" w:hAnsi="宋体"/>
                <w:sz w:val="18"/>
              </w:rPr>
              <w:t>图5  A组逐周残差诊断</w:t>
            </w:r>
          </w:p>
          <w:p w14:paraId="70F1EBFC">
            <w:pPr>
              <w:spacing w:before="0" w:after="120" w:line="300" w:lineRule="auto"/>
              <w:ind w:firstLine="422"/>
              <w:jc w:val="left"/>
            </w:pPr>
            <w:r>
              <w:rPr>
                <w:rFonts w:ascii="宋体" w:hAnsi="宋体"/>
                <w:b/>
              </w:rPr>
              <w:t>阶段性成果：</w:t>
            </w:r>
          </w:p>
          <w:p w14:paraId="0BF70CA6">
            <w:pPr>
              <w:spacing w:before="0" w:after="120" w:line="300" w:lineRule="auto"/>
              <w:ind w:firstLine="420"/>
              <w:jc w:val="left"/>
              <w:rPr>
                <w:rFonts w:hint="eastAsia" w:eastAsia="宋体"/>
                <w:lang w:eastAsia="zh-CN"/>
              </w:rPr>
            </w:pPr>
            <w:r>
              <w:rPr>
                <w:rFonts w:ascii="宋体" w:hAnsi="宋体"/>
              </w:rPr>
              <w:t>目前已形成四项阶段性成果。第一，完成全国病例数据库整理，获得 2015-W01 至 2026-W31 的周尺度 probable cases 主序列，并明确 2023-W35 至 2024-W45 作为首轮拟合窗口。第二，确定 SEIR-SEI 基础模型，完成符号说明、变量参数表、基础假设、方程、非负性、有界性、疾病消除平衡、</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oMath>
            <w:r>
              <w:rPr>
                <w:rFonts w:ascii="宋体" w:hAnsi="宋体"/>
              </w:rPr>
              <w:t xml:space="preserve"> 推导、局部稳定性和敏感性分析。第三，完成参数估计流程的初步实现，比较约束传播参数、自由双传播参数和固定宿主初值等方案。第四，形成全国病例趋势图、模型仓室图、A 组周流量拟合图、累加比较图和残差诊断图</w:t>
            </w:r>
            <w:r>
              <w:rPr>
                <w:rFonts w:hint="eastAsia" w:ascii="宋体" w:hAnsi="宋体"/>
                <w:lang w:eastAsia="zh-CN"/>
              </w:rPr>
              <w:t>。</w:t>
            </w:r>
          </w:p>
          <w:p w14:paraId="1FACF793">
            <w:pPr>
              <w:spacing w:before="120" w:after="200" w:line="300" w:lineRule="auto"/>
              <w:ind w:firstLine="422"/>
              <w:jc w:val="left"/>
            </w:pPr>
            <w:r>
              <w:rPr>
                <w:rFonts w:ascii="宋体" w:hAnsi="宋体"/>
                <w:b/>
              </w:rPr>
              <w:t>主要参考文献：</w:t>
            </w:r>
          </w:p>
          <w:p w14:paraId="49A28FE1">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[1] Dumont Y, Chiroleu F, Domerg C. On a temporal model for the chikungunya disease: modeling, theory and numerics. Mathematical Biosciences, 2008, 213(1):80-91.</w:t>
            </w:r>
          </w:p>
          <w:p w14:paraId="7C767D88">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[2] Manore C A, Hickmann K S, Xu S, Wearing H J, Hyman J M. Comparing dengue and chikungunya emergence and endemic transmission in A. aegypti and A. albopictus. Journal of Theoretical Biology, 2014, 356:174-191.</w:t>
            </w:r>
          </w:p>
          <w:p w14:paraId="68BABF98">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[3] Yakob L, Clements A C A. A mathematical model of chikungunya dynamics and control: the major epidemic on Reunion Island. PLOS ONE, 2013, 8(3):e57448.</w:t>
            </w:r>
          </w:p>
          <w:p w14:paraId="5F55075A">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[4] Dodero-Rojas E, Ferreira L G, Leite V B P, Onuchic J N, Contessoto V G. Modeling chikungunya control strategies and Mayaro potential outbreak in the city of Rio de Janeiro. PLOS ONE, 2020, 15:e0222900.</w:t>
            </w:r>
          </w:p>
          <w:p w14:paraId="5C07FF6E">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[5] Yakob L. Predictable chikungunya infection dynamics in Brazil. Viruses, 2022, 14(9):1889.</w:t>
            </w:r>
          </w:p>
          <w:p w14:paraId="39DF02D7">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[6] Liu X, Wang Y, Zhao X Q. Dynamics of a periodic chikungunya model with temperature and rainfall effects. Communications in Nonlinear Science and Numerical Simulation, 2020, 90:105409.</w:t>
            </w:r>
          </w:p>
          <w:p w14:paraId="3B7CD0D1">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[7] Mordecai E A, Cohen J M, Evans M V, et al. Detecting the impact of temperature on transmission of Zika, dengue, and chikungunya using mechanistic models. PLOS Neglected Tropical Diseases, 2017, 11(4):e0005568.</w:t>
            </w:r>
          </w:p>
          <w:p w14:paraId="3E63AC2E">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[8] Huber J H, Childs M L, Caldwell J M, Mordecai E A. Seasonal temperature variation influences climate suitability for dengue, chikungunya, and Zika transmission. PLOS Neglected Tropical Diseases, 2018, 12(5):e0006451.</w:t>
            </w:r>
          </w:p>
          <w:p w14:paraId="10D13AC7">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[9] Anjos R O, Mugabe V A, Moreira P S S, et al. Transmission of chikungunya virus in an urban slum, Brazil. Emerging Infectious Diseases, 2020, 26(7):1364-1373.</w:t>
            </w:r>
          </w:p>
          <w:p w14:paraId="45C8A482">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[10] Silva Neto S R, Oliveira T T, Teixeira I V, et al. Arboviral disease record data: dengue and chikungunya, Brazil, 2013-2020. Scientific Data, 2022, 9:198.</w:t>
            </w:r>
          </w:p>
          <w:p w14:paraId="3D5BDC41">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[11] Lowe R, Lee S A, O'Reilly K M, et al. Combined effects of hydrometeorological hazards and urbanisation on dengue risk in Brazil: a spatiotemporal modelling study. The Lancet Planetary Health, 2021, 5:e209-e219.</w:t>
            </w:r>
          </w:p>
          <w:p w14:paraId="081D78F7">
            <w:pPr>
              <w:spacing w:before="0" w:after="120" w:line="300" w:lineRule="auto"/>
              <w:ind w:firstLine="340"/>
              <w:jc w:val="left"/>
              <w:rPr>
                <w:rFonts w:hint="default" w:ascii="Times New Roman" w:hAnsi="Times New Roman" w:cs="Times New Roman"/>
              </w:rPr>
            </w:pPr>
            <w:r>
              <w:rPr>
                <w:rFonts w:hint="default" w:ascii="Times New Roman" w:hAnsi="Times New Roman" w:cs="Times New Roman"/>
                <w:sz w:val="17"/>
              </w:rPr>
              <w:t>[12] Qian M, Li D, Hao Z, Hu S, Li W. An epidemiological model of monkeypox: model prediction and control application. BMC Infectious Diseases, 2025, 25:485.</w:t>
            </w:r>
          </w:p>
          <w:p w14:paraId="6DB65CEA">
            <w:pPr>
              <w:spacing w:before="0" w:after="120" w:line="300" w:lineRule="auto"/>
              <w:ind w:firstLine="340"/>
              <w:jc w:val="left"/>
            </w:pPr>
            <w:r>
              <w:rPr>
                <w:rFonts w:hint="default" w:ascii="Times New Roman" w:hAnsi="Times New Roman" w:cs="Times New Roman"/>
                <w:sz w:val="17"/>
              </w:rPr>
              <w:t>[13] Diekmann O, Heesterbeek J A P, Roberts M G. The construction of next-generation matrices for compartmental epidemic models. Journal of the Royal Society Interface, 2010, 7(47):873-885.</w:t>
            </w:r>
          </w:p>
        </w:tc>
      </w:tr>
      <w:tr w14:paraId="4034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1" w:hRule="atLeast"/>
          <w:jc w:val="center"/>
        </w:trPr>
        <w:tc>
          <w:tcPr>
            <w:tcW w:w="1109" w:type="dxa"/>
            <w:tcMar>
              <w:top w:w="90" w:type="dxa"/>
              <w:left w:w="110" w:type="dxa"/>
              <w:bottom w:w="90" w:type="dxa"/>
              <w:right w:w="110" w:type="dxa"/>
            </w:tcMar>
            <w:textDirection w:val="tbRlV"/>
            <w:vAlign w:val="center"/>
          </w:tcPr>
          <w:p w14:paraId="0853908F">
            <w:pPr>
              <w:spacing w:before="0" w:beforeLines="150" w:beforeAutospacing="0" w:after="120" w:line="300" w:lineRule="auto"/>
              <w:ind w:left="113" w:right="33" w:firstLine="299" w:firstLineChars="142"/>
              <w:jc w:val="left"/>
              <w:rPr>
                <w:rFonts w:hint="eastAsia" w:ascii="宋体" w:hAnsi="宋体" w:cs="Arial"/>
                <w:b/>
                <w:bCs/>
                <w:color w:val="000000"/>
              </w:rPr>
            </w:pPr>
            <w:r>
              <w:rPr>
                <w:rFonts w:hint="eastAsia" w:ascii="宋体" w:hAnsi="宋体" w:cs="Arial"/>
                <w:b/>
                <w:bCs/>
                <w:color w:val="000000"/>
              </w:rPr>
              <w:t>存 在 的 主 要 研 究 难 题 和 后 续 研 究 计 划</w:t>
            </w:r>
          </w:p>
          <w:p w14:paraId="08DD649E">
            <w:pPr>
              <w:spacing w:before="0" w:after="120" w:line="300" w:lineRule="auto"/>
              <w:ind w:left="113" w:right="33" w:firstLine="299" w:firstLineChars="142"/>
              <w:jc w:val="left"/>
              <w:rPr>
                <w:rFonts w:ascii="Arial" w:hAnsi="Arial" w:cs="Arial"/>
                <w:b/>
                <w:bCs/>
                <w:color w:val="000000"/>
              </w:rPr>
            </w:pPr>
          </w:p>
        </w:tc>
        <w:tc>
          <w:tcPr>
            <w:tcW w:w="8853" w:type="dxa"/>
            <w:gridSpan w:val="5"/>
            <w:tcMar>
              <w:top w:w="90" w:type="dxa"/>
              <w:left w:w="110" w:type="dxa"/>
              <w:bottom w:w="90" w:type="dxa"/>
              <w:right w:w="110" w:type="dxa"/>
            </w:tcMar>
            <w:vAlign w:val="center"/>
          </w:tcPr>
          <w:p w14:paraId="3069AA63">
            <w:pPr>
              <w:spacing w:before="120" w:after="200" w:line="300" w:lineRule="auto"/>
              <w:ind w:firstLine="422"/>
              <w:jc w:val="left"/>
            </w:pPr>
            <w:r>
              <w:rPr>
                <w:rFonts w:ascii="宋体" w:hAnsi="宋体"/>
                <w:b/>
              </w:rPr>
              <w:t>存在的主要研究难题：</w:t>
            </w:r>
          </w:p>
          <w:p w14:paraId="019DBF68">
            <w:pPr>
              <w:spacing w:before="0" w:after="120" w:line="300" w:lineRule="auto"/>
              <w:ind w:left="312" w:firstLine="400"/>
              <w:jc w:val="left"/>
              <w:rPr>
                <w:rFonts w:hint="default" w:ascii="宋体" w:hAnsi="宋体" w:eastAsia="宋体" w:cs="宋体"/>
                <w:sz w:val="21"/>
                <w:szCs w:val="21"/>
                <w:lang w:val="en-US" w:eastAsia="zh-CN"/>
              </w:rPr>
            </w:pPr>
            <w:r>
              <w:rPr>
                <w:rFonts w:hint="eastAsia" w:ascii="宋体" w:hAnsi="宋体" w:eastAsia="宋体" w:cs="宋体"/>
                <w:sz w:val="21"/>
                <w:szCs w:val="21"/>
              </w:rPr>
              <w:t xml:space="preserve">• </w:t>
            </w:r>
            <w:r>
              <w:rPr>
                <w:rFonts w:hint="eastAsia" w:ascii="宋体" w:hAnsi="宋体" w:cs="宋体"/>
                <w:sz w:val="21"/>
                <w:szCs w:val="21"/>
                <w:lang w:val="en-US" w:eastAsia="zh-CN"/>
              </w:rPr>
              <w:t>提出相应的控制干预措施，建立最优控制模型和无控制模型进行数值模拟。尝试探讨所提出的控制干预措施对巴西基孔肯亚热发展的影响和效果。</w:t>
            </w:r>
          </w:p>
          <w:p w14:paraId="67FB080E">
            <w:pPr>
              <w:spacing w:before="0" w:after="120" w:line="300" w:lineRule="auto"/>
              <w:ind w:left="312" w:firstLine="400"/>
              <w:jc w:val="left"/>
              <w:rPr>
                <w:rFonts w:hint="eastAsia" w:ascii="宋体" w:hAnsi="宋体" w:eastAsia="宋体" w:cs="宋体"/>
                <w:sz w:val="21"/>
                <w:szCs w:val="21"/>
              </w:rPr>
            </w:pPr>
            <w:r>
              <w:rPr>
                <w:rFonts w:hint="eastAsia" w:ascii="宋体" w:hAnsi="宋体" w:eastAsia="宋体" w:cs="宋体"/>
                <w:sz w:val="21"/>
                <w:szCs w:val="21"/>
              </w:rPr>
              <w:t xml:space="preserve">• 参数可辨识性不足。A2 误差最低，但初值贴近下界且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hint="eastAsia" w:ascii="宋体" w:hAnsi="宋体" w:eastAsia="宋体" w:cs="宋体"/>
                <w:sz w:val="21"/>
                <w:szCs w:val="21"/>
              </w:rPr>
              <w:t xml:space="preserve"> 与 </w:t>
            </w:r>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oMath>
            <w:r>
              <w:rPr>
                <w:rFonts w:hint="eastAsia" w:ascii="宋体" w:hAnsi="宋体" w:eastAsia="宋体" w:cs="宋体"/>
                <w:sz w:val="21"/>
                <w:szCs w:val="21"/>
              </w:rPr>
              <w:t xml:space="preserve"> 高度相关；A4 更稳健，仍需用参数剖面和区间估计判断可信度。</w:t>
            </w:r>
          </w:p>
          <w:p w14:paraId="2470E797">
            <w:pPr>
              <w:spacing w:before="0" w:after="120" w:line="300" w:lineRule="auto"/>
              <w:ind w:left="312" w:firstLine="400"/>
              <w:jc w:val="left"/>
              <w:rPr>
                <w:rFonts w:hint="eastAsia" w:ascii="宋体" w:hAnsi="宋体" w:eastAsia="宋体" w:cs="宋体"/>
                <w:sz w:val="21"/>
                <w:szCs w:val="21"/>
              </w:rPr>
            </w:pPr>
            <w:r>
              <w:rPr>
                <w:rFonts w:hint="eastAsia" w:ascii="宋体" w:hAnsi="宋体" w:eastAsia="宋体" w:cs="宋体"/>
                <w:sz w:val="21"/>
                <w:szCs w:val="21"/>
              </w:rPr>
              <w:t>• 全国汇总掩盖州际气候、人口和媒介差异。若直接加入气候变量，可能出现拟合改善但解释不稳。</w:t>
            </w:r>
          </w:p>
          <w:p w14:paraId="1A7151EB">
            <w:pPr>
              <w:spacing w:before="120" w:after="200" w:line="300" w:lineRule="auto"/>
              <w:ind w:firstLine="422"/>
              <w:jc w:val="left"/>
              <w:rPr>
                <w:rFonts w:hint="eastAsia" w:ascii="宋体" w:hAnsi="宋体" w:eastAsia="宋体" w:cs="宋体"/>
                <w:sz w:val="21"/>
                <w:szCs w:val="21"/>
              </w:rPr>
            </w:pPr>
            <w:r>
              <w:rPr>
                <w:rFonts w:hint="eastAsia" w:ascii="宋体" w:hAnsi="宋体" w:eastAsia="宋体" w:cs="宋体"/>
                <w:b/>
                <w:sz w:val="21"/>
                <w:szCs w:val="21"/>
              </w:rPr>
              <w:t>后续研究计划：</w:t>
            </w:r>
          </w:p>
          <w:p w14:paraId="0860517B">
            <w:pPr>
              <w:spacing w:before="0" w:after="120" w:line="300" w:lineRule="auto"/>
              <w:ind w:left="312" w:firstLine="400"/>
              <w:jc w:val="left"/>
              <w:rPr>
                <w:rFonts w:hint="eastAsia" w:ascii="宋体" w:hAnsi="宋体" w:eastAsia="宋体" w:cs="宋体"/>
                <w:sz w:val="21"/>
                <w:szCs w:val="21"/>
              </w:rPr>
            </w:pPr>
            <w:r>
              <w:rPr>
                <w:rFonts w:hint="eastAsia" w:ascii="宋体" w:hAnsi="宋体" w:eastAsia="宋体" w:cs="宋体"/>
                <w:sz w:val="21"/>
                <w:szCs w:val="21"/>
              </w:rPr>
              <w:t>• 尝试“训练集拟合-测试集验证-情景模拟”闭环，先补齐样本外验证：划分训练/测试集，报告 MAE、RMSE、峰值时间误差和累计病例误差，并设置统计基线。</w:t>
            </w:r>
          </w:p>
          <w:p w14:paraId="72229C7E">
            <w:pPr>
              <w:spacing w:before="0" w:after="120" w:line="300" w:lineRule="auto"/>
              <w:ind w:left="312" w:firstLine="400"/>
              <w:jc w:val="left"/>
              <w:rPr>
                <w:rFonts w:hint="default" w:ascii="宋体" w:hAnsi="宋体" w:eastAsia="宋体" w:cs="宋体"/>
                <w:sz w:val="21"/>
                <w:szCs w:val="21"/>
                <w:lang w:val="en-US" w:eastAsia="zh-CN"/>
              </w:rPr>
            </w:pPr>
            <w:r>
              <w:rPr>
                <w:rFonts w:hint="eastAsia" w:ascii="宋体" w:hAnsi="宋体" w:eastAsia="宋体" w:cs="宋体"/>
                <w:sz w:val="21"/>
                <w:szCs w:val="21"/>
              </w:rPr>
              <w:t>• 9-10 月统一病例口径和观测方程，重跑 A2 与 A4，完成</w:t>
            </w:r>
            <m:oMath>
              <m:r>
                <m:rPr>
                  <m:sty m:val="p"/>
                </m:rPr>
                <w:rPr>
                  <w:rFonts w:hint="eastAsia" w:ascii="Cambria Math" w:hAnsi="Cambria Math" w:eastAsia="宋体" w:cs="宋体"/>
                  <w:sz w:val="21"/>
                  <w:szCs w:val="21"/>
                  <w:lang w:val="en-US" w:bidi="ar-SA"/>
                </w:rPr>
                <m:t xml:space="preserve"> </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r>
                <m:rPr/>
                <w:rPr>
                  <w:rFonts w:hint="default" w:ascii="Cambria Math" w:hAnsi="Cambria Math"/>
                  <w:sz w:val="21"/>
                </w:rPr>
                <m:t>ff</m:t>
              </m:r>
            </m:oMath>
            <w:r>
              <w:rPr>
                <w:rFonts w:hint="eastAsia" w:ascii="宋体" w:hAnsi="宋体" w:eastAsia="宋体" w:cs="宋体"/>
                <w:sz w:val="21"/>
                <w:szCs w:val="21"/>
              </w:rPr>
              <w:t>、初值和传播参数剖面分析</w:t>
            </w:r>
            <w:r>
              <w:rPr>
                <w:rFonts w:hint="eastAsia" w:ascii="宋体" w:hAnsi="宋体" w:cs="宋体"/>
                <w:sz w:val="21"/>
                <w:szCs w:val="21"/>
                <w:lang w:val="en-US" w:eastAsia="zh-CN"/>
              </w:rPr>
              <w:t>和建立最优控制模型和无控制模型进行数值模拟。</w:t>
            </w:r>
          </w:p>
          <w:p w14:paraId="34DA928C">
            <w:pPr>
              <w:spacing w:before="0" w:after="120" w:line="300" w:lineRule="auto"/>
              <w:ind w:left="312" w:firstLine="400"/>
              <w:jc w:val="left"/>
            </w:pPr>
            <w:r>
              <w:rPr>
                <w:rFonts w:hint="eastAsia" w:ascii="宋体" w:hAnsi="宋体" w:eastAsia="宋体" w:cs="宋体"/>
                <w:sz w:val="21"/>
                <w:szCs w:val="21"/>
              </w:rPr>
              <w:t>• 10-11 月整理温度、降雨资料，比较常参数、季节项和少参数气候扩展模型；12 月后完善不确定性分析、图表和论文初稿。</w:t>
            </w:r>
          </w:p>
        </w:tc>
      </w:tr>
      <w:tr w14:paraId="7675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54" w:hRule="atLeast"/>
          <w:jc w:val="center"/>
        </w:trPr>
        <w:tc>
          <w:tcPr>
            <w:tcW w:w="1109" w:type="dxa"/>
            <w:tcMar>
              <w:top w:w="90" w:type="dxa"/>
              <w:left w:w="110" w:type="dxa"/>
              <w:bottom w:w="90" w:type="dxa"/>
              <w:right w:w="110" w:type="dxa"/>
            </w:tcMar>
            <w:textDirection w:val="tbRlV"/>
            <w:vAlign w:val="center"/>
          </w:tcPr>
          <w:p w14:paraId="468CD37E">
            <w:pPr>
              <w:spacing w:before="0" w:after="120" w:line="300" w:lineRule="auto"/>
              <w:ind w:left="113" w:right="33" w:firstLine="0" w:firstLineChars="0"/>
              <w:jc w:val="left"/>
              <w:rPr>
                <w:rFonts w:ascii="Arial" w:hAnsi="Arial" w:cs="Arial"/>
                <w:b/>
                <w:bCs/>
                <w:color w:val="000000"/>
              </w:rPr>
            </w:pPr>
            <w:r>
              <w:rPr>
                <w:rFonts w:hint="eastAsia" w:ascii="Arial" w:hAnsi="Arial" w:cs="Arial"/>
                <w:b/>
                <w:bCs/>
                <w:color w:val="000000"/>
              </w:rPr>
              <w:t>项 目 变 更 情 况（如 无 则 不填）</w:t>
            </w:r>
          </w:p>
        </w:tc>
        <w:tc>
          <w:tcPr>
            <w:tcW w:w="8853" w:type="dxa"/>
            <w:gridSpan w:val="5"/>
            <w:tcMar>
              <w:top w:w="90" w:type="dxa"/>
              <w:left w:w="110" w:type="dxa"/>
              <w:bottom w:w="90" w:type="dxa"/>
              <w:right w:w="110" w:type="dxa"/>
            </w:tcMar>
            <w:vAlign w:val="center"/>
          </w:tcPr>
          <w:p w14:paraId="239A6DDB">
            <w:pPr>
              <w:spacing w:before="0" w:after="120" w:line="300" w:lineRule="auto"/>
              <w:ind w:right="33" w:firstLine="420"/>
              <w:rPr>
                <w:rFonts w:hint="eastAsia" w:ascii="宋体" w:hAnsi="宋体" w:cs="宋体"/>
                <w:color w:val="000000"/>
              </w:rPr>
            </w:pPr>
          </w:p>
        </w:tc>
      </w:tr>
      <w:tr w14:paraId="5F58E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3246" w:type="dxa"/>
            <w:gridSpan w:val="3"/>
            <w:tcMar>
              <w:top w:w="90" w:type="dxa"/>
              <w:left w:w="110" w:type="dxa"/>
              <w:bottom w:w="90" w:type="dxa"/>
              <w:right w:w="110" w:type="dxa"/>
            </w:tcMar>
            <w:vAlign w:val="center"/>
          </w:tcPr>
          <w:p w14:paraId="063EEEBF">
            <w:pPr>
              <w:spacing w:before="0" w:after="120" w:line="300" w:lineRule="auto"/>
              <w:ind w:right="33" w:firstLine="420"/>
              <w:rPr>
                <w:rFonts w:hint="eastAsia" w:ascii="宋体" w:hAnsi="宋体" w:cs="Arial"/>
                <w:bCs/>
                <w:color w:val="000000"/>
              </w:rPr>
            </w:pPr>
            <w:r>
              <w:rPr>
                <w:rFonts w:hint="eastAsia" w:ascii="宋体" w:hAnsi="宋体" w:cs="Arial"/>
                <w:bCs/>
                <w:color w:val="000000"/>
              </w:rPr>
              <w:t>指导教师中审意见</w:t>
            </w:r>
          </w:p>
        </w:tc>
        <w:tc>
          <w:tcPr>
            <w:tcW w:w="6716" w:type="dxa"/>
            <w:gridSpan w:val="3"/>
            <w:tcMar>
              <w:top w:w="90" w:type="dxa"/>
              <w:left w:w="110" w:type="dxa"/>
              <w:bottom w:w="90" w:type="dxa"/>
              <w:right w:w="110" w:type="dxa"/>
            </w:tcMar>
            <w:vAlign w:val="center"/>
          </w:tcPr>
          <w:p w14:paraId="3759CF28">
            <w:pPr>
              <w:spacing w:before="0" w:after="120" w:line="300" w:lineRule="auto"/>
              <w:ind w:right="33" w:firstLine="420"/>
              <w:rPr>
                <w:rFonts w:hint="eastAsia" w:ascii="宋体" w:hAnsi="宋体" w:cs="宋体"/>
                <w:color w:val="000000"/>
              </w:rPr>
            </w:pPr>
            <w:r>
              <w:rPr>
                <w:rFonts w:hint="eastAsia" w:ascii="宋体" w:hAnsi="宋体" w:cs="宋体"/>
                <w:color w:val="000000"/>
              </w:rPr>
              <w:t xml:space="preserve">     </w:t>
            </w:r>
          </w:p>
          <w:p w14:paraId="0B6D0D19">
            <w:pPr>
              <w:spacing w:before="0" w:after="120" w:line="300" w:lineRule="auto"/>
              <w:ind w:right="33" w:firstLine="420"/>
              <w:rPr>
                <w:rFonts w:hint="eastAsia" w:ascii="宋体" w:hAnsi="宋体" w:cs="宋体"/>
                <w:color w:val="000000"/>
              </w:rPr>
            </w:pPr>
            <w:r>
              <w:rPr>
                <w:rFonts w:hint="eastAsia" w:ascii="宋体" w:hAnsi="宋体" w:cs="宋体"/>
                <w:color w:val="000000"/>
              </w:rPr>
              <w:t xml:space="preserve">                          </w:t>
            </w:r>
          </w:p>
          <w:p w14:paraId="719C2A35">
            <w:pPr>
              <w:spacing w:before="0" w:after="120" w:line="300" w:lineRule="auto"/>
              <w:ind w:right="33" w:firstLine="3150" w:firstLineChars="1500"/>
              <w:rPr>
                <w:rFonts w:hint="eastAsia" w:ascii="宋体" w:hAnsi="宋体" w:cs="宋体"/>
                <w:color w:val="000000"/>
              </w:rPr>
            </w:pPr>
            <w:r>
              <w:rPr>
                <w:rFonts w:hint="eastAsia" w:ascii="宋体" w:hAnsi="宋体" w:cs="宋体"/>
                <w:color w:val="000000"/>
              </w:rPr>
              <w:t>签 章：</w:t>
            </w:r>
          </w:p>
          <w:p w14:paraId="0F0C20F4">
            <w:pPr>
              <w:spacing w:before="0" w:after="120" w:line="300" w:lineRule="auto"/>
              <w:ind w:right="33" w:firstLine="420"/>
              <w:rPr>
                <w:rFonts w:hint="eastAsia" w:ascii="宋体" w:hAnsi="宋体" w:cs="宋体"/>
                <w:color w:val="000000"/>
              </w:rPr>
            </w:pPr>
            <w:r>
              <w:rPr>
                <w:rFonts w:hint="eastAsia" w:ascii="宋体" w:hAnsi="宋体" w:cs="宋体"/>
                <w:color w:val="000000"/>
              </w:rPr>
              <w:t xml:space="preserve">                              日 期：</w:t>
            </w:r>
          </w:p>
        </w:tc>
      </w:tr>
      <w:tr w14:paraId="32DD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3246" w:type="dxa"/>
            <w:gridSpan w:val="3"/>
            <w:tcMar>
              <w:top w:w="90" w:type="dxa"/>
              <w:left w:w="110" w:type="dxa"/>
              <w:bottom w:w="90" w:type="dxa"/>
              <w:right w:w="110" w:type="dxa"/>
            </w:tcMar>
            <w:vAlign w:val="center"/>
          </w:tcPr>
          <w:p w14:paraId="6FC129BE">
            <w:pPr>
              <w:spacing w:before="0" w:after="120" w:line="300" w:lineRule="auto"/>
              <w:ind w:right="33" w:firstLine="420"/>
              <w:rPr>
                <w:rFonts w:hint="eastAsia" w:ascii="宋体" w:hAnsi="宋体" w:cs="Arial"/>
                <w:bCs/>
                <w:color w:val="000000"/>
              </w:rPr>
            </w:pPr>
            <w:r>
              <w:rPr>
                <w:rFonts w:hint="eastAsia" w:ascii="宋体" w:hAnsi="宋体" w:cs="Arial"/>
                <w:bCs/>
                <w:color w:val="000000"/>
              </w:rPr>
              <w:t>学院中审意见</w:t>
            </w:r>
          </w:p>
        </w:tc>
        <w:tc>
          <w:tcPr>
            <w:tcW w:w="6716" w:type="dxa"/>
            <w:gridSpan w:val="3"/>
            <w:tcMar>
              <w:top w:w="90" w:type="dxa"/>
              <w:left w:w="110" w:type="dxa"/>
              <w:bottom w:w="90" w:type="dxa"/>
              <w:right w:w="110" w:type="dxa"/>
            </w:tcMar>
            <w:vAlign w:val="center"/>
          </w:tcPr>
          <w:p w14:paraId="606B42CD">
            <w:pPr>
              <w:spacing w:before="0" w:after="120" w:line="300" w:lineRule="auto"/>
              <w:ind w:left="3150" w:leftChars="1500" w:right="33" w:firstLine="420"/>
              <w:rPr>
                <w:rFonts w:hint="eastAsia" w:ascii="宋体" w:hAnsi="宋体" w:cs="宋体"/>
                <w:color w:val="000000"/>
              </w:rPr>
            </w:pPr>
          </w:p>
          <w:p w14:paraId="0DEE9827">
            <w:pPr>
              <w:spacing w:before="0" w:after="120" w:line="300" w:lineRule="auto"/>
              <w:ind w:left="3150" w:leftChars="1500" w:right="33" w:firstLine="420"/>
              <w:rPr>
                <w:rFonts w:hint="eastAsia" w:ascii="宋体" w:hAnsi="宋体" w:cs="宋体"/>
                <w:color w:val="000000"/>
              </w:rPr>
            </w:pPr>
            <w:r>
              <w:rPr>
                <w:rFonts w:hint="eastAsia" w:ascii="宋体" w:hAnsi="宋体" w:cs="宋体"/>
                <w:color w:val="000000"/>
              </w:rPr>
              <w:t xml:space="preserve">                               签 章：</w:t>
            </w:r>
          </w:p>
          <w:p w14:paraId="154FD64E">
            <w:pPr>
              <w:spacing w:before="0" w:after="120" w:line="300" w:lineRule="auto"/>
              <w:ind w:right="33" w:firstLine="420"/>
              <w:rPr>
                <w:rFonts w:hint="eastAsia" w:ascii="宋体" w:hAnsi="宋体" w:cs="宋体"/>
                <w:color w:val="000000"/>
              </w:rPr>
            </w:pPr>
            <w:r>
              <w:rPr>
                <w:rFonts w:hint="eastAsia" w:ascii="宋体" w:hAnsi="宋体" w:cs="宋体"/>
                <w:color w:val="000000"/>
              </w:rPr>
              <w:t xml:space="preserve">                              日 期：</w:t>
            </w:r>
          </w:p>
        </w:tc>
      </w:tr>
    </w:tbl>
    <w:p w14:paraId="687DF933">
      <w:pPr>
        <w:spacing w:before="0" w:after="120" w:line="300" w:lineRule="auto"/>
        <w:ind w:firstLine="420"/>
      </w:pPr>
    </w:p>
    <w:sectPr>
      <w:headerReference r:id="rId7" w:type="first"/>
      <w:footerReference r:id="rId10" w:type="first"/>
      <w:headerReference r:id="rId5" w:type="default"/>
      <w:footerReference r:id="rId8" w:type="default"/>
      <w:headerReference r:id="rId6" w:type="even"/>
      <w:footerReference r:id="rId9" w:type="even"/>
      <w:pgSz w:w="11906" w:h="16838"/>
      <w:pgMar w:top="680" w:right="794" w:bottom="680" w:left="794" w:header="340" w:footer="34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EE95930-8087-494D-BA78-DF9780D5FC92}"/>
  </w:font>
  <w:font w:name="Arial">
    <w:panose1 w:val="020B0604020202020204"/>
    <w:charset w:val="01"/>
    <w:family w:val="swiss"/>
    <w:pitch w:val="default"/>
    <w:sig w:usb0="E0002EFF" w:usb1="C000785B" w:usb2="00000009" w:usb3="00000000" w:csb0="400001FF" w:csb1="FFFF0000"/>
    <w:embedRegular r:id="rId2" w:fontKey="{66535505-B05B-472F-AF99-44C7E40C728D}"/>
  </w:font>
  <w:font w:name="黑体">
    <w:panose1 w:val="02010609060101010101"/>
    <w:charset w:val="86"/>
    <w:family w:val="auto"/>
    <w:pitch w:val="default"/>
    <w:sig w:usb0="800002BF" w:usb1="38CF7CFA" w:usb2="00000016" w:usb3="00000000" w:csb0="00040001" w:csb1="00000000"/>
    <w:embedRegular r:id="rId3" w:fontKey="{D3B596D5-9A26-49BA-9AFF-04E115ACBD62}"/>
  </w:font>
  <w:font w:name="Courier New">
    <w:panose1 w:val="02070309020205020404"/>
    <w:charset w:val="01"/>
    <w:family w:val="modern"/>
    <w:pitch w:val="default"/>
    <w:sig w:usb0="E0002EFF" w:usb1="C0007843" w:usb2="00000009" w:usb3="00000000" w:csb0="400001FF" w:csb1="FFFF0000"/>
    <w:embedRegular r:id="rId4" w:fontKey="{C3E980DB-AC67-45D8-8722-EF9EFB4660B1}"/>
  </w:font>
  <w:font w:name="Symbol">
    <w:panose1 w:val="05050102010706020507"/>
    <w:charset w:val="02"/>
    <w:family w:val="roman"/>
    <w:pitch w:val="default"/>
    <w:sig w:usb0="00000000" w:usb1="00000000" w:usb2="00000000" w:usb3="00000000" w:csb0="80000000" w:csb1="00000000"/>
    <w:embedRegular r:id="rId5" w:fontKey="{CF32AED3-C74A-4C8E-9C81-DC359816552C}"/>
  </w:font>
  <w:font w:name="Calibri">
    <w:panose1 w:val="020F0502020204030204"/>
    <w:charset w:val="00"/>
    <w:family w:val="swiss"/>
    <w:pitch w:val="default"/>
    <w:sig w:usb0="E4002EFF" w:usb1="C200247B" w:usb2="00000009" w:usb3="00000000" w:csb0="200001FF" w:csb1="00000000"/>
    <w:embedRegular r:id="rId6" w:fontKey="{9CD85A11-3FE5-44B2-9DF2-E18B164FB26D}"/>
  </w:font>
  <w:font w:name="方正小标宋简体">
    <w:panose1 w:val="02000000000000000000"/>
    <w:charset w:val="86"/>
    <w:family w:val="script"/>
    <w:pitch w:val="default"/>
    <w:sig w:usb0="A00002BF" w:usb1="184F6CFA" w:usb2="00000012" w:usb3="00000000" w:csb0="00040001" w:csb1="00000000"/>
    <w:embedRegular r:id="rId7" w:fontKey="{0DD75C27-5575-4A27-85A6-FF456C9BC69C}"/>
  </w:font>
  <w:font w:name="Cambria Math">
    <w:panose1 w:val="02040503050406030204"/>
    <w:charset w:val="00"/>
    <w:family w:val="roman"/>
    <w:pitch w:val="default"/>
    <w:sig w:usb0="E00006FF" w:usb1="420024FF" w:usb2="02000000" w:usb3="00000000" w:csb0="2000019F" w:csb1="00000000"/>
    <w:embedRegular r:id="rId8" w:fontKey="{C746C401-AEA7-430A-BC19-0B933575621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DB416">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18427">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3C74D">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FE885">
    <w:pPr>
      <w:pStyle w:val="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7752E">
    <w:pPr>
      <w:pStyle w:val="9"/>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A0BF1">
    <w:pPr>
      <w:pStyle w:val="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FhYTgxZDYwMjhhNmU4YTNlYzIzNDZjYzM2Yzg2MGMifQ=="/>
  </w:docVars>
  <w:rsids>
    <w:rsidRoot w:val="00172A27"/>
    <w:rsid w:val="00010B01"/>
    <w:rsid w:val="00172A27"/>
    <w:rsid w:val="001A340A"/>
    <w:rsid w:val="001C6F45"/>
    <w:rsid w:val="001E0E99"/>
    <w:rsid w:val="00281249"/>
    <w:rsid w:val="002A1C1D"/>
    <w:rsid w:val="003301C2"/>
    <w:rsid w:val="003544EB"/>
    <w:rsid w:val="0037320B"/>
    <w:rsid w:val="003E0091"/>
    <w:rsid w:val="00544D35"/>
    <w:rsid w:val="00631BDC"/>
    <w:rsid w:val="0068544E"/>
    <w:rsid w:val="00771BC7"/>
    <w:rsid w:val="009D73F6"/>
    <w:rsid w:val="00B12BE5"/>
    <w:rsid w:val="00B25148"/>
    <w:rsid w:val="00B45D4B"/>
    <w:rsid w:val="00B9353C"/>
    <w:rsid w:val="00D53EE6"/>
    <w:rsid w:val="00D91376"/>
    <w:rsid w:val="00DF0EEE"/>
    <w:rsid w:val="00E70FC6"/>
    <w:rsid w:val="00F00E1D"/>
    <w:rsid w:val="00F35091"/>
    <w:rsid w:val="00F5605F"/>
    <w:rsid w:val="00F94822"/>
    <w:rsid w:val="01084EDF"/>
    <w:rsid w:val="021A77CE"/>
    <w:rsid w:val="0391D83F"/>
    <w:rsid w:val="048530FA"/>
    <w:rsid w:val="05110522"/>
    <w:rsid w:val="07876514"/>
    <w:rsid w:val="0A466107"/>
    <w:rsid w:val="0AB7162C"/>
    <w:rsid w:val="0ACE4448"/>
    <w:rsid w:val="0AED147A"/>
    <w:rsid w:val="0D8C455F"/>
    <w:rsid w:val="0DB37B60"/>
    <w:rsid w:val="0F112DA0"/>
    <w:rsid w:val="0FBB6B5F"/>
    <w:rsid w:val="120A39BD"/>
    <w:rsid w:val="14CF1B1B"/>
    <w:rsid w:val="15EF0307"/>
    <w:rsid w:val="16860E38"/>
    <w:rsid w:val="16877AED"/>
    <w:rsid w:val="169C1C22"/>
    <w:rsid w:val="16D162FD"/>
    <w:rsid w:val="17A256B1"/>
    <w:rsid w:val="17D17958"/>
    <w:rsid w:val="191E16BC"/>
    <w:rsid w:val="197A5E53"/>
    <w:rsid w:val="1A534654"/>
    <w:rsid w:val="1AE77E81"/>
    <w:rsid w:val="1BC00694"/>
    <w:rsid w:val="1C323B0B"/>
    <w:rsid w:val="1CA7510E"/>
    <w:rsid w:val="1D53614F"/>
    <w:rsid w:val="1E4361B4"/>
    <w:rsid w:val="1EAD59E1"/>
    <w:rsid w:val="1FAD4807"/>
    <w:rsid w:val="210437B9"/>
    <w:rsid w:val="21531409"/>
    <w:rsid w:val="2180349D"/>
    <w:rsid w:val="22672E8C"/>
    <w:rsid w:val="22A44C8E"/>
    <w:rsid w:val="26C3198C"/>
    <w:rsid w:val="27B1518B"/>
    <w:rsid w:val="27F0060E"/>
    <w:rsid w:val="28904CC6"/>
    <w:rsid w:val="2B024765"/>
    <w:rsid w:val="2B1E480B"/>
    <w:rsid w:val="2C0807F9"/>
    <w:rsid w:val="2C393A5C"/>
    <w:rsid w:val="2C4B1736"/>
    <w:rsid w:val="2C8E73DA"/>
    <w:rsid w:val="2CDA0E5A"/>
    <w:rsid w:val="2D724D1D"/>
    <w:rsid w:val="2E63592A"/>
    <w:rsid w:val="2EB86D24"/>
    <w:rsid w:val="2EF97A8D"/>
    <w:rsid w:val="2F277B67"/>
    <w:rsid w:val="2FCA35A2"/>
    <w:rsid w:val="318909BF"/>
    <w:rsid w:val="332D0D86"/>
    <w:rsid w:val="3699519F"/>
    <w:rsid w:val="36BA2AD8"/>
    <w:rsid w:val="37E66CE8"/>
    <w:rsid w:val="386E18A2"/>
    <w:rsid w:val="3AA60A78"/>
    <w:rsid w:val="3AA64A43"/>
    <w:rsid w:val="3C3D3B62"/>
    <w:rsid w:val="3CB71FBE"/>
    <w:rsid w:val="3D7D759B"/>
    <w:rsid w:val="3DA90A55"/>
    <w:rsid w:val="3E1E24A7"/>
    <w:rsid w:val="3E315B3B"/>
    <w:rsid w:val="3E775A0B"/>
    <w:rsid w:val="3EF465EF"/>
    <w:rsid w:val="40250BC9"/>
    <w:rsid w:val="40B437EF"/>
    <w:rsid w:val="41734B50"/>
    <w:rsid w:val="41D84E56"/>
    <w:rsid w:val="42F9196C"/>
    <w:rsid w:val="43CB2106"/>
    <w:rsid w:val="47A80549"/>
    <w:rsid w:val="482762CC"/>
    <w:rsid w:val="48650DF8"/>
    <w:rsid w:val="48C02CB0"/>
    <w:rsid w:val="49075F66"/>
    <w:rsid w:val="4B5D7050"/>
    <w:rsid w:val="4E8B5AEB"/>
    <w:rsid w:val="5164658B"/>
    <w:rsid w:val="520472F4"/>
    <w:rsid w:val="52CE3352"/>
    <w:rsid w:val="564F4B8D"/>
    <w:rsid w:val="5708356F"/>
    <w:rsid w:val="57684BF4"/>
    <w:rsid w:val="5893F436"/>
    <w:rsid w:val="58F57ED8"/>
    <w:rsid w:val="59576D61"/>
    <w:rsid w:val="5A365DF1"/>
    <w:rsid w:val="5BC26416"/>
    <w:rsid w:val="5C734895"/>
    <w:rsid w:val="5D345016"/>
    <w:rsid w:val="5D4C4020"/>
    <w:rsid w:val="5F213BF7"/>
    <w:rsid w:val="5F5F3240"/>
    <w:rsid w:val="5FE51852"/>
    <w:rsid w:val="604D2EC1"/>
    <w:rsid w:val="61293077"/>
    <w:rsid w:val="61DB1D99"/>
    <w:rsid w:val="620F4796"/>
    <w:rsid w:val="63436BE9"/>
    <w:rsid w:val="64B054AE"/>
    <w:rsid w:val="6567F8C8"/>
    <w:rsid w:val="659F5BE0"/>
    <w:rsid w:val="668734C3"/>
    <w:rsid w:val="669256C5"/>
    <w:rsid w:val="66D71E37"/>
    <w:rsid w:val="690C1F68"/>
    <w:rsid w:val="69ED79A2"/>
    <w:rsid w:val="6A501EEA"/>
    <w:rsid w:val="6C540938"/>
    <w:rsid w:val="6D9C2C61"/>
    <w:rsid w:val="6EC744A1"/>
    <w:rsid w:val="706E2011"/>
    <w:rsid w:val="70D93433"/>
    <w:rsid w:val="715507FE"/>
    <w:rsid w:val="71C31235"/>
    <w:rsid w:val="71F118FE"/>
    <w:rsid w:val="734D65ED"/>
    <w:rsid w:val="73DE3FB3"/>
    <w:rsid w:val="73E67832"/>
    <w:rsid w:val="73FD7457"/>
    <w:rsid w:val="75113B29"/>
    <w:rsid w:val="75222256"/>
    <w:rsid w:val="77626DFA"/>
    <w:rsid w:val="77723607"/>
    <w:rsid w:val="785E0C86"/>
    <w:rsid w:val="786843DB"/>
    <w:rsid w:val="798677EE"/>
    <w:rsid w:val="7B6646C5"/>
    <w:rsid w:val="7D10695E"/>
    <w:rsid w:val="7D425704"/>
    <w:rsid w:val="7D98438D"/>
    <w:rsid w:val="7EB11F67"/>
    <w:rsid w:val="7F3A5103"/>
    <w:rsid w:val="7FE43259"/>
    <w:rsid w:val="850AE0E4"/>
    <w:rsid w:val="9333997D"/>
    <w:rsid w:val="94DDC94D"/>
    <w:rsid w:val="A71548F8"/>
    <w:rsid w:val="B4CD2046"/>
    <w:rsid w:val="CB4A1884"/>
    <w:rsid w:val="D2DC34E4"/>
    <w:rsid w:val="D3189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Autospacing="1" w:afterAutospacing="1"/>
      <w:ind w:firstLine="784" w:firstLineChars="200"/>
      <w:jc w:val="both"/>
    </w:pPr>
    <w:rPr>
      <w:rFonts w:ascii="Times New Roman" w:hAnsi="Times New Roman" w:eastAsia="宋体" w:cs="Times New Roman"/>
      <w:sz w:val="21"/>
      <w:szCs w:val="21"/>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24"/>
    </w:rPr>
  </w:style>
  <w:style w:type="paragraph" w:styleId="3">
    <w:name w:val="heading 2"/>
    <w:basedOn w:val="1"/>
    <w:next w:val="1"/>
    <w:qFormat/>
    <w:uiPriority w:val="0"/>
    <w:pPr>
      <w:keepNext/>
      <w:keepLines/>
      <w:spacing w:before="260" w:beforeAutospacing="0" w:after="260" w:afterAutospacing="0"/>
      <w:outlineLvl w:val="1"/>
    </w:pPr>
    <w:rPr>
      <w:rFonts w:ascii="Arial" w:hAnsi="Arial"/>
      <w:b/>
    </w:rPr>
  </w:style>
  <w:style w:type="paragraph" w:styleId="4">
    <w:name w:val="heading 3"/>
    <w:basedOn w:val="1"/>
    <w:next w:val="1"/>
    <w:qFormat/>
    <w:uiPriority w:val="0"/>
    <w:pPr>
      <w:keepNext/>
      <w:keepLines/>
      <w:spacing w:before="260" w:beforeAutospacing="0" w:after="260" w:afterAutospacing="0" w:line="413" w:lineRule="auto"/>
      <w:outlineLvl w:val="2"/>
    </w:pPr>
    <w:rPr>
      <w:b/>
      <w:sz w:val="32"/>
    </w:rPr>
  </w:style>
  <w:style w:type="paragraph" w:styleId="5">
    <w:name w:val="heading 4"/>
    <w:basedOn w:val="1"/>
    <w:next w:val="1"/>
    <w:qFormat/>
    <w:uiPriority w:val="0"/>
    <w:pPr>
      <w:keepNext/>
      <w:keepLines/>
      <w:spacing w:before="280" w:beforeAutospacing="0" w:after="290" w:afterAutospacing="0" w:line="372" w:lineRule="auto"/>
      <w:outlineLvl w:val="3"/>
    </w:pPr>
    <w:rPr>
      <w:rFonts w:ascii="Arial" w:hAnsi="Arial" w:eastAsia="黑体"/>
      <w:b/>
      <w:sz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Body Text"/>
    <w:basedOn w:val="1"/>
    <w:semiHidden/>
    <w:qFormat/>
    <w:uiPriority w:val="0"/>
    <w:rPr>
      <w:rFonts w:ascii="宋体" w:hAnsi="宋体" w:cs="宋体"/>
      <w:lang w:eastAsia="en-US"/>
    </w:rPr>
  </w:style>
  <w:style w:type="paragraph" w:styleId="8">
    <w:name w:val="footer"/>
    <w:basedOn w:val="1"/>
    <w:link w:val="15"/>
    <w:qFormat/>
    <w:uiPriority w:val="0"/>
    <w:pPr>
      <w:tabs>
        <w:tab w:val="center" w:pos="4153"/>
        <w:tab w:val="right" w:pos="8306"/>
      </w:tabs>
      <w:snapToGrid w:val="0"/>
      <w:jc w:val="left"/>
    </w:pPr>
    <w:rPr>
      <w:sz w:val="18"/>
      <w:szCs w:val="18"/>
    </w:rPr>
  </w:style>
  <w:style w:type="paragraph" w:styleId="9">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pPr>
      <w:spacing w:before="100" w:after="100"/>
      <w:jc w:val="left"/>
    </w:pPr>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customStyle="1" w:styleId="15">
    <w:name w:val="页脚 字符"/>
    <w:link w:val="8"/>
    <w:qFormat/>
    <w:uiPriority w:val="0"/>
    <w:rPr>
      <w:rFonts w:ascii="Times New Roman" w:hAnsi="Times New Roman" w:eastAsia="宋体" w:cs="Times New Roman"/>
      <w:kern w:val="2"/>
      <w:sz w:val="18"/>
      <w:szCs w:val="18"/>
    </w:rPr>
  </w:style>
  <w:style w:type="character" w:customStyle="1" w:styleId="16">
    <w:name w:val="页眉 字符"/>
    <w:link w:val="9"/>
    <w:qFormat/>
    <w:uiPriority w:val="0"/>
    <w:rPr>
      <w:rFonts w:ascii="Times New Roman" w:hAnsi="Times New Roman" w:eastAsia="宋体" w:cs="Times New Roman"/>
      <w:kern w:val="2"/>
      <w:sz w:val="18"/>
      <w:szCs w:val="18"/>
    </w:rPr>
  </w:style>
  <w:style w:type="paragraph" w:customStyle="1" w:styleId="17">
    <w:name w:val="_Style 14"/>
    <w:unhideWhenUsed/>
    <w:qFormat/>
    <w:uiPriority w:val="99"/>
    <w:pPr>
      <w:spacing w:before="100" w:beforeAutospacing="1" w:after="100" w:afterAutospacing="1"/>
      <w:ind w:firstLine="300" w:firstLineChars="300"/>
      <w:jc w:val="center"/>
    </w:pPr>
    <w:rPr>
      <w:rFonts w:ascii="Times New Roman" w:hAnsi="Times New Roman" w:eastAsia="宋体" w:cs="Times New Roman"/>
      <w:kern w:val="2"/>
      <w:sz w:val="21"/>
      <w:szCs w:val="22"/>
      <w:lang w:val="en-US" w:eastAsia="zh-CN" w:bidi="ar-SA"/>
    </w:rPr>
  </w:style>
  <w:style w:type="paragraph" w:customStyle="1" w:styleId="18">
    <w:name w:val="样式1"/>
    <w:basedOn w:val="1"/>
    <w:qFormat/>
    <w:uiPriority w:val="0"/>
  </w:style>
  <w:style w:type="table" w:customStyle="1" w:styleId="19">
    <w:name w:val="Table Normal"/>
    <w:semiHidden/>
    <w:unhideWhenUsed/>
    <w:qFormat/>
    <w:uiPriority w:val="0"/>
    <w:tblPr>
      <w:tblCellMar>
        <w:top w:w="0" w:type="dxa"/>
        <w:left w:w="0" w:type="dxa"/>
        <w:bottom w:w="0" w:type="dxa"/>
        <w:right w:w="0" w:type="dxa"/>
      </w:tblCellMar>
    </w:tblPr>
  </w:style>
  <w:style w:type="paragraph" w:customStyle="1" w:styleId="20">
    <w:name w:val="Table Text"/>
    <w:basedOn w:val="1"/>
    <w:semiHidden/>
    <w:qFormat/>
    <w:uiPriority w:val="0"/>
    <w:rPr>
      <w:rFonts w:eastAsia="Times New Roman"/>
      <w:sz w:val="23"/>
      <w:szCs w:val="23"/>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2946</Words>
  <Characters>5150</Characters>
  <Lines>222</Lines>
  <Paragraphs>217</Paragraphs>
  <TotalTime>70</TotalTime>
  <ScaleCrop>false</ScaleCrop>
  <LinksUpToDate>false</LinksUpToDate>
  <CharactersWithSpaces>5867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2026-08-31T09:22:00Z</dcterms:created>
  <dc:creator>Administrator</dc:creator>
  <cp:lastModifiedBy>WPS_1719737654</cp:lastModifiedBy>
  <dcterms:modified xsi:type="dcterms:W3CDTF">2026-09-18T05:35:50Z</dcterms:modified>
  <dc:title>2015年兰州大学学生创新创业行动计划项目进展报告书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936B259DC08D4D8A966F35575FD8C629_13</vt:lpwstr>
  </property>
  <property fmtid="{D5CDD505-2E9C-101B-9397-08002B2CF9AE}" pid="4" name="KSOTemplateDocerSaveRecord">
    <vt:lpwstr>eyJoZGlkIjoiY2U2YTg0OTVhZDViNWQyZjQyYWE4YTg3ZjlhMjVmMmIiLCJ1c2VySWQiOiIxNjExNDg3NzMxIn0=</vt:lpwstr>
  </property>
</Properties>
</file>