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246D1">
      <w:pPr>
        <w:pStyle w:val="3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Research Note（N=100）</w:t>
      </w:r>
      <w:bookmarkStart w:id="0" w:name="_GoBack"/>
      <w:bookmarkEnd w:id="0"/>
    </w:p>
    <w:p w14:paraId="359A56B5">
      <w:pPr>
        <w:pStyle w:val="4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数字化非遗条目的权利与来源合规性扫描（中国，快速备忘）</w:t>
      </w:r>
    </w:p>
    <w:p w14:paraId="7DD64C7E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【目的】以N=100条目/视频为样本，快速评估七个合规要素（署名、来源、许可、表演者、制作者、时间地点、敏感性标注）的缺漏情况，并给出可复制模板。</w:t>
      </w:r>
    </w:p>
    <w:p w14:paraId="77845611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【范围】选取某省/市非遗官网栏目或抖音“#非遗”话题。仅做公开页面文本与视频说明的表面合规检查，不涉及实体权属判断。</w:t>
      </w:r>
    </w:p>
    <w:p w14:paraId="4E9DDD82">
      <w:pPr>
        <w:pStyle w:val="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一、样本与方法</w:t>
      </w:r>
    </w:p>
    <w:p w14:paraId="5353C82C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• 抽样：随机抓取100条（官网或抖音），去重；记录链接与标题。</w:t>
      </w:r>
    </w:p>
    <w:p w14:paraId="2B1E4ADE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• 编码：使用《N100_编码表模板.xlsx》，双人独立编码后合并；冲突由第三人裁决或复核。</w:t>
      </w:r>
    </w:p>
    <w:p w14:paraId="0A1B7067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• 指标：各要素缺漏率（“否”/(“是”+“否”)）；合规要素完整率（行级）；前后三类问题。</w:t>
      </w:r>
    </w:p>
    <w:p w14:paraId="6BA41FB9">
      <w:pPr>
        <w:pStyle w:val="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二、主要结果</w:t>
      </w:r>
    </w:p>
    <w:p w14:paraId="41F83426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表1  七要素缺漏率（%）——将《summary_table.xlsx》粘贴于此</w:t>
      </w:r>
    </w:p>
    <w:p w14:paraId="667AB7DD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图1  各要素缺漏率条形图——将《summary_preview.png》粘贴于此</w:t>
      </w:r>
    </w:p>
    <w:p w14:paraId="33E7655A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Top 3 问题（示例，可替换）：</w:t>
      </w:r>
    </w:p>
    <w:p w14:paraId="3ED444EC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1) 许可/使用范围说明缺失率最高，常见表述为“版权归平台所有”等不规范用语；</w:t>
      </w:r>
    </w:p>
    <w:p w14:paraId="47075951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2) 采录时间地点未标注，导致教育/引用场景缺乏基本出处；</w:t>
      </w:r>
    </w:p>
    <w:p w14:paraId="13B43DE6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3) 表演者/制作者未区分或缺失，难以判断邻接权可能适用。</w:t>
      </w:r>
    </w:p>
    <w:p w14:paraId="4D0ECB81">
      <w:pPr>
        <w:pStyle w:val="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三、建议与可复用模板</w:t>
      </w:r>
    </w:p>
    <w:p w14:paraId="363540EA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• 《权利与来源声明（3档）》：仅浏览 / 可引用（署名） / 可改编（非商业）；</w:t>
      </w:r>
    </w:p>
    <w:p w14:paraId="2B3C34C4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• 《访问分级红黄绿判定卡》：公开 / 延后公开 / 限制访问；</w:t>
      </w:r>
    </w:p>
    <w:p w14:paraId="3FE43B7E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• 《邻接权触发字段清单》：是否含现场表演、是否由馆方组织录制、是否公开播送等。</w:t>
      </w:r>
    </w:p>
    <w:p w14:paraId="3238C963">
      <w:pPr>
        <w:pStyle w:val="5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四、局限与后续</w:t>
      </w:r>
    </w:p>
    <w:p w14:paraId="40014E53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• 仅基于页面/视频文本可见信息，未核实合同/内部许可；</w:t>
      </w:r>
    </w:p>
    <w:p w14:paraId="0B25505B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• 抽样规模有限，结果为方向性参考；建议扩大样本并引入质性访谈。</w:t>
      </w:r>
    </w:p>
    <w:p w14:paraId="272ED4B1">
      <w:pPr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（附：请在“二、主要结果”处粘贴统计表与图；模板可作为附录或外链提供。）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AoyagiSosekiFont2OTF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oyagiSosekiFont2OT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oyagiSosekiFont2OTF">
    <w:panose1 w:val="02000600000000000000"/>
    <w:charset w:val="80"/>
    <w:family w:val="auto"/>
    <w:pitch w:val="default"/>
    <w:sig w:usb0="800002CF" w:usb1="68C7FCFC" w:usb2="00000012" w:usb3="00000000" w:csb0="0002000D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998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642</Words>
  <Characters>711</Characters>
  <Lines>0</Lines>
  <Paragraphs>0</Paragraphs>
  <TotalTime>0</TotalTime>
  <ScaleCrop>false</ScaleCrop>
  <LinksUpToDate>false</LinksUpToDate>
  <CharactersWithSpaces>737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前女友</cp:lastModifiedBy>
  <dcterms:modified xsi:type="dcterms:W3CDTF">2025-10-15T02:51:25Z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eyJoZGlkIjoiMzQxYzIyOGMxZDZmYTAyZGRjOWE0MTA4MDIxZTc1NmYiLCJ1c2VySWQiOiIxNzI2MTAyOTI5In0=</vt:lpwstr>
  </property>
  <property fmtid="{D5CDD505-2E9C-101B-9397-08002B2CF9AE}" pid="3" name="KSOProductBuildVer">
    <vt:lpwstr>2052-12.1.0.22529</vt:lpwstr>
  </property>
  <property fmtid="{D5CDD505-2E9C-101B-9397-08002B2CF9AE}" pid="4" name="ICV">
    <vt:lpwstr>38B9A914F6B94E92A101929330AFF915_13</vt:lpwstr>
  </property>
</Properties>
</file>