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16A61"/>
    <w:p w14:paraId="0540C8F4"/>
    <w:p w14:paraId="13BEC3C4"/>
    <w:p w14:paraId="1D47B583"/>
    <w:p w14:paraId="5CED5631"/>
    <w:p w14:paraId="22FE1AD4"/>
    <w:p w14:paraId="7266C1C3">
      <w:pPr>
        <w:ind w:firstLine="0"/>
        <w:jc w:val="center"/>
      </w:pPr>
      <w:r>
        <w:rPr>
          <w:rFonts w:ascii="黑体" w:hAnsi="黑体" w:eastAsia="黑体"/>
          <w:b/>
          <w:sz w:val="32"/>
        </w:rPr>
        <w:t>全国大学生电子商务“创新、创意及创业”挑战赛参赛作品</w:t>
      </w:r>
    </w:p>
    <w:p w14:paraId="33A99CA2"/>
    <w:p w14:paraId="5073C616"/>
    <w:p w14:paraId="5EA43721">
      <w:pPr>
        <w:ind w:firstLine="0"/>
        <w:jc w:val="center"/>
      </w:pPr>
      <w:r>
        <w:rPr>
          <w:rFonts w:ascii="隶书" w:hAnsi="隶书" w:eastAsia="隶书"/>
          <w:b/>
          <w:sz w:val="56"/>
        </w:rPr>
        <w:t>翼启全域</w:t>
      </w:r>
    </w:p>
    <w:p w14:paraId="150A45EE">
      <w:pPr>
        <w:ind w:firstLine="0"/>
        <w:jc w:val="center"/>
      </w:pPr>
      <w:r>
        <w:rPr>
          <w:rFonts w:ascii="隶书" w:hAnsi="隶书" w:eastAsia="隶书"/>
          <w:b/>
          <w:sz w:val="44"/>
        </w:rPr>
        <w:t>固定翼垂直起降无人机物流运输项目策划书</w:t>
      </w:r>
    </w:p>
    <w:p w14:paraId="35C7E15A"/>
    <w:p w14:paraId="2B16180A"/>
    <w:p w14:paraId="4FB803C5"/>
    <w:p w14:paraId="2B8B6A8B"/>
    <w:p w14:paraId="28982DDA"/>
    <w:p w14:paraId="3580A80E"/>
    <w:p w14:paraId="0CCAB95F"/>
    <w:p w14:paraId="15C9E027"/>
    <w:p w14:paraId="768B2728"/>
    <w:p w14:paraId="1A825352"/>
    <w:p w14:paraId="7138EADD">
      <w:pPr>
        <w:ind w:firstLine="0"/>
        <w:jc w:val="center"/>
      </w:pPr>
      <w:r>
        <w:rPr>
          <w:rFonts w:ascii="隶书" w:hAnsi="隶书" w:eastAsia="隶书"/>
          <w:b/>
          <w:sz w:val="36"/>
        </w:rPr>
        <w:t>项目团队：翼启全域项目组</w:t>
      </w:r>
    </w:p>
    <w:p w14:paraId="10175293">
      <w:pPr>
        <w:ind w:firstLine="0"/>
        <w:jc w:val="center"/>
      </w:pPr>
      <w:r>
        <w:rPr>
          <w:rFonts w:ascii="隶书" w:hAnsi="隶书" w:eastAsia="隶书"/>
          <w:b/>
          <w:sz w:val="36"/>
        </w:rPr>
        <w:t>编制时间：2026年3月</w:t>
      </w:r>
    </w:p>
    <w:p w14:paraId="1B6A996F">
      <w:r>
        <w:br w:type="page"/>
      </w:r>
    </w:p>
    <w:p w14:paraId="183C0471">
      <w:pPr>
        <w:ind w:firstLine="0"/>
        <w:jc w:val="center"/>
      </w:pPr>
      <w:r>
        <w:rPr>
          <w:rFonts w:ascii="隶书" w:hAnsi="隶书" w:eastAsia="隶书"/>
          <w:b/>
          <w:sz w:val="44"/>
        </w:rPr>
        <w:t>摘  要</w:t>
      </w:r>
    </w:p>
    <w:p w14:paraId="1F9CC1AE">
      <w:pPr>
        <w:spacing w:before="0" w:after="0" w:line="240" w:lineRule="auto"/>
        <w:ind w:firstLine="480"/>
        <w:jc w:val="both"/>
      </w:pPr>
      <w:r>
        <w:rPr>
          <w:rFonts w:ascii="宋体" w:hAnsi="宋体" w:eastAsia="宋体"/>
          <w:b w:val="0"/>
          <w:sz w:val="24"/>
        </w:rPr>
        <w:t>翼启全域固定翼垂直起降无人机物流运输项目，是面向低空经济与现代物流融合发展趋势而提出的一项综合性创业方案。项目以固定翼垂直起降无人机为核心载体，通过集成机体结构、飞控导航、混合动力、模块化货舱、智能调度与安全冗余控制等关键能力，形成一套能够在山区、乡村、海岛、灾害现场和高时效配送场景中稳定运行的低空物流解决方案。</w:t>
      </w:r>
    </w:p>
    <w:p w14:paraId="2CA546FE">
      <w:pPr>
        <w:spacing w:before="0" w:after="0" w:line="240" w:lineRule="auto"/>
        <w:ind w:firstLine="480"/>
        <w:jc w:val="both"/>
      </w:pPr>
      <w:r>
        <w:rPr>
          <w:rFonts w:ascii="宋体" w:hAnsi="宋体" w:eastAsia="宋体"/>
          <w:b w:val="0"/>
          <w:sz w:val="24"/>
        </w:rPr>
        <w:t>当前我国物流体系在主干线运输方面已较为成熟，但在偏远地区末端配送、复杂地形跨越、应急物资快速投送以及高时效小批量运输方面，仍然存在覆盖不足、时效性差、综合成本高和突发情况下抗风险能力弱等问题。相较于传统多旋翼运载无人机航程短、固定翼飞行器依赖跑道的局限，本项目所采用的固定翼垂直起降方案兼具灵活部署和高效巡航两大优势，更适合承担真实物流任务。</w:t>
      </w:r>
    </w:p>
    <w:p w14:paraId="6F09CF8E">
      <w:pPr>
        <w:spacing w:before="0" w:after="0" w:line="240" w:lineRule="auto"/>
        <w:ind w:firstLine="480"/>
        <w:jc w:val="both"/>
      </w:pPr>
      <w:r>
        <w:rPr>
          <w:rFonts w:ascii="宋体" w:hAnsi="宋体" w:eastAsia="宋体"/>
          <w:b w:val="0"/>
          <w:sz w:val="24"/>
        </w:rPr>
        <w:t>本项目的目标不是单纯制造一架能够飞行的无人机，而是构建“飞行平台 + 货运能力 + 航线运营 + 数据服务”一体化的低空运输体系。围绕乡村振兴、应急保障、海岛补给和城市高时效配送四大应用方向，项目计划在前期完成原型机研发、系统联调与试飞验证，中期推进示范航线建设和试点运营，后期形成多区域复制、平台化输出和生态协同发展。</w:t>
      </w:r>
    </w:p>
    <w:p w14:paraId="4D7315E4">
      <w:pPr>
        <w:spacing w:before="0" w:after="0" w:line="240" w:lineRule="auto"/>
        <w:ind w:firstLine="480"/>
        <w:jc w:val="both"/>
      </w:pPr>
      <w:r>
        <w:rPr>
          <w:rFonts w:ascii="宋体" w:hAnsi="宋体" w:eastAsia="宋体"/>
          <w:b w:val="0"/>
          <w:sz w:val="24"/>
        </w:rPr>
        <w:t>按照项目规划，设备平台将在最大航程、有效载重、起降便捷性和任务切换效率等方面形成明显竞争优势，并通过物流运营服务费、航线定制费、整机销售与租赁、平台授权及数据增值服务等方式形成多元化盈利来源。项目预计经过三年左右的市场培育和试点放量，具备形成区域性示范网络和稳定现金流的能力，兼具创新价值、创业潜力和较强的社会服务意义。</w:t>
      </w:r>
    </w:p>
    <w:p w14:paraId="0F060068">
      <w:pPr>
        <w:ind w:firstLine="480"/>
        <w:jc w:val="both"/>
      </w:pPr>
      <w:r>
        <w:rPr>
          <w:rFonts w:ascii="宋体" w:hAnsi="宋体" w:eastAsia="宋体"/>
          <w:b w:val="0"/>
          <w:sz w:val="24"/>
        </w:rPr>
        <w:t>关键词：固定翼垂直起降无人机；低空物流；应急运输；乡村物流；商业策划</w:t>
      </w:r>
    </w:p>
    <w:p w14:paraId="115A61D3">
      <w:r>
        <w:br w:type="page"/>
      </w:r>
    </w:p>
    <w:p w14:paraId="2F79F9EE">
      <w:pPr>
        <w:ind w:firstLine="0"/>
        <w:jc w:val="center"/>
      </w:pPr>
      <w:r>
        <w:rPr>
          <w:rFonts w:ascii="隶书" w:hAnsi="隶书" w:eastAsia="隶书"/>
          <w:b/>
          <w:sz w:val="44"/>
        </w:rPr>
        <w:t>目  录</w:t>
      </w:r>
    </w:p>
    <w:p w14:paraId="52F4F12E">
      <w:pPr>
        <w:pStyle w:val="27"/>
        <w:tabs>
          <w:tab w:val="right" w:leader="dot" w:pos="8306"/>
        </w:tabs>
      </w:pPr>
      <w:r>
        <w:rPr>
          <w:rFonts w:hint="eastAsia" w:eastAsia="宋体"/>
          <w:lang w:eastAsia="zh-CN"/>
        </w:rPr>
        <w:fldChar w:fldCharType="begin"/>
      </w:r>
      <w:r>
        <w:rPr>
          <w:rFonts w:hint="eastAsia" w:eastAsia="宋体"/>
          <w:lang w:eastAsia="zh-CN"/>
        </w:rPr>
        <w:instrText xml:space="preserve">TOC \o "1-3" \h</w:instrText>
      </w:r>
      <w:r>
        <w:rPr>
          <w:rFonts w:hint="eastAsia" w:eastAsia="宋体"/>
          <w:lang w:eastAsia="zh-CN"/>
        </w:rPr>
        <w:fldChar w:fldCharType="separate"/>
      </w:r>
      <w:r>
        <w:rPr>
          <w:rFonts w:hint="eastAsia" w:eastAsia="宋体"/>
          <w:lang w:eastAsia="zh-CN"/>
        </w:rPr>
        <w:fldChar w:fldCharType="begin"/>
      </w:r>
      <w:r>
        <w:rPr>
          <w:rFonts w:hint="eastAsia" w:eastAsia="宋体"/>
          <w:lang w:eastAsia="zh-CN"/>
        </w:rPr>
        <w:instrText xml:space="preserve"> HYPERLINK \l _Toc15653 </w:instrText>
      </w:r>
      <w:r>
        <w:rPr>
          <w:rFonts w:hint="eastAsia" w:eastAsia="宋体"/>
          <w:lang w:eastAsia="zh-CN"/>
        </w:rPr>
        <w:fldChar w:fldCharType="separate"/>
      </w:r>
      <w:r>
        <w:rPr>
          <w:rFonts w:ascii="黑体" w:hAnsi="黑体" w:eastAsia="黑体"/>
        </w:rPr>
        <w:t>一、计划书编制背景与目的</w:t>
      </w:r>
      <w:r>
        <w:tab/>
      </w:r>
      <w:r>
        <w:fldChar w:fldCharType="begin"/>
      </w:r>
      <w:r>
        <w:instrText xml:space="preserve"> PAGEREF _Toc15653 \h </w:instrText>
      </w:r>
      <w:r>
        <w:fldChar w:fldCharType="separate"/>
      </w:r>
      <w:r>
        <w:t>5</w:t>
      </w:r>
      <w:r>
        <w:fldChar w:fldCharType="end"/>
      </w:r>
      <w:r>
        <w:rPr>
          <w:rFonts w:hint="eastAsia" w:eastAsia="宋体"/>
          <w:lang w:eastAsia="zh-CN"/>
        </w:rPr>
        <w:fldChar w:fldCharType="end"/>
      </w:r>
    </w:p>
    <w:p w14:paraId="2152D8E6">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_Toc12831 </w:instrText>
      </w:r>
      <w:r>
        <w:rPr>
          <w:rFonts w:hint="eastAsia" w:eastAsia="宋体"/>
          <w:lang w:eastAsia="zh-CN"/>
        </w:rPr>
        <w:fldChar w:fldCharType="separate"/>
      </w:r>
      <w:r>
        <w:rPr>
          <w:rFonts w:ascii="黑体" w:hAnsi="黑体" w:eastAsia="黑体"/>
        </w:rPr>
        <w:t>（一）低空物流产业发展背景</w:t>
      </w:r>
      <w:r>
        <w:tab/>
      </w:r>
      <w:r>
        <w:fldChar w:fldCharType="begin"/>
      </w:r>
      <w:r>
        <w:instrText xml:space="preserve"> PAGEREF _Toc12831 \h </w:instrText>
      </w:r>
      <w:r>
        <w:fldChar w:fldCharType="separate"/>
      </w:r>
      <w:r>
        <w:t>5</w:t>
      </w:r>
      <w:r>
        <w:fldChar w:fldCharType="end"/>
      </w:r>
      <w:r>
        <w:rPr>
          <w:rFonts w:hint="eastAsia" w:eastAsia="宋体"/>
          <w:lang w:eastAsia="zh-CN"/>
        </w:rPr>
        <w:fldChar w:fldCharType="end"/>
      </w:r>
    </w:p>
    <w:p w14:paraId="628AE168">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_Toc230 </w:instrText>
      </w:r>
      <w:r>
        <w:rPr>
          <w:rFonts w:hint="eastAsia" w:eastAsia="宋体"/>
          <w:lang w:eastAsia="zh-CN"/>
        </w:rPr>
        <w:fldChar w:fldCharType="separate"/>
      </w:r>
      <w:r>
        <w:rPr>
          <w:rFonts w:ascii="黑体" w:hAnsi="黑体" w:eastAsia="黑体"/>
        </w:rPr>
        <w:t>（二）计划书编制目的</w:t>
      </w:r>
      <w:r>
        <w:tab/>
      </w:r>
      <w:r>
        <w:fldChar w:fldCharType="begin"/>
      </w:r>
      <w:r>
        <w:instrText xml:space="preserve"> PAGEREF _Toc230 \h </w:instrText>
      </w:r>
      <w:r>
        <w:fldChar w:fldCharType="separate"/>
      </w:r>
      <w:r>
        <w:t>5</w:t>
      </w:r>
      <w:r>
        <w:fldChar w:fldCharType="end"/>
      </w:r>
      <w:r>
        <w:rPr>
          <w:rFonts w:hint="eastAsia" w:eastAsia="宋体"/>
          <w:lang w:eastAsia="zh-CN"/>
        </w:rPr>
        <w:fldChar w:fldCharType="end"/>
      </w:r>
    </w:p>
    <w:p w14:paraId="3261AD49">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_Toc8735 </w:instrText>
      </w:r>
      <w:r>
        <w:rPr>
          <w:rFonts w:hint="eastAsia" w:eastAsia="宋体"/>
          <w:lang w:eastAsia="zh-CN"/>
        </w:rPr>
        <w:fldChar w:fldCharType="separate"/>
      </w:r>
      <w:r>
        <w:rPr>
          <w:rFonts w:ascii="黑体" w:hAnsi="黑体" w:eastAsia="黑体"/>
        </w:rPr>
        <w:t>（三）项目基本概况</w:t>
      </w:r>
      <w:r>
        <w:tab/>
      </w:r>
      <w:r>
        <w:fldChar w:fldCharType="begin"/>
      </w:r>
      <w:r>
        <w:instrText xml:space="preserve"> PAGEREF _Toc8735 \h </w:instrText>
      </w:r>
      <w:r>
        <w:fldChar w:fldCharType="separate"/>
      </w:r>
      <w:r>
        <w:t>5</w:t>
      </w:r>
      <w:r>
        <w:fldChar w:fldCharType="end"/>
      </w:r>
      <w:r>
        <w:rPr>
          <w:rFonts w:hint="eastAsia" w:eastAsia="宋体"/>
          <w:lang w:eastAsia="zh-CN"/>
        </w:rPr>
        <w:fldChar w:fldCharType="end"/>
      </w:r>
    </w:p>
    <w:p w14:paraId="2E9021AD">
      <w:pPr>
        <w:pStyle w:val="27"/>
        <w:tabs>
          <w:tab w:val="right" w:leader="dot" w:pos="8306"/>
        </w:tabs>
      </w:pPr>
      <w:r>
        <w:rPr>
          <w:rFonts w:hint="eastAsia" w:eastAsia="宋体"/>
          <w:lang w:eastAsia="zh-CN"/>
        </w:rPr>
        <w:fldChar w:fldCharType="begin"/>
      </w:r>
      <w:r>
        <w:rPr>
          <w:rFonts w:hint="eastAsia" w:eastAsia="宋体"/>
          <w:lang w:eastAsia="zh-CN"/>
        </w:rPr>
        <w:instrText xml:space="preserve"> HYPERLINK \l _Toc4538 </w:instrText>
      </w:r>
      <w:r>
        <w:rPr>
          <w:rFonts w:hint="eastAsia" w:eastAsia="宋体"/>
          <w:lang w:eastAsia="zh-CN"/>
        </w:rPr>
        <w:fldChar w:fldCharType="separate"/>
      </w:r>
      <w:r>
        <w:rPr>
          <w:rFonts w:ascii="黑体" w:hAnsi="黑体" w:eastAsia="黑体"/>
        </w:rPr>
        <w:t>二、市场定位</w:t>
      </w:r>
      <w:r>
        <w:tab/>
      </w:r>
      <w:r>
        <w:fldChar w:fldCharType="begin"/>
      </w:r>
      <w:r>
        <w:instrText xml:space="preserve"> PAGEREF _Toc4538 \h </w:instrText>
      </w:r>
      <w:r>
        <w:fldChar w:fldCharType="separate"/>
      </w:r>
      <w:r>
        <w:t>5</w:t>
      </w:r>
      <w:r>
        <w:fldChar w:fldCharType="end"/>
      </w:r>
      <w:r>
        <w:rPr>
          <w:rFonts w:hint="eastAsia" w:eastAsia="宋体"/>
          <w:lang w:eastAsia="zh-CN"/>
        </w:rPr>
        <w:fldChar w:fldCharType="end"/>
      </w:r>
    </w:p>
    <w:p w14:paraId="1EE8282D">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_Toc5448 </w:instrText>
      </w:r>
      <w:r>
        <w:rPr>
          <w:rFonts w:hint="eastAsia" w:eastAsia="宋体"/>
          <w:lang w:eastAsia="zh-CN"/>
        </w:rPr>
        <w:fldChar w:fldCharType="separate"/>
      </w:r>
      <w:r>
        <w:rPr>
          <w:rFonts w:ascii="黑体" w:hAnsi="黑体" w:eastAsia="黑体"/>
        </w:rPr>
        <w:t>（一）低空物流市场的宏观分析</w:t>
      </w:r>
      <w:r>
        <w:tab/>
      </w:r>
      <w:r>
        <w:fldChar w:fldCharType="begin"/>
      </w:r>
      <w:r>
        <w:instrText xml:space="preserve"> PAGEREF _Toc5448 \h </w:instrText>
      </w:r>
      <w:r>
        <w:fldChar w:fldCharType="separate"/>
      </w:r>
      <w:r>
        <w:t>5</w:t>
      </w:r>
      <w:r>
        <w:fldChar w:fldCharType="end"/>
      </w:r>
      <w:r>
        <w:rPr>
          <w:rFonts w:hint="eastAsia" w:eastAsia="宋体"/>
          <w:lang w:eastAsia="zh-CN"/>
        </w:rPr>
        <w:fldChar w:fldCharType="end"/>
      </w:r>
    </w:p>
    <w:p w14:paraId="4A1784F5">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_Toc28399 </w:instrText>
      </w:r>
      <w:r>
        <w:rPr>
          <w:rFonts w:hint="eastAsia" w:eastAsia="宋体"/>
          <w:lang w:eastAsia="zh-CN"/>
        </w:rPr>
        <w:fldChar w:fldCharType="separate"/>
      </w:r>
      <w:r>
        <w:rPr>
          <w:rFonts w:ascii="黑体" w:hAnsi="黑体" w:eastAsia="黑体"/>
        </w:rPr>
        <w:t>（二）目标市场的微观定位</w:t>
      </w:r>
      <w:r>
        <w:tab/>
      </w:r>
      <w:r>
        <w:fldChar w:fldCharType="begin"/>
      </w:r>
      <w:r>
        <w:instrText xml:space="preserve"> PAGEREF _Toc28399 \h </w:instrText>
      </w:r>
      <w:r>
        <w:fldChar w:fldCharType="separate"/>
      </w:r>
      <w:r>
        <w:t>6</w:t>
      </w:r>
      <w:r>
        <w:fldChar w:fldCharType="end"/>
      </w:r>
      <w:r>
        <w:rPr>
          <w:rFonts w:hint="eastAsia" w:eastAsia="宋体"/>
          <w:lang w:eastAsia="zh-CN"/>
        </w:rPr>
        <w:fldChar w:fldCharType="end"/>
      </w:r>
    </w:p>
    <w:p w14:paraId="202CEF5A">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_Toc25275 </w:instrText>
      </w:r>
      <w:r>
        <w:rPr>
          <w:rFonts w:hint="eastAsia" w:eastAsia="宋体"/>
          <w:lang w:eastAsia="zh-CN"/>
        </w:rPr>
        <w:fldChar w:fldCharType="separate"/>
      </w:r>
      <w:r>
        <w:rPr>
          <w:rFonts w:ascii="黑体" w:hAnsi="黑体" w:eastAsia="黑体"/>
        </w:rPr>
        <w:t>1．产品定位</w:t>
      </w:r>
      <w:r>
        <w:tab/>
      </w:r>
      <w:r>
        <w:fldChar w:fldCharType="begin"/>
      </w:r>
      <w:r>
        <w:instrText xml:space="preserve"> PAGEREF _Toc25275 \h </w:instrText>
      </w:r>
      <w:r>
        <w:fldChar w:fldCharType="separate"/>
      </w:r>
      <w:r>
        <w:t>6</w:t>
      </w:r>
      <w:r>
        <w:fldChar w:fldCharType="end"/>
      </w:r>
      <w:r>
        <w:rPr>
          <w:rFonts w:hint="eastAsia" w:eastAsia="宋体"/>
          <w:lang w:eastAsia="zh-CN"/>
        </w:rPr>
        <w:fldChar w:fldCharType="end"/>
      </w:r>
    </w:p>
    <w:p w14:paraId="177C2C58">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_Toc15363 </w:instrText>
      </w:r>
      <w:r>
        <w:rPr>
          <w:rFonts w:hint="eastAsia" w:eastAsia="宋体"/>
          <w:lang w:eastAsia="zh-CN"/>
        </w:rPr>
        <w:fldChar w:fldCharType="separate"/>
      </w:r>
      <w:r>
        <w:rPr>
          <w:rFonts w:ascii="黑体" w:hAnsi="黑体" w:eastAsia="黑体"/>
        </w:rPr>
        <w:t>2．客户定位</w:t>
      </w:r>
      <w:r>
        <w:tab/>
      </w:r>
      <w:r>
        <w:fldChar w:fldCharType="begin"/>
      </w:r>
      <w:r>
        <w:instrText xml:space="preserve"> PAGEREF _Toc15363 \h </w:instrText>
      </w:r>
      <w:r>
        <w:fldChar w:fldCharType="separate"/>
      </w:r>
      <w:r>
        <w:t>6</w:t>
      </w:r>
      <w:r>
        <w:fldChar w:fldCharType="end"/>
      </w:r>
      <w:r>
        <w:rPr>
          <w:rFonts w:hint="eastAsia" w:eastAsia="宋体"/>
          <w:lang w:eastAsia="zh-CN"/>
        </w:rPr>
        <w:fldChar w:fldCharType="end"/>
      </w:r>
    </w:p>
    <w:p w14:paraId="119A0475">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_Toc11604 </w:instrText>
      </w:r>
      <w:r>
        <w:rPr>
          <w:rFonts w:hint="eastAsia" w:eastAsia="宋体"/>
          <w:lang w:eastAsia="zh-CN"/>
        </w:rPr>
        <w:fldChar w:fldCharType="separate"/>
      </w:r>
      <w:r>
        <w:rPr>
          <w:rFonts w:ascii="黑体" w:hAnsi="黑体" w:eastAsia="黑体"/>
        </w:rPr>
        <w:t>3．区域定位</w:t>
      </w:r>
      <w:r>
        <w:tab/>
      </w:r>
      <w:r>
        <w:fldChar w:fldCharType="begin"/>
      </w:r>
      <w:r>
        <w:instrText xml:space="preserve"> PAGEREF _Toc11604 \h </w:instrText>
      </w:r>
      <w:r>
        <w:fldChar w:fldCharType="separate"/>
      </w:r>
      <w:r>
        <w:t>6</w:t>
      </w:r>
      <w:r>
        <w:fldChar w:fldCharType="end"/>
      </w:r>
      <w:r>
        <w:rPr>
          <w:rFonts w:hint="eastAsia" w:eastAsia="宋体"/>
          <w:lang w:eastAsia="zh-CN"/>
        </w:rPr>
        <w:fldChar w:fldCharType="end"/>
      </w:r>
    </w:p>
    <w:p w14:paraId="0BEECFCF">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_Toc20567 </w:instrText>
      </w:r>
      <w:r>
        <w:rPr>
          <w:rFonts w:hint="eastAsia" w:eastAsia="宋体"/>
          <w:lang w:eastAsia="zh-CN"/>
        </w:rPr>
        <w:fldChar w:fldCharType="separate"/>
      </w:r>
      <w:r>
        <w:rPr>
          <w:rFonts w:ascii="黑体" w:hAnsi="黑体" w:eastAsia="黑体"/>
        </w:rPr>
        <w:t>（三）项目业务场景定位</w:t>
      </w:r>
      <w:r>
        <w:tab/>
      </w:r>
      <w:r>
        <w:fldChar w:fldCharType="begin"/>
      </w:r>
      <w:r>
        <w:instrText xml:space="preserve"> PAGEREF _Toc20567 \h </w:instrText>
      </w:r>
      <w:r>
        <w:fldChar w:fldCharType="separate"/>
      </w:r>
      <w:r>
        <w:t>6</w:t>
      </w:r>
      <w:r>
        <w:fldChar w:fldCharType="end"/>
      </w:r>
      <w:r>
        <w:rPr>
          <w:rFonts w:hint="eastAsia" w:eastAsia="宋体"/>
          <w:lang w:eastAsia="zh-CN"/>
        </w:rPr>
        <w:fldChar w:fldCharType="end"/>
      </w:r>
    </w:p>
    <w:p w14:paraId="3D348FD2">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_Toc30492 </w:instrText>
      </w:r>
      <w:r>
        <w:rPr>
          <w:rFonts w:hint="eastAsia" w:eastAsia="宋体"/>
          <w:lang w:eastAsia="zh-CN"/>
        </w:rPr>
        <w:fldChar w:fldCharType="separate"/>
      </w:r>
      <w:r>
        <w:rPr>
          <w:rFonts w:ascii="黑体" w:hAnsi="黑体" w:eastAsia="黑体"/>
        </w:rPr>
        <w:t>1．乡村振兴与农产品上行</w:t>
      </w:r>
      <w:r>
        <w:tab/>
      </w:r>
      <w:r>
        <w:fldChar w:fldCharType="begin"/>
      </w:r>
      <w:r>
        <w:instrText xml:space="preserve"> PAGEREF _Toc30492 \h </w:instrText>
      </w:r>
      <w:r>
        <w:fldChar w:fldCharType="separate"/>
      </w:r>
      <w:r>
        <w:t>6</w:t>
      </w:r>
      <w:r>
        <w:fldChar w:fldCharType="end"/>
      </w:r>
      <w:r>
        <w:rPr>
          <w:rFonts w:hint="eastAsia" w:eastAsia="宋体"/>
          <w:lang w:eastAsia="zh-CN"/>
        </w:rPr>
        <w:fldChar w:fldCharType="end"/>
      </w:r>
    </w:p>
    <w:p w14:paraId="78FDEFBD">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_Toc13648 </w:instrText>
      </w:r>
      <w:r>
        <w:rPr>
          <w:rFonts w:hint="eastAsia" w:eastAsia="宋体"/>
          <w:lang w:eastAsia="zh-CN"/>
        </w:rPr>
        <w:fldChar w:fldCharType="separate"/>
      </w:r>
      <w:r>
        <w:rPr>
          <w:rFonts w:ascii="黑体" w:hAnsi="黑体" w:eastAsia="黑体"/>
        </w:rPr>
        <w:t>2．应急物资运输</w:t>
      </w:r>
      <w:r>
        <w:tab/>
      </w:r>
      <w:r>
        <w:fldChar w:fldCharType="begin"/>
      </w:r>
      <w:r>
        <w:instrText xml:space="preserve"> PAGEREF _Toc13648 \h </w:instrText>
      </w:r>
      <w:r>
        <w:fldChar w:fldCharType="separate"/>
      </w:r>
      <w:r>
        <w:t>6</w:t>
      </w:r>
      <w:r>
        <w:fldChar w:fldCharType="end"/>
      </w:r>
      <w:r>
        <w:rPr>
          <w:rFonts w:hint="eastAsia" w:eastAsia="宋体"/>
          <w:lang w:eastAsia="zh-CN"/>
        </w:rPr>
        <w:fldChar w:fldCharType="end"/>
      </w:r>
    </w:p>
    <w:p w14:paraId="0F291815">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_Toc32097 </w:instrText>
      </w:r>
      <w:r>
        <w:rPr>
          <w:rFonts w:hint="eastAsia" w:eastAsia="宋体"/>
          <w:lang w:eastAsia="zh-CN"/>
        </w:rPr>
        <w:fldChar w:fldCharType="separate"/>
      </w:r>
      <w:r>
        <w:rPr>
          <w:rFonts w:ascii="黑体" w:hAnsi="黑体" w:eastAsia="黑体"/>
        </w:rPr>
        <w:t>3．海岛及偏远站点补给</w:t>
      </w:r>
      <w:r>
        <w:tab/>
      </w:r>
      <w:r>
        <w:fldChar w:fldCharType="begin"/>
      </w:r>
      <w:r>
        <w:instrText xml:space="preserve"> PAGEREF _Toc32097 \h </w:instrText>
      </w:r>
      <w:r>
        <w:fldChar w:fldCharType="separate"/>
      </w:r>
      <w:r>
        <w:t>6</w:t>
      </w:r>
      <w:r>
        <w:fldChar w:fldCharType="end"/>
      </w:r>
      <w:r>
        <w:rPr>
          <w:rFonts w:hint="eastAsia" w:eastAsia="宋体"/>
          <w:lang w:eastAsia="zh-CN"/>
        </w:rPr>
        <w:fldChar w:fldCharType="end"/>
      </w:r>
    </w:p>
    <w:p w14:paraId="03B8E969">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_Toc3733 </w:instrText>
      </w:r>
      <w:r>
        <w:rPr>
          <w:rFonts w:hint="eastAsia" w:eastAsia="宋体"/>
          <w:lang w:eastAsia="zh-CN"/>
        </w:rPr>
        <w:fldChar w:fldCharType="separate"/>
      </w:r>
      <w:r>
        <w:rPr>
          <w:rFonts w:ascii="黑体" w:hAnsi="黑体" w:eastAsia="黑体"/>
        </w:rPr>
        <w:t>4．城市高时效配送</w:t>
      </w:r>
      <w:r>
        <w:tab/>
      </w:r>
      <w:r>
        <w:fldChar w:fldCharType="begin"/>
      </w:r>
      <w:r>
        <w:instrText xml:space="preserve"> PAGEREF _Toc3733 \h </w:instrText>
      </w:r>
      <w:r>
        <w:fldChar w:fldCharType="separate"/>
      </w:r>
      <w:r>
        <w:t>6</w:t>
      </w:r>
      <w:r>
        <w:fldChar w:fldCharType="end"/>
      </w:r>
      <w:r>
        <w:rPr>
          <w:rFonts w:hint="eastAsia" w:eastAsia="宋体"/>
          <w:lang w:eastAsia="zh-CN"/>
        </w:rPr>
        <w:fldChar w:fldCharType="end"/>
      </w:r>
    </w:p>
    <w:p w14:paraId="0BFCDE37">
      <w:pPr>
        <w:pStyle w:val="27"/>
        <w:tabs>
          <w:tab w:val="right" w:leader="dot" w:pos="8306"/>
        </w:tabs>
      </w:pPr>
      <w:r>
        <w:rPr>
          <w:rFonts w:hint="eastAsia" w:eastAsia="宋体"/>
          <w:lang w:eastAsia="zh-CN"/>
        </w:rPr>
        <w:fldChar w:fldCharType="begin"/>
      </w:r>
      <w:r>
        <w:rPr>
          <w:rFonts w:hint="eastAsia" w:eastAsia="宋体"/>
          <w:lang w:eastAsia="zh-CN"/>
        </w:rPr>
        <w:instrText xml:space="preserve"> HYPERLINK \l _Toc2675 </w:instrText>
      </w:r>
      <w:r>
        <w:rPr>
          <w:rFonts w:hint="eastAsia" w:eastAsia="宋体"/>
          <w:lang w:eastAsia="zh-CN"/>
        </w:rPr>
        <w:fldChar w:fldCharType="separate"/>
      </w:r>
      <w:r>
        <w:rPr>
          <w:rFonts w:ascii="黑体" w:hAnsi="黑体" w:eastAsia="黑体"/>
        </w:rPr>
        <w:t>三、需求及竞争对手分析</w:t>
      </w:r>
      <w:r>
        <w:tab/>
      </w:r>
      <w:r>
        <w:fldChar w:fldCharType="begin"/>
      </w:r>
      <w:r>
        <w:instrText xml:space="preserve"> PAGEREF _Toc2675 \h </w:instrText>
      </w:r>
      <w:r>
        <w:fldChar w:fldCharType="separate"/>
      </w:r>
      <w:r>
        <w:t>7</w:t>
      </w:r>
      <w:r>
        <w:fldChar w:fldCharType="end"/>
      </w:r>
      <w:r>
        <w:rPr>
          <w:rFonts w:hint="eastAsia" w:eastAsia="宋体"/>
          <w:lang w:eastAsia="zh-CN"/>
        </w:rPr>
        <w:fldChar w:fldCharType="end"/>
      </w:r>
    </w:p>
    <w:p w14:paraId="7A37D31F">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_Toc1370 </w:instrText>
      </w:r>
      <w:r>
        <w:rPr>
          <w:rFonts w:hint="eastAsia" w:eastAsia="宋体"/>
          <w:lang w:eastAsia="zh-CN"/>
        </w:rPr>
        <w:fldChar w:fldCharType="separate"/>
      </w:r>
      <w:r>
        <w:rPr>
          <w:rFonts w:ascii="黑体" w:hAnsi="黑体" w:eastAsia="黑体"/>
        </w:rPr>
        <w:t>（一）市场需求特征分析</w:t>
      </w:r>
      <w:r>
        <w:tab/>
      </w:r>
      <w:r>
        <w:fldChar w:fldCharType="begin"/>
      </w:r>
      <w:r>
        <w:instrText xml:space="preserve"> PAGEREF _Toc1370 \h </w:instrText>
      </w:r>
      <w:r>
        <w:fldChar w:fldCharType="separate"/>
      </w:r>
      <w:r>
        <w:t>7</w:t>
      </w:r>
      <w:r>
        <w:fldChar w:fldCharType="end"/>
      </w:r>
      <w:r>
        <w:rPr>
          <w:rFonts w:hint="eastAsia" w:eastAsia="宋体"/>
          <w:lang w:eastAsia="zh-CN"/>
        </w:rPr>
        <w:fldChar w:fldCharType="end"/>
      </w:r>
    </w:p>
    <w:p w14:paraId="4C7056A3">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_Toc4690 </w:instrText>
      </w:r>
      <w:r>
        <w:rPr>
          <w:rFonts w:hint="eastAsia" w:eastAsia="宋体"/>
          <w:lang w:eastAsia="zh-CN"/>
        </w:rPr>
        <w:fldChar w:fldCharType="separate"/>
      </w:r>
      <w:r>
        <w:rPr>
          <w:rFonts w:ascii="黑体" w:hAnsi="黑体" w:eastAsia="黑体"/>
        </w:rPr>
        <w:t>1．服务对象具有明显的场景特殊性</w:t>
      </w:r>
      <w:r>
        <w:tab/>
      </w:r>
      <w:r>
        <w:fldChar w:fldCharType="begin"/>
      </w:r>
      <w:r>
        <w:instrText xml:space="preserve"> PAGEREF _Toc4690 \h </w:instrText>
      </w:r>
      <w:r>
        <w:fldChar w:fldCharType="separate"/>
      </w:r>
      <w:r>
        <w:t>7</w:t>
      </w:r>
      <w:r>
        <w:fldChar w:fldCharType="end"/>
      </w:r>
      <w:r>
        <w:rPr>
          <w:rFonts w:hint="eastAsia" w:eastAsia="宋体"/>
          <w:lang w:eastAsia="zh-CN"/>
        </w:rPr>
        <w:fldChar w:fldCharType="end"/>
      </w:r>
    </w:p>
    <w:p w14:paraId="1DF6037A">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_Toc22223 </w:instrText>
      </w:r>
      <w:r>
        <w:rPr>
          <w:rFonts w:hint="eastAsia" w:eastAsia="宋体"/>
          <w:lang w:eastAsia="zh-CN"/>
        </w:rPr>
        <w:fldChar w:fldCharType="separate"/>
      </w:r>
      <w:r>
        <w:rPr>
          <w:rFonts w:ascii="黑体" w:hAnsi="黑体" w:eastAsia="黑体"/>
        </w:rPr>
        <w:t>2．业务需求具有强时效性和高可靠性要求</w:t>
      </w:r>
      <w:r>
        <w:tab/>
      </w:r>
      <w:r>
        <w:fldChar w:fldCharType="begin"/>
      </w:r>
      <w:r>
        <w:instrText xml:space="preserve"> PAGEREF _Toc22223 \h </w:instrText>
      </w:r>
      <w:r>
        <w:fldChar w:fldCharType="separate"/>
      </w:r>
      <w:r>
        <w:t>7</w:t>
      </w:r>
      <w:r>
        <w:fldChar w:fldCharType="end"/>
      </w:r>
      <w:r>
        <w:rPr>
          <w:rFonts w:hint="eastAsia" w:eastAsia="宋体"/>
          <w:lang w:eastAsia="zh-CN"/>
        </w:rPr>
        <w:fldChar w:fldCharType="end"/>
      </w:r>
    </w:p>
    <w:p w14:paraId="009E5FE2">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_Toc23001 </w:instrText>
      </w:r>
      <w:r>
        <w:rPr>
          <w:rFonts w:hint="eastAsia" w:eastAsia="宋体"/>
          <w:lang w:eastAsia="zh-CN"/>
        </w:rPr>
        <w:fldChar w:fldCharType="separate"/>
      </w:r>
      <w:r>
        <w:rPr>
          <w:rFonts w:ascii="黑体" w:hAnsi="黑体" w:eastAsia="黑体"/>
        </w:rPr>
        <w:t>3．现有替代方案无法充分满足需求</w:t>
      </w:r>
      <w:r>
        <w:tab/>
      </w:r>
      <w:r>
        <w:fldChar w:fldCharType="begin"/>
      </w:r>
      <w:r>
        <w:instrText xml:space="preserve"> PAGEREF _Toc23001 \h </w:instrText>
      </w:r>
      <w:r>
        <w:fldChar w:fldCharType="separate"/>
      </w:r>
      <w:r>
        <w:t>7</w:t>
      </w:r>
      <w:r>
        <w:fldChar w:fldCharType="end"/>
      </w:r>
      <w:r>
        <w:rPr>
          <w:rFonts w:hint="eastAsia" w:eastAsia="宋体"/>
          <w:lang w:eastAsia="zh-CN"/>
        </w:rPr>
        <w:fldChar w:fldCharType="end"/>
      </w:r>
    </w:p>
    <w:p w14:paraId="5858373F">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_Toc26409 </w:instrText>
      </w:r>
      <w:r>
        <w:rPr>
          <w:rFonts w:hint="eastAsia" w:eastAsia="宋体"/>
          <w:lang w:eastAsia="zh-CN"/>
        </w:rPr>
        <w:fldChar w:fldCharType="separate"/>
      </w:r>
      <w:r>
        <w:rPr>
          <w:rFonts w:ascii="黑体" w:hAnsi="黑体" w:eastAsia="黑体"/>
        </w:rPr>
        <w:t>（二）项目业务量预测</w:t>
      </w:r>
      <w:r>
        <w:tab/>
      </w:r>
      <w:r>
        <w:fldChar w:fldCharType="begin"/>
      </w:r>
      <w:r>
        <w:instrText xml:space="preserve"> PAGEREF _Toc26409 \h </w:instrText>
      </w:r>
      <w:r>
        <w:fldChar w:fldCharType="separate"/>
      </w:r>
      <w:r>
        <w:t>7</w:t>
      </w:r>
      <w:r>
        <w:fldChar w:fldCharType="end"/>
      </w:r>
      <w:r>
        <w:rPr>
          <w:rFonts w:hint="eastAsia" w:eastAsia="宋体"/>
          <w:lang w:eastAsia="zh-CN"/>
        </w:rPr>
        <w:fldChar w:fldCharType="end"/>
      </w:r>
    </w:p>
    <w:p w14:paraId="08C15F4F">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_Toc9250 </w:instrText>
      </w:r>
      <w:r>
        <w:rPr>
          <w:rFonts w:hint="eastAsia" w:eastAsia="宋体"/>
          <w:lang w:eastAsia="zh-CN"/>
        </w:rPr>
        <w:fldChar w:fldCharType="separate"/>
      </w:r>
      <w:r>
        <w:rPr>
          <w:rFonts w:ascii="黑体" w:hAnsi="黑体" w:eastAsia="黑体"/>
        </w:rPr>
        <w:t>（三）竞争对手分析</w:t>
      </w:r>
      <w:r>
        <w:tab/>
      </w:r>
      <w:r>
        <w:fldChar w:fldCharType="begin"/>
      </w:r>
      <w:r>
        <w:instrText xml:space="preserve"> PAGEREF _Toc9250 \h </w:instrText>
      </w:r>
      <w:r>
        <w:fldChar w:fldCharType="separate"/>
      </w:r>
      <w:r>
        <w:t>7</w:t>
      </w:r>
      <w:r>
        <w:fldChar w:fldCharType="end"/>
      </w:r>
      <w:r>
        <w:rPr>
          <w:rFonts w:hint="eastAsia" w:eastAsia="宋体"/>
          <w:lang w:eastAsia="zh-CN"/>
        </w:rPr>
        <w:fldChar w:fldCharType="end"/>
      </w:r>
    </w:p>
    <w:p w14:paraId="1541F761">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_Toc1510 </w:instrText>
      </w:r>
      <w:r>
        <w:rPr>
          <w:rFonts w:hint="eastAsia" w:eastAsia="宋体"/>
          <w:lang w:eastAsia="zh-CN"/>
        </w:rPr>
        <w:fldChar w:fldCharType="separate"/>
      </w:r>
      <w:r>
        <w:rPr>
          <w:rFonts w:ascii="黑体" w:hAnsi="黑体" w:eastAsia="黑体"/>
        </w:rPr>
        <w:t>1．与传统地面物流企业相比</w:t>
      </w:r>
      <w:r>
        <w:tab/>
      </w:r>
      <w:r>
        <w:fldChar w:fldCharType="begin"/>
      </w:r>
      <w:r>
        <w:instrText xml:space="preserve"> PAGEREF _Toc1510 \h </w:instrText>
      </w:r>
      <w:r>
        <w:fldChar w:fldCharType="separate"/>
      </w:r>
      <w:r>
        <w:t>7</w:t>
      </w:r>
      <w:r>
        <w:fldChar w:fldCharType="end"/>
      </w:r>
      <w:r>
        <w:rPr>
          <w:rFonts w:hint="eastAsia" w:eastAsia="宋体"/>
          <w:lang w:eastAsia="zh-CN"/>
        </w:rPr>
        <w:fldChar w:fldCharType="end"/>
      </w:r>
    </w:p>
    <w:p w14:paraId="5915A413">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_Toc64 </w:instrText>
      </w:r>
      <w:r>
        <w:rPr>
          <w:rFonts w:hint="eastAsia" w:eastAsia="宋体"/>
          <w:lang w:eastAsia="zh-CN"/>
        </w:rPr>
        <w:fldChar w:fldCharType="separate"/>
      </w:r>
      <w:r>
        <w:rPr>
          <w:rFonts w:ascii="黑体" w:hAnsi="黑体" w:eastAsia="黑体"/>
        </w:rPr>
        <w:t>2．与普通多旋翼运载无人机相比</w:t>
      </w:r>
      <w:r>
        <w:tab/>
      </w:r>
      <w:r>
        <w:fldChar w:fldCharType="begin"/>
      </w:r>
      <w:r>
        <w:instrText xml:space="preserve"> PAGEREF _Toc64 \h </w:instrText>
      </w:r>
      <w:r>
        <w:fldChar w:fldCharType="separate"/>
      </w:r>
      <w:r>
        <w:t>7</w:t>
      </w:r>
      <w:r>
        <w:fldChar w:fldCharType="end"/>
      </w:r>
      <w:r>
        <w:rPr>
          <w:rFonts w:hint="eastAsia" w:eastAsia="宋体"/>
          <w:lang w:eastAsia="zh-CN"/>
        </w:rPr>
        <w:fldChar w:fldCharType="end"/>
      </w:r>
    </w:p>
    <w:p w14:paraId="75186A4C">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_Toc13621 </w:instrText>
      </w:r>
      <w:r>
        <w:rPr>
          <w:rFonts w:hint="eastAsia" w:eastAsia="宋体"/>
          <w:lang w:eastAsia="zh-CN"/>
        </w:rPr>
        <w:fldChar w:fldCharType="separate"/>
      </w:r>
      <w:r>
        <w:rPr>
          <w:rFonts w:ascii="黑体" w:hAnsi="黑体" w:eastAsia="黑体"/>
        </w:rPr>
        <w:t>3．与大型行业装备企业相比</w:t>
      </w:r>
      <w:r>
        <w:tab/>
      </w:r>
      <w:r>
        <w:fldChar w:fldCharType="begin"/>
      </w:r>
      <w:r>
        <w:instrText xml:space="preserve"> PAGEREF _Toc13621 \h </w:instrText>
      </w:r>
      <w:r>
        <w:fldChar w:fldCharType="separate"/>
      </w:r>
      <w:r>
        <w:t>8</w:t>
      </w:r>
      <w:r>
        <w:fldChar w:fldCharType="end"/>
      </w:r>
      <w:r>
        <w:rPr>
          <w:rFonts w:hint="eastAsia" w:eastAsia="宋体"/>
          <w:lang w:eastAsia="zh-CN"/>
        </w:rPr>
        <w:fldChar w:fldCharType="end"/>
      </w:r>
    </w:p>
    <w:p w14:paraId="4544C833">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_Toc24953 </w:instrText>
      </w:r>
      <w:r>
        <w:rPr>
          <w:rFonts w:hint="eastAsia" w:eastAsia="宋体"/>
          <w:lang w:eastAsia="zh-CN"/>
        </w:rPr>
        <w:fldChar w:fldCharType="separate"/>
      </w:r>
      <w:r>
        <w:rPr>
          <w:rFonts w:ascii="黑体" w:hAnsi="黑体" w:eastAsia="黑体"/>
        </w:rPr>
        <w:t>（四）项目核心竞争力</w:t>
      </w:r>
      <w:r>
        <w:tab/>
      </w:r>
      <w:r>
        <w:fldChar w:fldCharType="begin"/>
      </w:r>
      <w:r>
        <w:instrText xml:space="preserve"> PAGEREF _Toc24953 \h </w:instrText>
      </w:r>
      <w:r>
        <w:fldChar w:fldCharType="separate"/>
      </w:r>
      <w:r>
        <w:t>8</w:t>
      </w:r>
      <w:r>
        <w:fldChar w:fldCharType="end"/>
      </w:r>
      <w:r>
        <w:rPr>
          <w:rFonts w:hint="eastAsia" w:eastAsia="宋体"/>
          <w:lang w:eastAsia="zh-CN"/>
        </w:rPr>
        <w:fldChar w:fldCharType="end"/>
      </w:r>
    </w:p>
    <w:p w14:paraId="24E02944">
      <w:pPr>
        <w:pStyle w:val="27"/>
        <w:tabs>
          <w:tab w:val="right" w:leader="dot" w:pos="8306"/>
        </w:tabs>
      </w:pPr>
      <w:r>
        <w:rPr>
          <w:rFonts w:hint="eastAsia" w:eastAsia="宋体"/>
          <w:lang w:eastAsia="zh-CN"/>
        </w:rPr>
        <w:fldChar w:fldCharType="begin"/>
      </w:r>
      <w:r>
        <w:rPr>
          <w:rFonts w:hint="eastAsia" w:eastAsia="宋体"/>
          <w:lang w:eastAsia="zh-CN"/>
        </w:rPr>
        <w:instrText xml:space="preserve"> HYPERLINK \l _Toc5554 </w:instrText>
      </w:r>
      <w:r>
        <w:rPr>
          <w:rFonts w:hint="eastAsia" w:eastAsia="宋体"/>
          <w:lang w:eastAsia="zh-CN"/>
        </w:rPr>
        <w:fldChar w:fldCharType="separate"/>
      </w:r>
      <w:r>
        <w:rPr>
          <w:rFonts w:ascii="黑体" w:hAnsi="黑体" w:eastAsia="黑体"/>
        </w:rPr>
        <w:t>四、企业发展战略</w:t>
      </w:r>
      <w:r>
        <w:tab/>
      </w:r>
      <w:r>
        <w:fldChar w:fldCharType="begin"/>
      </w:r>
      <w:r>
        <w:instrText xml:space="preserve"> PAGEREF _Toc5554 \h </w:instrText>
      </w:r>
      <w:r>
        <w:fldChar w:fldCharType="separate"/>
      </w:r>
      <w:r>
        <w:t>8</w:t>
      </w:r>
      <w:r>
        <w:fldChar w:fldCharType="end"/>
      </w:r>
      <w:r>
        <w:rPr>
          <w:rFonts w:hint="eastAsia" w:eastAsia="宋体"/>
          <w:lang w:eastAsia="zh-CN"/>
        </w:rPr>
        <w:fldChar w:fldCharType="end"/>
      </w:r>
    </w:p>
    <w:p w14:paraId="0DC34CFC">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_Toc16041 </w:instrText>
      </w:r>
      <w:r>
        <w:rPr>
          <w:rFonts w:hint="eastAsia" w:eastAsia="宋体"/>
          <w:lang w:eastAsia="zh-CN"/>
        </w:rPr>
        <w:fldChar w:fldCharType="separate"/>
      </w:r>
      <w:r>
        <w:rPr>
          <w:rFonts w:ascii="黑体" w:hAnsi="黑体" w:eastAsia="黑体"/>
        </w:rPr>
        <w:t>（一）战略愿景与发展目标</w:t>
      </w:r>
      <w:r>
        <w:tab/>
      </w:r>
      <w:r>
        <w:fldChar w:fldCharType="begin"/>
      </w:r>
      <w:r>
        <w:instrText xml:space="preserve"> PAGEREF _Toc16041 \h </w:instrText>
      </w:r>
      <w:r>
        <w:fldChar w:fldCharType="separate"/>
      </w:r>
      <w:r>
        <w:t>8</w:t>
      </w:r>
      <w:r>
        <w:fldChar w:fldCharType="end"/>
      </w:r>
      <w:r>
        <w:rPr>
          <w:rFonts w:hint="eastAsia" w:eastAsia="宋体"/>
          <w:lang w:eastAsia="zh-CN"/>
        </w:rPr>
        <w:fldChar w:fldCharType="end"/>
      </w:r>
    </w:p>
    <w:p w14:paraId="2A480671">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_Toc24780 </w:instrText>
      </w:r>
      <w:r>
        <w:rPr>
          <w:rFonts w:hint="eastAsia" w:eastAsia="宋体"/>
          <w:lang w:eastAsia="zh-CN"/>
        </w:rPr>
        <w:fldChar w:fldCharType="separate"/>
      </w:r>
      <w:r>
        <w:rPr>
          <w:rFonts w:ascii="黑体" w:hAnsi="黑体" w:eastAsia="黑体"/>
        </w:rPr>
        <w:t>（二）战略重点</w:t>
      </w:r>
      <w:r>
        <w:tab/>
      </w:r>
      <w:r>
        <w:fldChar w:fldCharType="begin"/>
      </w:r>
      <w:r>
        <w:instrText xml:space="preserve"> PAGEREF _Toc24780 \h </w:instrText>
      </w:r>
      <w:r>
        <w:fldChar w:fldCharType="separate"/>
      </w:r>
      <w:r>
        <w:t>8</w:t>
      </w:r>
      <w:r>
        <w:fldChar w:fldCharType="end"/>
      </w:r>
      <w:r>
        <w:rPr>
          <w:rFonts w:hint="eastAsia" w:eastAsia="宋体"/>
          <w:lang w:eastAsia="zh-CN"/>
        </w:rPr>
        <w:fldChar w:fldCharType="end"/>
      </w:r>
    </w:p>
    <w:p w14:paraId="1D9D85EC">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_Toc6525 </w:instrText>
      </w:r>
      <w:r>
        <w:rPr>
          <w:rFonts w:hint="eastAsia" w:eastAsia="宋体"/>
          <w:lang w:eastAsia="zh-CN"/>
        </w:rPr>
        <w:fldChar w:fldCharType="separate"/>
      </w:r>
      <w:r>
        <w:rPr>
          <w:rFonts w:ascii="黑体" w:hAnsi="黑体" w:eastAsia="黑体"/>
        </w:rPr>
        <w:t>1．坚持技术自主与系统集成并重</w:t>
      </w:r>
      <w:r>
        <w:tab/>
      </w:r>
      <w:r>
        <w:fldChar w:fldCharType="begin"/>
      </w:r>
      <w:r>
        <w:instrText xml:space="preserve"> PAGEREF _Toc6525 \h </w:instrText>
      </w:r>
      <w:r>
        <w:fldChar w:fldCharType="separate"/>
      </w:r>
      <w:r>
        <w:t>8</w:t>
      </w:r>
      <w:r>
        <w:fldChar w:fldCharType="end"/>
      </w:r>
      <w:r>
        <w:rPr>
          <w:rFonts w:hint="eastAsia" w:eastAsia="宋体"/>
          <w:lang w:eastAsia="zh-CN"/>
        </w:rPr>
        <w:fldChar w:fldCharType="end"/>
      </w:r>
    </w:p>
    <w:p w14:paraId="62701B45">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_Toc28559 </w:instrText>
      </w:r>
      <w:r>
        <w:rPr>
          <w:rFonts w:hint="eastAsia" w:eastAsia="宋体"/>
          <w:lang w:eastAsia="zh-CN"/>
        </w:rPr>
        <w:fldChar w:fldCharType="separate"/>
      </w:r>
      <w:r>
        <w:rPr>
          <w:rFonts w:ascii="黑体" w:hAnsi="黑体" w:eastAsia="黑体"/>
        </w:rPr>
        <w:t>2．优先建设示范航线与样板场景</w:t>
      </w:r>
      <w:r>
        <w:tab/>
      </w:r>
      <w:r>
        <w:fldChar w:fldCharType="begin"/>
      </w:r>
      <w:r>
        <w:instrText xml:space="preserve"> PAGEREF _Toc28559 \h </w:instrText>
      </w:r>
      <w:r>
        <w:fldChar w:fldCharType="separate"/>
      </w:r>
      <w:r>
        <w:t>8</w:t>
      </w:r>
      <w:r>
        <w:fldChar w:fldCharType="end"/>
      </w:r>
      <w:r>
        <w:rPr>
          <w:rFonts w:hint="eastAsia" w:eastAsia="宋体"/>
          <w:lang w:eastAsia="zh-CN"/>
        </w:rPr>
        <w:fldChar w:fldCharType="end"/>
      </w:r>
    </w:p>
    <w:p w14:paraId="3D31D5BF">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_Toc5272 </w:instrText>
      </w:r>
      <w:r>
        <w:rPr>
          <w:rFonts w:hint="eastAsia" w:eastAsia="宋体"/>
          <w:lang w:eastAsia="zh-CN"/>
        </w:rPr>
        <w:fldChar w:fldCharType="separate"/>
      </w:r>
      <w:r>
        <w:rPr>
          <w:rFonts w:ascii="黑体" w:hAnsi="黑体" w:eastAsia="黑体"/>
        </w:rPr>
        <w:t>3．同步建立标准化运营体系</w:t>
      </w:r>
      <w:r>
        <w:tab/>
      </w:r>
      <w:r>
        <w:fldChar w:fldCharType="begin"/>
      </w:r>
      <w:r>
        <w:instrText xml:space="preserve"> PAGEREF _Toc5272 \h </w:instrText>
      </w:r>
      <w:r>
        <w:fldChar w:fldCharType="separate"/>
      </w:r>
      <w:r>
        <w:t>8</w:t>
      </w:r>
      <w:r>
        <w:fldChar w:fldCharType="end"/>
      </w:r>
      <w:r>
        <w:rPr>
          <w:rFonts w:hint="eastAsia" w:eastAsia="宋体"/>
          <w:lang w:eastAsia="zh-CN"/>
        </w:rPr>
        <w:fldChar w:fldCharType="end"/>
      </w:r>
    </w:p>
    <w:p w14:paraId="771D24C3">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_Toc30899 </w:instrText>
      </w:r>
      <w:r>
        <w:rPr>
          <w:rFonts w:hint="eastAsia" w:eastAsia="宋体"/>
          <w:lang w:eastAsia="zh-CN"/>
        </w:rPr>
        <w:fldChar w:fldCharType="separate"/>
      </w:r>
      <w:r>
        <w:rPr>
          <w:rFonts w:ascii="黑体" w:hAnsi="黑体" w:eastAsia="黑体"/>
        </w:rPr>
        <w:t>4．构建合作生态与资源协同网络</w:t>
      </w:r>
      <w:r>
        <w:tab/>
      </w:r>
      <w:r>
        <w:fldChar w:fldCharType="begin"/>
      </w:r>
      <w:r>
        <w:instrText xml:space="preserve"> PAGEREF _Toc30899 \h </w:instrText>
      </w:r>
      <w:r>
        <w:fldChar w:fldCharType="separate"/>
      </w:r>
      <w:r>
        <w:t>8</w:t>
      </w:r>
      <w:r>
        <w:fldChar w:fldCharType="end"/>
      </w:r>
      <w:r>
        <w:rPr>
          <w:rFonts w:hint="eastAsia" w:eastAsia="宋体"/>
          <w:lang w:eastAsia="zh-CN"/>
        </w:rPr>
        <w:fldChar w:fldCharType="end"/>
      </w:r>
    </w:p>
    <w:p w14:paraId="5B2C1D6F">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_Toc14315 </w:instrText>
      </w:r>
      <w:r>
        <w:rPr>
          <w:rFonts w:hint="eastAsia" w:eastAsia="宋体"/>
          <w:lang w:eastAsia="zh-CN"/>
        </w:rPr>
        <w:fldChar w:fldCharType="separate"/>
      </w:r>
      <w:r>
        <w:rPr>
          <w:rFonts w:ascii="黑体" w:hAnsi="黑体" w:eastAsia="黑体"/>
        </w:rPr>
        <w:t>（三）阶段性实施战略</w:t>
      </w:r>
      <w:r>
        <w:tab/>
      </w:r>
      <w:r>
        <w:fldChar w:fldCharType="begin"/>
      </w:r>
      <w:r>
        <w:instrText xml:space="preserve"> PAGEREF _Toc14315 \h </w:instrText>
      </w:r>
      <w:r>
        <w:fldChar w:fldCharType="separate"/>
      </w:r>
      <w:r>
        <w:t>9</w:t>
      </w:r>
      <w:r>
        <w:fldChar w:fldCharType="end"/>
      </w:r>
      <w:r>
        <w:rPr>
          <w:rFonts w:hint="eastAsia" w:eastAsia="宋体"/>
          <w:lang w:eastAsia="zh-CN"/>
        </w:rPr>
        <w:fldChar w:fldCharType="end"/>
      </w:r>
    </w:p>
    <w:p w14:paraId="54A3738E">
      <w:pPr>
        <w:pStyle w:val="27"/>
        <w:tabs>
          <w:tab w:val="right" w:leader="dot" w:pos="8306"/>
        </w:tabs>
      </w:pPr>
      <w:r>
        <w:rPr>
          <w:rFonts w:hint="eastAsia" w:eastAsia="宋体"/>
          <w:lang w:eastAsia="zh-CN"/>
        </w:rPr>
        <w:fldChar w:fldCharType="begin"/>
      </w:r>
      <w:r>
        <w:rPr>
          <w:rFonts w:hint="eastAsia" w:eastAsia="宋体"/>
          <w:lang w:eastAsia="zh-CN"/>
        </w:rPr>
        <w:instrText xml:space="preserve"> HYPERLINK \l _Toc18456 </w:instrText>
      </w:r>
      <w:r>
        <w:rPr>
          <w:rFonts w:hint="eastAsia" w:eastAsia="宋体"/>
          <w:lang w:eastAsia="zh-CN"/>
        </w:rPr>
        <w:fldChar w:fldCharType="separate"/>
      </w:r>
      <w:r>
        <w:rPr>
          <w:rFonts w:ascii="黑体" w:hAnsi="黑体" w:eastAsia="黑体"/>
        </w:rPr>
        <w:t>五、项目实施方案</w:t>
      </w:r>
      <w:r>
        <w:tab/>
      </w:r>
      <w:r>
        <w:fldChar w:fldCharType="begin"/>
      </w:r>
      <w:r>
        <w:instrText xml:space="preserve"> PAGEREF _Toc18456 \h </w:instrText>
      </w:r>
      <w:r>
        <w:fldChar w:fldCharType="separate"/>
      </w:r>
      <w:r>
        <w:t>9</w:t>
      </w:r>
      <w:r>
        <w:fldChar w:fldCharType="end"/>
      </w:r>
      <w:r>
        <w:rPr>
          <w:rFonts w:hint="eastAsia" w:eastAsia="宋体"/>
          <w:lang w:eastAsia="zh-CN"/>
        </w:rPr>
        <w:fldChar w:fldCharType="end"/>
      </w:r>
    </w:p>
    <w:p w14:paraId="7C3DE32B">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_Toc15557 </w:instrText>
      </w:r>
      <w:r>
        <w:rPr>
          <w:rFonts w:hint="eastAsia" w:eastAsia="宋体"/>
          <w:lang w:eastAsia="zh-CN"/>
        </w:rPr>
        <w:fldChar w:fldCharType="separate"/>
      </w:r>
      <w:r>
        <w:rPr>
          <w:rFonts w:ascii="黑体" w:hAnsi="黑体" w:eastAsia="黑体"/>
        </w:rPr>
        <w:t>（一）产品与技术方案</w:t>
      </w:r>
      <w:r>
        <w:tab/>
      </w:r>
      <w:r>
        <w:fldChar w:fldCharType="begin"/>
      </w:r>
      <w:r>
        <w:instrText xml:space="preserve"> PAGEREF _Toc15557 \h </w:instrText>
      </w:r>
      <w:r>
        <w:fldChar w:fldCharType="separate"/>
      </w:r>
      <w:r>
        <w:t>9</w:t>
      </w:r>
      <w:r>
        <w:fldChar w:fldCharType="end"/>
      </w:r>
      <w:r>
        <w:rPr>
          <w:rFonts w:hint="eastAsia" w:eastAsia="宋体"/>
          <w:lang w:eastAsia="zh-CN"/>
        </w:rPr>
        <w:fldChar w:fldCharType="end"/>
      </w:r>
    </w:p>
    <w:p w14:paraId="35F604CB">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_Toc784 </w:instrText>
      </w:r>
      <w:r>
        <w:rPr>
          <w:rFonts w:hint="eastAsia" w:eastAsia="宋体"/>
          <w:lang w:eastAsia="zh-CN"/>
        </w:rPr>
        <w:fldChar w:fldCharType="separate"/>
      </w:r>
      <w:r>
        <w:rPr>
          <w:rFonts w:ascii="黑体" w:hAnsi="黑体" w:eastAsia="黑体"/>
        </w:rPr>
        <w:t>1．机体结构方案</w:t>
      </w:r>
      <w:r>
        <w:tab/>
      </w:r>
      <w:r>
        <w:fldChar w:fldCharType="begin"/>
      </w:r>
      <w:r>
        <w:instrText xml:space="preserve"> PAGEREF _Toc784 \h </w:instrText>
      </w:r>
      <w:r>
        <w:fldChar w:fldCharType="separate"/>
      </w:r>
      <w:r>
        <w:t>9</w:t>
      </w:r>
      <w:r>
        <w:fldChar w:fldCharType="end"/>
      </w:r>
      <w:r>
        <w:rPr>
          <w:rFonts w:hint="eastAsia" w:eastAsia="宋体"/>
          <w:lang w:eastAsia="zh-CN"/>
        </w:rPr>
        <w:fldChar w:fldCharType="end"/>
      </w:r>
    </w:p>
    <w:p w14:paraId="28815267">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_Toc18278 </w:instrText>
      </w:r>
      <w:r>
        <w:rPr>
          <w:rFonts w:hint="eastAsia" w:eastAsia="宋体"/>
          <w:lang w:eastAsia="zh-CN"/>
        </w:rPr>
        <w:fldChar w:fldCharType="separate"/>
      </w:r>
      <w:r>
        <w:rPr>
          <w:rFonts w:ascii="黑体" w:hAnsi="黑体" w:eastAsia="黑体"/>
        </w:rPr>
        <w:t>2．动力系统方案</w:t>
      </w:r>
      <w:r>
        <w:tab/>
      </w:r>
      <w:r>
        <w:fldChar w:fldCharType="begin"/>
      </w:r>
      <w:r>
        <w:instrText xml:space="preserve"> PAGEREF _Toc18278 \h </w:instrText>
      </w:r>
      <w:r>
        <w:fldChar w:fldCharType="separate"/>
      </w:r>
      <w:r>
        <w:t>9</w:t>
      </w:r>
      <w:r>
        <w:fldChar w:fldCharType="end"/>
      </w:r>
      <w:r>
        <w:rPr>
          <w:rFonts w:hint="eastAsia" w:eastAsia="宋体"/>
          <w:lang w:eastAsia="zh-CN"/>
        </w:rPr>
        <w:fldChar w:fldCharType="end"/>
      </w:r>
    </w:p>
    <w:p w14:paraId="0F14E94F">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_Toc26674 </w:instrText>
      </w:r>
      <w:r>
        <w:rPr>
          <w:rFonts w:hint="eastAsia" w:eastAsia="宋体"/>
          <w:lang w:eastAsia="zh-CN"/>
        </w:rPr>
        <w:fldChar w:fldCharType="separate"/>
      </w:r>
      <w:r>
        <w:rPr>
          <w:rFonts w:ascii="黑体" w:hAnsi="黑体" w:eastAsia="黑体"/>
        </w:rPr>
        <w:t>3．飞控与导航方案</w:t>
      </w:r>
      <w:r>
        <w:tab/>
      </w:r>
      <w:r>
        <w:fldChar w:fldCharType="begin"/>
      </w:r>
      <w:r>
        <w:instrText xml:space="preserve"> PAGEREF _Toc26674 \h </w:instrText>
      </w:r>
      <w:r>
        <w:fldChar w:fldCharType="separate"/>
      </w:r>
      <w:r>
        <w:t>9</w:t>
      </w:r>
      <w:r>
        <w:fldChar w:fldCharType="end"/>
      </w:r>
      <w:r>
        <w:rPr>
          <w:rFonts w:hint="eastAsia" w:eastAsia="宋体"/>
          <w:lang w:eastAsia="zh-CN"/>
        </w:rPr>
        <w:fldChar w:fldCharType="end"/>
      </w:r>
    </w:p>
    <w:p w14:paraId="6BF85C4F">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_Toc25109 </w:instrText>
      </w:r>
      <w:r>
        <w:rPr>
          <w:rFonts w:hint="eastAsia" w:eastAsia="宋体"/>
          <w:lang w:eastAsia="zh-CN"/>
        </w:rPr>
        <w:fldChar w:fldCharType="separate"/>
      </w:r>
      <w:r>
        <w:rPr>
          <w:rFonts w:ascii="黑体" w:hAnsi="黑体" w:eastAsia="黑体"/>
        </w:rPr>
        <w:t>4．货舱与任务模块方案</w:t>
      </w:r>
      <w:r>
        <w:tab/>
      </w:r>
      <w:r>
        <w:fldChar w:fldCharType="begin"/>
      </w:r>
      <w:r>
        <w:instrText xml:space="preserve"> PAGEREF _Toc25109 \h </w:instrText>
      </w:r>
      <w:r>
        <w:fldChar w:fldCharType="separate"/>
      </w:r>
      <w:r>
        <w:t>9</w:t>
      </w:r>
      <w:r>
        <w:fldChar w:fldCharType="end"/>
      </w:r>
      <w:r>
        <w:rPr>
          <w:rFonts w:hint="eastAsia" w:eastAsia="宋体"/>
          <w:lang w:eastAsia="zh-CN"/>
        </w:rPr>
        <w:fldChar w:fldCharType="end"/>
      </w:r>
    </w:p>
    <w:p w14:paraId="45C147B5">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_Toc11911 </w:instrText>
      </w:r>
      <w:r>
        <w:rPr>
          <w:rFonts w:hint="eastAsia" w:eastAsia="宋体"/>
          <w:lang w:eastAsia="zh-CN"/>
        </w:rPr>
        <w:fldChar w:fldCharType="separate"/>
      </w:r>
      <w:r>
        <w:rPr>
          <w:rFonts w:ascii="黑体" w:hAnsi="黑体" w:eastAsia="黑体"/>
        </w:rPr>
        <w:t>5．安全冗余与避障方案</w:t>
      </w:r>
      <w:r>
        <w:tab/>
      </w:r>
      <w:r>
        <w:fldChar w:fldCharType="begin"/>
      </w:r>
      <w:r>
        <w:instrText xml:space="preserve"> PAGEREF _Toc11911 \h </w:instrText>
      </w:r>
      <w:r>
        <w:fldChar w:fldCharType="separate"/>
      </w:r>
      <w:r>
        <w:t>9</w:t>
      </w:r>
      <w:r>
        <w:fldChar w:fldCharType="end"/>
      </w:r>
      <w:r>
        <w:rPr>
          <w:rFonts w:hint="eastAsia" w:eastAsia="宋体"/>
          <w:lang w:eastAsia="zh-CN"/>
        </w:rPr>
        <w:fldChar w:fldCharType="end"/>
      </w:r>
    </w:p>
    <w:p w14:paraId="5964BFB8">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_Toc28175 </w:instrText>
      </w:r>
      <w:r>
        <w:rPr>
          <w:rFonts w:hint="eastAsia" w:eastAsia="宋体"/>
          <w:lang w:eastAsia="zh-CN"/>
        </w:rPr>
        <w:fldChar w:fldCharType="separate"/>
      </w:r>
      <w:r>
        <w:rPr>
          <w:rFonts w:ascii="黑体" w:hAnsi="黑体" w:eastAsia="黑体"/>
        </w:rPr>
        <w:t>（二）地面网络与节点建设</w:t>
      </w:r>
      <w:r>
        <w:tab/>
      </w:r>
      <w:r>
        <w:fldChar w:fldCharType="begin"/>
      </w:r>
      <w:r>
        <w:instrText xml:space="preserve"> PAGEREF _Toc28175 \h </w:instrText>
      </w:r>
      <w:r>
        <w:fldChar w:fldCharType="separate"/>
      </w:r>
      <w:r>
        <w:t>9</w:t>
      </w:r>
      <w:r>
        <w:fldChar w:fldCharType="end"/>
      </w:r>
      <w:r>
        <w:rPr>
          <w:rFonts w:hint="eastAsia" w:eastAsia="宋体"/>
          <w:lang w:eastAsia="zh-CN"/>
        </w:rPr>
        <w:fldChar w:fldCharType="end"/>
      </w:r>
    </w:p>
    <w:p w14:paraId="5AB18EBD">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_Toc1869 </w:instrText>
      </w:r>
      <w:r>
        <w:rPr>
          <w:rFonts w:hint="eastAsia" w:eastAsia="宋体"/>
          <w:lang w:eastAsia="zh-CN"/>
        </w:rPr>
        <w:fldChar w:fldCharType="separate"/>
      </w:r>
      <w:r>
        <w:rPr>
          <w:rFonts w:ascii="黑体" w:hAnsi="黑体" w:eastAsia="黑体"/>
        </w:rPr>
        <w:t>（三）组织结构与运行机制</w:t>
      </w:r>
      <w:r>
        <w:tab/>
      </w:r>
      <w:r>
        <w:fldChar w:fldCharType="begin"/>
      </w:r>
      <w:r>
        <w:instrText xml:space="preserve"> PAGEREF _Toc1869 \h </w:instrText>
      </w:r>
      <w:r>
        <w:fldChar w:fldCharType="separate"/>
      </w:r>
      <w:r>
        <w:t>10</w:t>
      </w:r>
      <w:r>
        <w:fldChar w:fldCharType="end"/>
      </w:r>
      <w:r>
        <w:rPr>
          <w:rFonts w:hint="eastAsia" w:eastAsia="宋体"/>
          <w:lang w:eastAsia="zh-CN"/>
        </w:rPr>
        <w:fldChar w:fldCharType="end"/>
      </w:r>
    </w:p>
    <w:p w14:paraId="3F7013B8">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_Toc8392 </w:instrText>
      </w:r>
      <w:r>
        <w:rPr>
          <w:rFonts w:hint="eastAsia" w:eastAsia="宋体"/>
          <w:lang w:eastAsia="zh-CN"/>
        </w:rPr>
        <w:fldChar w:fldCharType="separate"/>
      </w:r>
      <w:r>
        <w:rPr>
          <w:rFonts w:ascii="黑体" w:hAnsi="黑体" w:eastAsia="黑体"/>
        </w:rPr>
        <w:t>（四）业务启动与执行流程</w:t>
      </w:r>
      <w:r>
        <w:tab/>
      </w:r>
      <w:r>
        <w:fldChar w:fldCharType="begin"/>
      </w:r>
      <w:r>
        <w:instrText xml:space="preserve"> PAGEREF _Toc8392 \h </w:instrText>
      </w:r>
      <w:r>
        <w:fldChar w:fldCharType="separate"/>
      </w:r>
      <w:r>
        <w:t>10</w:t>
      </w:r>
      <w:r>
        <w:fldChar w:fldCharType="end"/>
      </w:r>
      <w:r>
        <w:rPr>
          <w:rFonts w:hint="eastAsia" w:eastAsia="宋体"/>
          <w:lang w:eastAsia="zh-CN"/>
        </w:rPr>
        <w:fldChar w:fldCharType="end"/>
      </w:r>
    </w:p>
    <w:p w14:paraId="3579DF6C">
      <w:pPr>
        <w:pStyle w:val="27"/>
        <w:tabs>
          <w:tab w:val="right" w:leader="dot" w:pos="8306"/>
        </w:tabs>
      </w:pPr>
      <w:r>
        <w:rPr>
          <w:rFonts w:hint="eastAsia" w:eastAsia="宋体"/>
          <w:lang w:eastAsia="zh-CN"/>
        </w:rPr>
        <w:fldChar w:fldCharType="begin"/>
      </w:r>
      <w:r>
        <w:rPr>
          <w:rFonts w:hint="eastAsia" w:eastAsia="宋体"/>
          <w:lang w:eastAsia="zh-CN"/>
        </w:rPr>
        <w:instrText xml:space="preserve"> HYPERLINK \l _Toc7844 </w:instrText>
      </w:r>
      <w:r>
        <w:rPr>
          <w:rFonts w:hint="eastAsia" w:eastAsia="宋体"/>
          <w:lang w:eastAsia="zh-CN"/>
        </w:rPr>
        <w:fldChar w:fldCharType="separate"/>
      </w:r>
      <w:r>
        <w:rPr>
          <w:rFonts w:ascii="黑体" w:hAnsi="黑体" w:eastAsia="黑体"/>
        </w:rPr>
        <w:t>六、商业模式</w:t>
      </w:r>
      <w:r>
        <w:tab/>
      </w:r>
      <w:r>
        <w:fldChar w:fldCharType="begin"/>
      </w:r>
      <w:r>
        <w:instrText xml:space="preserve"> PAGEREF _Toc7844 \h </w:instrText>
      </w:r>
      <w:r>
        <w:fldChar w:fldCharType="separate"/>
      </w:r>
      <w:r>
        <w:t>10</w:t>
      </w:r>
      <w:r>
        <w:fldChar w:fldCharType="end"/>
      </w:r>
      <w:r>
        <w:rPr>
          <w:rFonts w:hint="eastAsia" w:eastAsia="宋体"/>
          <w:lang w:eastAsia="zh-CN"/>
        </w:rPr>
        <w:fldChar w:fldCharType="end"/>
      </w:r>
    </w:p>
    <w:p w14:paraId="549C7D10">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_Toc6229 </w:instrText>
      </w:r>
      <w:r>
        <w:rPr>
          <w:rFonts w:hint="eastAsia" w:eastAsia="宋体"/>
          <w:lang w:eastAsia="zh-CN"/>
        </w:rPr>
        <w:fldChar w:fldCharType="separate"/>
      </w:r>
      <w:r>
        <w:rPr>
          <w:rFonts w:ascii="黑体" w:hAnsi="黑体" w:eastAsia="黑体"/>
        </w:rPr>
        <w:t>（一）品牌策略</w:t>
      </w:r>
      <w:r>
        <w:tab/>
      </w:r>
      <w:r>
        <w:fldChar w:fldCharType="begin"/>
      </w:r>
      <w:r>
        <w:instrText xml:space="preserve"> PAGEREF _Toc6229 \h </w:instrText>
      </w:r>
      <w:r>
        <w:fldChar w:fldCharType="separate"/>
      </w:r>
      <w:r>
        <w:t>10</w:t>
      </w:r>
      <w:r>
        <w:fldChar w:fldCharType="end"/>
      </w:r>
      <w:r>
        <w:rPr>
          <w:rFonts w:hint="eastAsia" w:eastAsia="宋体"/>
          <w:lang w:eastAsia="zh-CN"/>
        </w:rPr>
        <w:fldChar w:fldCharType="end"/>
      </w:r>
    </w:p>
    <w:p w14:paraId="27D6AB5A">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_Toc6886 </w:instrText>
      </w:r>
      <w:r>
        <w:rPr>
          <w:rFonts w:hint="eastAsia" w:eastAsia="宋体"/>
          <w:lang w:eastAsia="zh-CN"/>
        </w:rPr>
        <w:fldChar w:fldCharType="separate"/>
      </w:r>
      <w:r>
        <w:rPr>
          <w:rFonts w:ascii="黑体" w:hAnsi="黑体" w:eastAsia="黑体"/>
        </w:rPr>
        <w:t>（二）产品与服务设计准则</w:t>
      </w:r>
      <w:r>
        <w:tab/>
      </w:r>
      <w:r>
        <w:fldChar w:fldCharType="begin"/>
      </w:r>
      <w:r>
        <w:instrText xml:space="preserve"> PAGEREF _Toc6886 \h </w:instrText>
      </w:r>
      <w:r>
        <w:fldChar w:fldCharType="separate"/>
      </w:r>
      <w:r>
        <w:t>10</w:t>
      </w:r>
      <w:r>
        <w:fldChar w:fldCharType="end"/>
      </w:r>
      <w:r>
        <w:rPr>
          <w:rFonts w:hint="eastAsia" w:eastAsia="宋体"/>
          <w:lang w:eastAsia="zh-CN"/>
        </w:rPr>
        <w:fldChar w:fldCharType="end"/>
      </w:r>
    </w:p>
    <w:p w14:paraId="50AE1319">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_Toc10228 </w:instrText>
      </w:r>
      <w:r>
        <w:rPr>
          <w:rFonts w:hint="eastAsia" w:eastAsia="宋体"/>
          <w:lang w:eastAsia="zh-CN"/>
        </w:rPr>
        <w:fldChar w:fldCharType="separate"/>
      </w:r>
      <w:r>
        <w:rPr>
          <w:rFonts w:ascii="黑体" w:hAnsi="黑体" w:eastAsia="黑体"/>
        </w:rPr>
        <w:t>（三）经营模式</w:t>
      </w:r>
      <w:r>
        <w:tab/>
      </w:r>
      <w:r>
        <w:fldChar w:fldCharType="begin"/>
      </w:r>
      <w:r>
        <w:instrText xml:space="preserve"> PAGEREF _Toc10228 \h </w:instrText>
      </w:r>
      <w:r>
        <w:fldChar w:fldCharType="separate"/>
      </w:r>
      <w:r>
        <w:t>10</w:t>
      </w:r>
      <w:r>
        <w:fldChar w:fldCharType="end"/>
      </w:r>
      <w:r>
        <w:rPr>
          <w:rFonts w:hint="eastAsia" w:eastAsia="宋体"/>
          <w:lang w:eastAsia="zh-CN"/>
        </w:rPr>
        <w:fldChar w:fldCharType="end"/>
      </w:r>
    </w:p>
    <w:p w14:paraId="6EC51B7B">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_Toc22393 </w:instrText>
      </w:r>
      <w:r>
        <w:rPr>
          <w:rFonts w:hint="eastAsia" w:eastAsia="宋体"/>
          <w:lang w:eastAsia="zh-CN"/>
        </w:rPr>
        <w:fldChar w:fldCharType="separate"/>
      </w:r>
      <w:r>
        <w:rPr>
          <w:rFonts w:ascii="黑体" w:hAnsi="黑体" w:eastAsia="黑体"/>
        </w:rPr>
        <w:t>1．独立试点运营</w:t>
      </w:r>
      <w:r>
        <w:tab/>
      </w:r>
      <w:r>
        <w:fldChar w:fldCharType="begin"/>
      </w:r>
      <w:r>
        <w:instrText xml:space="preserve"> PAGEREF _Toc22393 \h </w:instrText>
      </w:r>
      <w:r>
        <w:fldChar w:fldCharType="separate"/>
      </w:r>
      <w:r>
        <w:t>10</w:t>
      </w:r>
      <w:r>
        <w:fldChar w:fldCharType="end"/>
      </w:r>
      <w:r>
        <w:rPr>
          <w:rFonts w:hint="eastAsia" w:eastAsia="宋体"/>
          <w:lang w:eastAsia="zh-CN"/>
        </w:rPr>
        <w:fldChar w:fldCharType="end"/>
      </w:r>
    </w:p>
    <w:p w14:paraId="5303B197">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_Toc17935 </w:instrText>
      </w:r>
      <w:r>
        <w:rPr>
          <w:rFonts w:hint="eastAsia" w:eastAsia="宋体"/>
          <w:lang w:eastAsia="zh-CN"/>
        </w:rPr>
        <w:fldChar w:fldCharType="separate"/>
      </w:r>
      <w:r>
        <w:rPr>
          <w:rFonts w:ascii="黑体" w:hAnsi="黑体" w:eastAsia="黑体"/>
        </w:rPr>
        <w:t>2．合作共建模式</w:t>
      </w:r>
      <w:r>
        <w:tab/>
      </w:r>
      <w:r>
        <w:fldChar w:fldCharType="begin"/>
      </w:r>
      <w:r>
        <w:instrText xml:space="preserve"> PAGEREF _Toc17935 \h </w:instrText>
      </w:r>
      <w:r>
        <w:fldChar w:fldCharType="separate"/>
      </w:r>
      <w:r>
        <w:t>10</w:t>
      </w:r>
      <w:r>
        <w:fldChar w:fldCharType="end"/>
      </w:r>
      <w:r>
        <w:rPr>
          <w:rFonts w:hint="eastAsia" w:eastAsia="宋体"/>
          <w:lang w:eastAsia="zh-CN"/>
        </w:rPr>
        <w:fldChar w:fldCharType="end"/>
      </w:r>
    </w:p>
    <w:p w14:paraId="03B24370">
      <w:pPr>
        <w:pStyle w:val="24"/>
        <w:tabs>
          <w:tab w:val="right" w:leader="dot" w:pos="8306"/>
        </w:tabs>
      </w:pPr>
      <w:r>
        <w:rPr>
          <w:rFonts w:hint="eastAsia" w:eastAsia="宋体"/>
          <w:lang w:eastAsia="zh-CN"/>
        </w:rPr>
        <w:fldChar w:fldCharType="begin"/>
      </w:r>
      <w:r>
        <w:rPr>
          <w:rFonts w:hint="eastAsia" w:eastAsia="宋体"/>
          <w:lang w:eastAsia="zh-CN"/>
        </w:rPr>
        <w:instrText xml:space="preserve"> HYPERLINK \l _Toc16208 </w:instrText>
      </w:r>
      <w:r>
        <w:rPr>
          <w:rFonts w:hint="eastAsia" w:eastAsia="宋体"/>
          <w:lang w:eastAsia="zh-CN"/>
        </w:rPr>
        <w:fldChar w:fldCharType="separate"/>
      </w:r>
      <w:r>
        <w:rPr>
          <w:rFonts w:ascii="黑体" w:hAnsi="黑体" w:eastAsia="黑体"/>
        </w:rPr>
        <w:t>3．整机租赁与技术输出模式</w:t>
      </w:r>
      <w:r>
        <w:tab/>
      </w:r>
      <w:r>
        <w:fldChar w:fldCharType="begin"/>
      </w:r>
      <w:r>
        <w:instrText xml:space="preserve"> PAGEREF _Toc16208 \h </w:instrText>
      </w:r>
      <w:r>
        <w:fldChar w:fldCharType="separate"/>
      </w:r>
      <w:r>
        <w:t>10</w:t>
      </w:r>
      <w:r>
        <w:fldChar w:fldCharType="end"/>
      </w:r>
      <w:r>
        <w:rPr>
          <w:rFonts w:hint="eastAsia" w:eastAsia="宋体"/>
          <w:lang w:eastAsia="zh-CN"/>
        </w:rPr>
        <w:fldChar w:fldCharType="end"/>
      </w:r>
    </w:p>
    <w:p w14:paraId="2618EB13">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_Toc3890 </w:instrText>
      </w:r>
      <w:r>
        <w:rPr>
          <w:rFonts w:hint="eastAsia" w:eastAsia="宋体"/>
          <w:lang w:eastAsia="zh-CN"/>
        </w:rPr>
        <w:fldChar w:fldCharType="separate"/>
      </w:r>
      <w:r>
        <w:rPr>
          <w:rFonts w:ascii="黑体" w:hAnsi="黑体" w:eastAsia="黑体"/>
        </w:rPr>
        <w:t>（四）盈利模式</w:t>
      </w:r>
      <w:r>
        <w:tab/>
      </w:r>
      <w:r>
        <w:fldChar w:fldCharType="begin"/>
      </w:r>
      <w:r>
        <w:instrText xml:space="preserve"> PAGEREF _Toc3890 \h </w:instrText>
      </w:r>
      <w:r>
        <w:fldChar w:fldCharType="separate"/>
      </w:r>
      <w:r>
        <w:t>11</w:t>
      </w:r>
      <w:r>
        <w:fldChar w:fldCharType="end"/>
      </w:r>
      <w:r>
        <w:rPr>
          <w:rFonts w:hint="eastAsia" w:eastAsia="宋体"/>
          <w:lang w:eastAsia="zh-CN"/>
        </w:rPr>
        <w:fldChar w:fldCharType="end"/>
      </w:r>
    </w:p>
    <w:p w14:paraId="02B26647">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_Toc3208 </w:instrText>
      </w:r>
      <w:r>
        <w:rPr>
          <w:rFonts w:hint="eastAsia" w:eastAsia="宋体"/>
          <w:lang w:eastAsia="zh-CN"/>
        </w:rPr>
        <w:fldChar w:fldCharType="separate"/>
      </w:r>
      <w:r>
        <w:rPr>
          <w:rFonts w:ascii="黑体" w:hAnsi="黑体" w:eastAsia="黑体"/>
        </w:rPr>
        <w:t>（五）市场营销策略</w:t>
      </w:r>
      <w:r>
        <w:tab/>
      </w:r>
      <w:r>
        <w:fldChar w:fldCharType="begin"/>
      </w:r>
      <w:r>
        <w:instrText xml:space="preserve"> PAGEREF _Toc3208 \h </w:instrText>
      </w:r>
      <w:r>
        <w:fldChar w:fldCharType="separate"/>
      </w:r>
      <w:r>
        <w:t>11</w:t>
      </w:r>
      <w:r>
        <w:fldChar w:fldCharType="end"/>
      </w:r>
      <w:r>
        <w:rPr>
          <w:rFonts w:hint="eastAsia" w:eastAsia="宋体"/>
          <w:lang w:eastAsia="zh-CN"/>
        </w:rPr>
        <w:fldChar w:fldCharType="end"/>
      </w:r>
    </w:p>
    <w:p w14:paraId="53292082">
      <w:pPr>
        <w:pStyle w:val="27"/>
        <w:tabs>
          <w:tab w:val="right" w:leader="dot" w:pos="8306"/>
        </w:tabs>
      </w:pPr>
      <w:r>
        <w:rPr>
          <w:rFonts w:hint="eastAsia" w:eastAsia="宋体"/>
          <w:lang w:eastAsia="zh-CN"/>
        </w:rPr>
        <w:fldChar w:fldCharType="begin"/>
      </w:r>
      <w:r>
        <w:rPr>
          <w:rFonts w:hint="eastAsia" w:eastAsia="宋体"/>
          <w:lang w:eastAsia="zh-CN"/>
        </w:rPr>
        <w:instrText xml:space="preserve"> HYPERLINK \l _Toc11720 </w:instrText>
      </w:r>
      <w:r>
        <w:rPr>
          <w:rFonts w:hint="eastAsia" w:eastAsia="宋体"/>
          <w:lang w:eastAsia="zh-CN"/>
        </w:rPr>
        <w:fldChar w:fldCharType="separate"/>
      </w:r>
      <w:r>
        <w:rPr>
          <w:rFonts w:ascii="黑体" w:hAnsi="黑体" w:eastAsia="黑体"/>
        </w:rPr>
        <w:t>七、经济评价</w:t>
      </w:r>
      <w:r>
        <w:tab/>
      </w:r>
      <w:r>
        <w:fldChar w:fldCharType="begin"/>
      </w:r>
      <w:r>
        <w:instrText xml:space="preserve"> PAGEREF _Toc11720 \h </w:instrText>
      </w:r>
      <w:r>
        <w:fldChar w:fldCharType="separate"/>
      </w:r>
      <w:r>
        <w:t>11</w:t>
      </w:r>
      <w:r>
        <w:fldChar w:fldCharType="end"/>
      </w:r>
      <w:r>
        <w:rPr>
          <w:rFonts w:hint="eastAsia" w:eastAsia="宋体"/>
          <w:lang w:eastAsia="zh-CN"/>
        </w:rPr>
        <w:fldChar w:fldCharType="end"/>
      </w:r>
    </w:p>
    <w:p w14:paraId="3453C2B8">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_Toc7605 </w:instrText>
      </w:r>
      <w:r>
        <w:rPr>
          <w:rFonts w:hint="eastAsia" w:eastAsia="宋体"/>
          <w:lang w:eastAsia="zh-CN"/>
        </w:rPr>
        <w:fldChar w:fldCharType="separate"/>
      </w:r>
      <w:r>
        <w:rPr>
          <w:rFonts w:ascii="黑体" w:hAnsi="黑体" w:eastAsia="黑体"/>
        </w:rPr>
        <w:t>（一）经济评价的主要指标</w:t>
      </w:r>
      <w:r>
        <w:tab/>
      </w:r>
      <w:r>
        <w:fldChar w:fldCharType="begin"/>
      </w:r>
      <w:r>
        <w:instrText xml:space="preserve"> PAGEREF _Toc7605 \h </w:instrText>
      </w:r>
      <w:r>
        <w:fldChar w:fldCharType="separate"/>
      </w:r>
      <w:r>
        <w:t>11</w:t>
      </w:r>
      <w:r>
        <w:fldChar w:fldCharType="end"/>
      </w:r>
      <w:r>
        <w:rPr>
          <w:rFonts w:hint="eastAsia" w:eastAsia="宋体"/>
          <w:lang w:eastAsia="zh-CN"/>
        </w:rPr>
        <w:fldChar w:fldCharType="end"/>
      </w:r>
    </w:p>
    <w:p w14:paraId="791F2995">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_Toc13463 </w:instrText>
      </w:r>
      <w:r>
        <w:rPr>
          <w:rFonts w:hint="eastAsia" w:eastAsia="宋体"/>
          <w:lang w:eastAsia="zh-CN"/>
        </w:rPr>
        <w:fldChar w:fldCharType="separate"/>
      </w:r>
      <w:r>
        <w:rPr>
          <w:rFonts w:ascii="黑体" w:hAnsi="黑体" w:eastAsia="黑体"/>
        </w:rPr>
        <w:t>（二）经济评价的假设前提</w:t>
      </w:r>
      <w:r>
        <w:tab/>
      </w:r>
      <w:r>
        <w:fldChar w:fldCharType="begin"/>
      </w:r>
      <w:r>
        <w:instrText xml:space="preserve"> PAGEREF _Toc13463 \h </w:instrText>
      </w:r>
      <w:r>
        <w:fldChar w:fldCharType="separate"/>
      </w:r>
      <w:r>
        <w:t>11</w:t>
      </w:r>
      <w:r>
        <w:fldChar w:fldCharType="end"/>
      </w:r>
      <w:r>
        <w:rPr>
          <w:rFonts w:hint="eastAsia" w:eastAsia="宋体"/>
          <w:lang w:eastAsia="zh-CN"/>
        </w:rPr>
        <w:fldChar w:fldCharType="end"/>
      </w:r>
    </w:p>
    <w:p w14:paraId="34D51703">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_Toc22243 </w:instrText>
      </w:r>
      <w:r>
        <w:rPr>
          <w:rFonts w:hint="eastAsia" w:eastAsia="宋体"/>
          <w:lang w:eastAsia="zh-CN"/>
        </w:rPr>
        <w:fldChar w:fldCharType="separate"/>
      </w:r>
      <w:r>
        <w:rPr>
          <w:rFonts w:ascii="黑体" w:hAnsi="黑体" w:eastAsia="黑体"/>
        </w:rPr>
        <w:t>（三）投资预算</w:t>
      </w:r>
      <w:r>
        <w:tab/>
      </w:r>
      <w:r>
        <w:fldChar w:fldCharType="begin"/>
      </w:r>
      <w:r>
        <w:instrText xml:space="preserve"> PAGEREF _Toc22243 \h </w:instrText>
      </w:r>
      <w:r>
        <w:fldChar w:fldCharType="separate"/>
      </w:r>
      <w:r>
        <w:t>11</w:t>
      </w:r>
      <w:r>
        <w:fldChar w:fldCharType="end"/>
      </w:r>
      <w:r>
        <w:rPr>
          <w:rFonts w:hint="eastAsia" w:eastAsia="宋体"/>
          <w:lang w:eastAsia="zh-CN"/>
        </w:rPr>
        <w:fldChar w:fldCharType="end"/>
      </w:r>
    </w:p>
    <w:p w14:paraId="6F2CD3C7">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_Toc10841 </w:instrText>
      </w:r>
      <w:r>
        <w:rPr>
          <w:rFonts w:hint="eastAsia" w:eastAsia="宋体"/>
          <w:lang w:eastAsia="zh-CN"/>
        </w:rPr>
        <w:fldChar w:fldCharType="separate"/>
      </w:r>
      <w:r>
        <w:rPr>
          <w:rFonts w:ascii="黑体" w:hAnsi="黑体" w:eastAsia="黑体"/>
        </w:rPr>
        <w:t>（四）营业收入预测</w:t>
      </w:r>
      <w:r>
        <w:tab/>
      </w:r>
      <w:r>
        <w:fldChar w:fldCharType="begin"/>
      </w:r>
      <w:r>
        <w:instrText xml:space="preserve"> PAGEREF _Toc10841 \h </w:instrText>
      </w:r>
      <w:r>
        <w:fldChar w:fldCharType="separate"/>
      </w:r>
      <w:r>
        <w:t>12</w:t>
      </w:r>
      <w:r>
        <w:fldChar w:fldCharType="end"/>
      </w:r>
      <w:r>
        <w:rPr>
          <w:rFonts w:hint="eastAsia" w:eastAsia="宋体"/>
          <w:lang w:eastAsia="zh-CN"/>
        </w:rPr>
        <w:fldChar w:fldCharType="end"/>
      </w:r>
    </w:p>
    <w:p w14:paraId="33DB509C">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_Toc29528 </w:instrText>
      </w:r>
      <w:r>
        <w:rPr>
          <w:rFonts w:hint="eastAsia" w:eastAsia="宋体"/>
          <w:lang w:eastAsia="zh-CN"/>
        </w:rPr>
        <w:fldChar w:fldCharType="separate"/>
      </w:r>
      <w:r>
        <w:rPr>
          <w:rFonts w:ascii="黑体" w:hAnsi="黑体" w:eastAsia="黑体"/>
        </w:rPr>
        <w:t>（五）损益与回收分析</w:t>
      </w:r>
      <w:r>
        <w:tab/>
      </w:r>
      <w:r>
        <w:fldChar w:fldCharType="begin"/>
      </w:r>
      <w:r>
        <w:instrText xml:space="preserve"> PAGEREF _Toc29528 \h </w:instrText>
      </w:r>
      <w:r>
        <w:fldChar w:fldCharType="separate"/>
      </w:r>
      <w:r>
        <w:t>12</w:t>
      </w:r>
      <w:r>
        <w:fldChar w:fldCharType="end"/>
      </w:r>
      <w:r>
        <w:rPr>
          <w:rFonts w:hint="eastAsia" w:eastAsia="宋体"/>
          <w:lang w:eastAsia="zh-CN"/>
        </w:rPr>
        <w:fldChar w:fldCharType="end"/>
      </w:r>
    </w:p>
    <w:p w14:paraId="562302DA">
      <w:pPr>
        <w:pStyle w:val="27"/>
        <w:tabs>
          <w:tab w:val="right" w:leader="dot" w:pos="8306"/>
        </w:tabs>
      </w:pPr>
      <w:r>
        <w:rPr>
          <w:rFonts w:hint="eastAsia" w:eastAsia="宋体"/>
          <w:lang w:eastAsia="zh-CN"/>
        </w:rPr>
        <w:fldChar w:fldCharType="begin"/>
      </w:r>
      <w:r>
        <w:rPr>
          <w:rFonts w:hint="eastAsia" w:eastAsia="宋体"/>
          <w:lang w:eastAsia="zh-CN"/>
        </w:rPr>
        <w:instrText xml:space="preserve"> HYPERLINK \l _Toc14054 </w:instrText>
      </w:r>
      <w:r>
        <w:rPr>
          <w:rFonts w:hint="eastAsia" w:eastAsia="宋体"/>
          <w:lang w:eastAsia="zh-CN"/>
        </w:rPr>
        <w:fldChar w:fldCharType="separate"/>
      </w:r>
      <w:r>
        <w:rPr>
          <w:rFonts w:ascii="黑体" w:hAnsi="黑体" w:eastAsia="黑体"/>
        </w:rPr>
        <w:t>八、风险与控制</w:t>
      </w:r>
      <w:r>
        <w:tab/>
      </w:r>
      <w:r>
        <w:fldChar w:fldCharType="begin"/>
      </w:r>
      <w:r>
        <w:instrText xml:space="preserve"> PAGEREF _Toc14054 \h </w:instrText>
      </w:r>
      <w:r>
        <w:fldChar w:fldCharType="separate"/>
      </w:r>
      <w:r>
        <w:t>12</w:t>
      </w:r>
      <w:r>
        <w:fldChar w:fldCharType="end"/>
      </w:r>
      <w:r>
        <w:rPr>
          <w:rFonts w:hint="eastAsia" w:eastAsia="宋体"/>
          <w:lang w:eastAsia="zh-CN"/>
        </w:rPr>
        <w:fldChar w:fldCharType="end"/>
      </w:r>
    </w:p>
    <w:p w14:paraId="094BED8C">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_Toc5777 </w:instrText>
      </w:r>
      <w:r>
        <w:rPr>
          <w:rFonts w:hint="eastAsia" w:eastAsia="宋体"/>
          <w:lang w:eastAsia="zh-CN"/>
        </w:rPr>
        <w:fldChar w:fldCharType="separate"/>
      </w:r>
      <w:r>
        <w:rPr>
          <w:rFonts w:ascii="黑体" w:hAnsi="黑体" w:eastAsia="黑体"/>
        </w:rPr>
        <w:t>（一）政策与合规风险</w:t>
      </w:r>
      <w:r>
        <w:tab/>
      </w:r>
      <w:r>
        <w:fldChar w:fldCharType="begin"/>
      </w:r>
      <w:r>
        <w:instrText xml:space="preserve"> PAGEREF _Toc5777 \h </w:instrText>
      </w:r>
      <w:r>
        <w:fldChar w:fldCharType="separate"/>
      </w:r>
      <w:r>
        <w:t>12</w:t>
      </w:r>
      <w:r>
        <w:fldChar w:fldCharType="end"/>
      </w:r>
      <w:r>
        <w:rPr>
          <w:rFonts w:hint="eastAsia" w:eastAsia="宋体"/>
          <w:lang w:eastAsia="zh-CN"/>
        </w:rPr>
        <w:fldChar w:fldCharType="end"/>
      </w:r>
    </w:p>
    <w:p w14:paraId="5250F606">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_Toc9918 </w:instrText>
      </w:r>
      <w:r>
        <w:rPr>
          <w:rFonts w:hint="eastAsia" w:eastAsia="宋体"/>
          <w:lang w:eastAsia="zh-CN"/>
        </w:rPr>
        <w:fldChar w:fldCharType="separate"/>
      </w:r>
      <w:r>
        <w:rPr>
          <w:rFonts w:ascii="黑体" w:hAnsi="黑体" w:eastAsia="黑体"/>
        </w:rPr>
        <w:t>（二）技术与安全风险</w:t>
      </w:r>
      <w:r>
        <w:tab/>
      </w:r>
      <w:r>
        <w:fldChar w:fldCharType="begin"/>
      </w:r>
      <w:r>
        <w:instrText xml:space="preserve"> PAGEREF _Toc9918 \h </w:instrText>
      </w:r>
      <w:r>
        <w:fldChar w:fldCharType="separate"/>
      </w:r>
      <w:r>
        <w:t>12</w:t>
      </w:r>
      <w:r>
        <w:fldChar w:fldCharType="end"/>
      </w:r>
      <w:r>
        <w:rPr>
          <w:rFonts w:hint="eastAsia" w:eastAsia="宋体"/>
          <w:lang w:eastAsia="zh-CN"/>
        </w:rPr>
        <w:fldChar w:fldCharType="end"/>
      </w:r>
    </w:p>
    <w:p w14:paraId="1DEFF20A">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_Toc7708 </w:instrText>
      </w:r>
      <w:r>
        <w:rPr>
          <w:rFonts w:hint="eastAsia" w:eastAsia="宋体"/>
          <w:lang w:eastAsia="zh-CN"/>
        </w:rPr>
        <w:fldChar w:fldCharType="separate"/>
      </w:r>
      <w:r>
        <w:rPr>
          <w:rFonts w:ascii="黑体" w:hAnsi="黑体" w:eastAsia="黑体"/>
        </w:rPr>
        <w:t>（三）市场竞争风险</w:t>
      </w:r>
      <w:r>
        <w:tab/>
      </w:r>
      <w:r>
        <w:fldChar w:fldCharType="begin"/>
      </w:r>
      <w:r>
        <w:instrText xml:space="preserve"> PAGEREF _Toc7708 \h </w:instrText>
      </w:r>
      <w:r>
        <w:fldChar w:fldCharType="separate"/>
      </w:r>
      <w:r>
        <w:t>12</w:t>
      </w:r>
      <w:r>
        <w:fldChar w:fldCharType="end"/>
      </w:r>
      <w:r>
        <w:rPr>
          <w:rFonts w:hint="eastAsia" w:eastAsia="宋体"/>
          <w:lang w:eastAsia="zh-CN"/>
        </w:rPr>
        <w:fldChar w:fldCharType="end"/>
      </w:r>
    </w:p>
    <w:p w14:paraId="73A62087">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_Toc24579 </w:instrText>
      </w:r>
      <w:r>
        <w:rPr>
          <w:rFonts w:hint="eastAsia" w:eastAsia="宋体"/>
          <w:lang w:eastAsia="zh-CN"/>
        </w:rPr>
        <w:fldChar w:fldCharType="separate"/>
      </w:r>
      <w:r>
        <w:rPr>
          <w:rFonts w:ascii="黑体" w:hAnsi="黑体" w:eastAsia="黑体"/>
        </w:rPr>
        <w:t>（四）资金与管理风险</w:t>
      </w:r>
      <w:r>
        <w:tab/>
      </w:r>
      <w:r>
        <w:fldChar w:fldCharType="begin"/>
      </w:r>
      <w:r>
        <w:instrText xml:space="preserve"> PAGEREF _Toc24579 \h </w:instrText>
      </w:r>
      <w:r>
        <w:fldChar w:fldCharType="separate"/>
      </w:r>
      <w:r>
        <w:t>13</w:t>
      </w:r>
      <w:r>
        <w:fldChar w:fldCharType="end"/>
      </w:r>
      <w:r>
        <w:rPr>
          <w:rFonts w:hint="eastAsia" w:eastAsia="宋体"/>
          <w:lang w:eastAsia="zh-CN"/>
        </w:rPr>
        <w:fldChar w:fldCharType="end"/>
      </w:r>
    </w:p>
    <w:p w14:paraId="53BB6705">
      <w:pPr>
        <w:pStyle w:val="30"/>
        <w:tabs>
          <w:tab w:val="right" w:leader="dot" w:pos="8306"/>
        </w:tabs>
      </w:pPr>
      <w:r>
        <w:rPr>
          <w:rFonts w:hint="eastAsia" w:eastAsia="宋体"/>
          <w:lang w:eastAsia="zh-CN"/>
        </w:rPr>
        <w:fldChar w:fldCharType="begin"/>
      </w:r>
      <w:r>
        <w:rPr>
          <w:rFonts w:hint="eastAsia" w:eastAsia="宋体"/>
          <w:lang w:eastAsia="zh-CN"/>
        </w:rPr>
        <w:instrText xml:space="preserve"> HYPERLINK \l _Toc820 </w:instrText>
      </w:r>
      <w:r>
        <w:rPr>
          <w:rFonts w:hint="eastAsia" w:eastAsia="宋体"/>
          <w:lang w:eastAsia="zh-CN"/>
        </w:rPr>
        <w:fldChar w:fldCharType="separate"/>
      </w:r>
      <w:r>
        <w:rPr>
          <w:rFonts w:ascii="黑体" w:hAnsi="黑体" w:eastAsia="黑体"/>
        </w:rPr>
        <w:t>（五）风险控制措施</w:t>
      </w:r>
      <w:r>
        <w:tab/>
      </w:r>
      <w:r>
        <w:fldChar w:fldCharType="begin"/>
      </w:r>
      <w:r>
        <w:instrText xml:space="preserve"> PAGEREF _Toc820 \h </w:instrText>
      </w:r>
      <w:r>
        <w:fldChar w:fldCharType="separate"/>
      </w:r>
      <w:r>
        <w:t>13</w:t>
      </w:r>
      <w:r>
        <w:fldChar w:fldCharType="end"/>
      </w:r>
      <w:r>
        <w:rPr>
          <w:rFonts w:hint="eastAsia" w:eastAsia="宋体"/>
          <w:lang w:eastAsia="zh-CN"/>
        </w:rPr>
        <w:fldChar w:fldCharType="end"/>
      </w:r>
    </w:p>
    <w:p w14:paraId="00B875D5">
      <w:pPr>
        <w:ind w:firstLine="0"/>
        <w:jc w:val="left"/>
        <w:rPr>
          <w:rFonts w:hint="eastAsia" w:eastAsia="宋体"/>
          <w:lang w:eastAsia="zh-CN"/>
        </w:rPr>
      </w:pPr>
      <w:r>
        <w:rPr>
          <w:rFonts w:hint="eastAsia" w:eastAsia="宋体"/>
          <w:lang w:eastAsia="zh-CN"/>
        </w:rPr>
        <w:fldChar w:fldCharType="end"/>
      </w:r>
      <w:bookmarkStart w:id="65" w:name="_GoBack"/>
      <w:bookmarkEnd w:id="65"/>
    </w:p>
    <w:p w14:paraId="37FBED7C">
      <w:r>
        <w:br w:type="page"/>
      </w:r>
    </w:p>
    <w:p w14:paraId="4536D190">
      <w:pPr>
        <w:pStyle w:val="3"/>
        <w:spacing w:before="0" w:after="0" w:line="240" w:lineRule="auto"/>
        <w:ind w:firstLine="0"/>
      </w:pPr>
      <w:bookmarkStart w:id="0" w:name="_Toc15653"/>
      <w:r>
        <w:rPr>
          <w:rFonts w:ascii="黑体" w:hAnsi="黑体" w:eastAsia="黑体"/>
          <w:b/>
          <w:sz w:val="24"/>
        </w:rPr>
        <w:t>一、计划书编制背景与目的</w:t>
      </w:r>
      <w:bookmarkEnd w:id="0"/>
    </w:p>
    <w:p w14:paraId="50DCA03A">
      <w:pPr>
        <w:pStyle w:val="4"/>
        <w:spacing w:before="0" w:after="0" w:line="240" w:lineRule="auto"/>
        <w:ind w:firstLine="0"/>
      </w:pPr>
      <w:bookmarkStart w:id="1" w:name="_Toc12831"/>
      <w:r>
        <w:rPr>
          <w:rFonts w:ascii="黑体" w:hAnsi="黑体" w:eastAsia="黑体"/>
          <w:b/>
          <w:sz w:val="24"/>
        </w:rPr>
        <w:t>（一）低空物流产业发展背景</w:t>
      </w:r>
      <w:bookmarkEnd w:id="1"/>
    </w:p>
    <w:p w14:paraId="7412F7D6">
      <w:pPr>
        <w:spacing w:before="0" w:after="0" w:line="240" w:lineRule="auto"/>
        <w:ind w:firstLine="480"/>
        <w:jc w:val="both"/>
      </w:pPr>
      <w:r>
        <w:rPr>
          <w:rFonts w:ascii="宋体" w:hAnsi="宋体" w:eastAsia="宋体"/>
          <w:b w:val="0"/>
          <w:sz w:val="24"/>
        </w:rPr>
        <w:t>近年来，随着电子商务持续下沉、城乡流通体系不断完善以及应急保障体系建设逐步加强，社会对高效率、小批量、快响应物流服务的需求显著增加。传统地面运输虽然在大宗货运和常规城市配送中已形成较成熟体系，但在山区、海岛、边远乡村以及灾害中断场景下，仍然存在交通条件受限、运输路径冗长、时效无法保障和单位成本过高等问题。这些问题决定了未来物流体系必须向更加多层次、更加灵活和更加智能的方向演进。</w:t>
      </w:r>
    </w:p>
    <w:p w14:paraId="5CC869D4">
      <w:pPr>
        <w:spacing w:before="0" w:after="0" w:line="240" w:lineRule="auto"/>
        <w:ind w:firstLine="480"/>
        <w:jc w:val="both"/>
      </w:pPr>
      <w:r>
        <w:rPr>
          <w:rFonts w:ascii="宋体" w:hAnsi="宋体" w:eastAsia="宋体"/>
          <w:b w:val="0"/>
          <w:sz w:val="24"/>
        </w:rPr>
        <w:t>与传统地面物流相比，低空物流能够跨越道路限制，压缩中间周转环节，在特定区域内形成点对点、站到站、急件优先的运输通道；与传统航空货运相比，低空物流具有起降灵活、部署周期短、基础设施要求低的特点；与普通多旋翼运载无人机相比，固定翼垂直起降无人机又兼具长航程、较高速和较强场景适应性的优势。因此，在当前低空经济进入应用验证期的背景下，发展固定翼垂直起降无人机物流运输项目具有较强的现实基础与产业意义。</w:t>
      </w:r>
    </w:p>
    <w:p w14:paraId="4799F005">
      <w:pPr>
        <w:pStyle w:val="4"/>
        <w:spacing w:before="0" w:after="0" w:line="240" w:lineRule="auto"/>
        <w:ind w:firstLine="0"/>
      </w:pPr>
      <w:bookmarkStart w:id="2" w:name="_Toc230"/>
      <w:r>
        <w:rPr>
          <w:rFonts w:ascii="黑体" w:hAnsi="黑体" w:eastAsia="黑体"/>
          <w:b/>
          <w:sz w:val="24"/>
        </w:rPr>
        <w:t>（二）计划书编制目的</w:t>
      </w:r>
      <w:bookmarkEnd w:id="2"/>
    </w:p>
    <w:p w14:paraId="62D3B58C">
      <w:pPr>
        <w:spacing w:before="0" w:after="0" w:line="240" w:lineRule="auto"/>
        <w:ind w:firstLine="480"/>
        <w:jc w:val="both"/>
      </w:pPr>
      <w:r>
        <w:rPr>
          <w:rFonts w:ascii="宋体" w:hAnsi="宋体" w:eastAsia="宋体"/>
          <w:b w:val="0"/>
          <w:sz w:val="24"/>
        </w:rPr>
        <w:t>本计划书的编制，首先是为了系统梳理翼启全域项目的市场机会、技术方案、商业模式、财务逻辑与实施路径，使项目从概念描述转向完整、清晰且具有执行依据的创业方案。通过对项目定位、目标客户、运营模式和风险控制等方面进行系统论证，可以为项目后续的研发推进、资源整合、校地合作、赛事路演与社会对接提供统一的表达框架。</w:t>
      </w:r>
    </w:p>
    <w:p w14:paraId="24E0CEE5">
      <w:pPr>
        <w:spacing w:before="0" w:after="0" w:line="240" w:lineRule="auto"/>
        <w:ind w:firstLine="480"/>
        <w:jc w:val="both"/>
      </w:pPr>
      <w:r>
        <w:rPr>
          <w:rFonts w:ascii="宋体" w:hAnsi="宋体" w:eastAsia="宋体"/>
          <w:b w:val="0"/>
          <w:sz w:val="24"/>
        </w:rPr>
        <w:t>其次，本计划书也是项目参加创新创业赛事、接受学校评审、争取合作伙伴支持和开展外部沟通的重要基础文件。对于赛事评委而言，计划书不仅需要说明项目“做什么”，更需要论证项目“为什么能做”“凭什么能做成”；对于潜在合作方而言，计划书要清楚呈现项目的目标市场、核心能力、实施条件和收益逻辑。因此，本计划书兼具展示、论证和落地三重功能。</w:t>
      </w:r>
    </w:p>
    <w:p w14:paraId="1ABD02C4">
      <w:pPr>
        <w:pStyle w:val="4"/>
        <w:spacing w:before="0" w:after="0" w:line="240" w:lineRule="auto"/>
        <w:ind w:firstLine="0"/>
      </w:pPr>
      <w:bookmarkStart w:id="3" w:name="_Toc8735"/>
      <w:r>
        <w:rPr>
          <w:rFonts w:ascii="黑体" w:hAnsi="黑体" w:eastAsia="黑体"/>
          <w:b/>
          <w:sz w:val="24"/>
        </w:rPr>
        <w:t>（三）项目基本概况</w:t>
      </w:r>
      <w:bookmarkEnd w:id="3"/>
    </w:p>
    <w:p w14:paraId="7813D15D">
      <w:pPr>
        <w:spacing w:before="0" w:after="0" w:line="240" w:lineRule="auto"/>
        <w:ind w:firstLine="480"/>
        <w:jc w:val="both"/>
      </w:pPr>
      <w:r>
        <w:rPr>
          <w:rFonts w:ascii="宋体" w:hAnsi="宋体" w:eastAsia="宋体"/>
          <w:b w:val="0"/>
          <w:sz w:val="24"/>
        </w:rPr>
        <w:t>1．项目名称：翼启全域固定翼垂直起降无人机物流运输项目。</w:t>
      </w:r>
    </w:p>
    <w:p w14:paraId="3D45B699">
      <w:pPr>
        <w:spacing w:before="0" w:after="0" w:line="240" w:lineRule="auto"/>
        <w:ind w:firstLine="480"/>
        <w:jc w:val="both"/>
      </w:pPr>
      <w:r>
        <w:rPr>
          <w:rFonts w:ascii="宋体" w:hAnsi="宋体" w:eastAsia="宋体"/>
          <w:b w:val="0"/>
          <w:sz w:val="24"/>
        </w:rPr>
        <w:t>2．项目定位：面向偏远运输、应急投送与低空物流网络建设的智慧运输平台，重点服务乡村、山区、海岛及高时效配送场景。</w:t>
      </w:r>
    </w:p>
    <w:p w14:paraId="1B769ACE">
      <w:pPr>
        <w:spacing w:before="0" w:after="0" w:line="240" w:lineRule="auto"/>
        <w:ind w:firstLine="480"/>
        <w:jc w:val="both"/>
      </w:pPr>
      <w:r>
        <w:rPr>
          <w:rFonts w:ascii="宋体" w:hAnsi="宋体" w:eastAsia="宋体"/>
          <w:b w:val="0"/>
          <w:sz w:val="24"/>
        </w:rPr>
        <w:t>3．项目宗旨：以技术创新提升物流效率，以场景落地创造社会价值，以平台化建设服务低空经济发展。</w:t>
      </w:r>
    </w:p>
    <w:p w14:paraId="7CC815D1">
      <w:pPr>
        <w:spacing w:before="0" w:after="0" w:line="240" w:lineRule="auto"/>
        <w:ind w:firstLine="480"/>
        <w:jc w:val="both"/>
      </w:pPr>
      <w:r>
        <w:rPr>
          <w:rFonts w:ascii="宋体" w:hAnsi="宋体" w:eastAsia="宋体"/>
          <w:b w:val="0"/>
          <w:sz w:val="24"/>
        </w:rPr>
        <w:t>4．近期目标：完成原型机设计、飞控联调、样机试飞与典型场景验证，构建第一批示范性运输方案。</w:t>
      </w:r>
    </w:p>
    <w:p w14:paraId="69F59109">
      <w:pPr>
        <w:spacing w:before="0" w:after="0" w:line="240" w:lineRule="auto"/>
        <w:ind w:firstLine="480"/>
        <w:jc w:val="both"/>
      </w:pPr>
      <w:r>
        <w:rPr>
          <w:rFonts w:ascii="宋体" w:hAnsi="宋体" w:eastAsia="宋体"/>
          <w:b w:val="0"/>
          <w:sz w:val="24"/>
        </w:rPr>
        <w:t>5．中长期目标：建立“整机装备 + 航线运营 + 平台服务”相结合的商业体系，形成可复制、可推广、可持续的低空物流运力网络。</w:t>
      </w:r>
    </w:p>
    <w:p w14:paraId="6A8417EE">
      <w:pPr>
        <w:pStyle w:val="3"/>
        <w:spacing w:before="0" w:after="0" w:line="240" w:lineRule="auto"/>
        <w:ind w:firstLine="0"/>
      </w:pPr>
      <w:bookmarkStart w:id="4" w:name="_Toc4538"/>
      <w:r>
        <w:rPr>
          <w:rFonts w:ascii="黑体" w:hAnsi="黑体" w:eastAsia="黑体"/>
          <w:b/>
          <w:sz w:val="24"/>
        </w:rPr>
        <w:t>二、市场定位</w:t>
      </w:r>
      <w:bookmarkEnd w:id="4"/>
    </w:p>
    <w:p w14:paraId="24C374DE">
      <w:pPr>
        <w:pStyle w:val="4"/>
        <w:spacing w:before="0" w:after="0" w:line="240" w:lineRule="auto"/>
        <w:ind w:firstLine="0"/>
      </w:pPr>
      <w:bookmarkStart w:id="5" w:name="_Toc5448"/>
      <w:r>
        <w:rPr>
          <w:rFonts w:ascii="黑体" w:hAnsi="黑体" w:eastAsia="黑体"/>
          <w:b/>
          <w:sz w:val="24"/>
        </w:rPr>
        <w:t>（一）低空物流市场的宏观分析</w:t>
      </w:r>
      <w:bookmarkEnd w:id="5"/>
    </w:p>
    <w:p w14:paraId="12698992">
      <w:pPr>
        <w:spacing w:before="0" w:after="0" w:line="240" w:lineRule="auto"/>
        <w:ind w:firstLine="480"/>
        <w:jc w:val="both"/>
      </w:pPr>
      <w:r>
        <w:rPr>
          <w:rFonts w:ascii="宋体" w:hAnsi="宋体" w:eastAsia="宋体"/>
          <w:b w:val="0"/>
          <w:sz w:val="24"/>
        </w:rPr>
        <w:t>从宏观环境看，低空物流的发展同时受政策环境、市场需求、技术进步和社会治理方式变化四个维度驱动。一方面，低空经济正成为交通、制造、数字产业和区域经济融合发展的新增长点，地方政府对低空应用场景的关注度持续提升；另一方面，乡村振兴、区域协同发展、应急体系现代化和公共服务均等化，也在推动物流基础能力从传统地面网络向“地面 + 低空”融合网络延伸。</w:t>
      </w:r>
    </w:p>
    <w:p w14:paraId="1A5D3C79">
      <w:pPr>
        <w:spacing w:before="0" w:after="0" w:line="240" w:lineRule="auto"/>
        <w:ind w:firstLine="480"/>
        <w:jc w:val="both"/>
      </w:pPr>
      <w:r>
        <w:rPr>
          <w:rFonts w:ascii="宋体" w:hAnsi="宋体" w:eastAsia="宋体"/>
          <w:b w:val="0"/>
          <w:sz w:val="24"/>
        </w:rPr>
        <w:t>从需求结构看，当前最迫切的不是全行业、全品类的大规模替代，而是对高价值、高时效、难到达、强保障物流任务进行补位。偏远地区农产品上行和民生物资下行、灾后紧急救援、海岛和边远站点补给、医院样本和紧急药品运输等场景具有刚需、痛点明显、替代方案有限等特点，这为固定翼垂直起降无人机项目创造了较好的切入窗口。</w:t>
      </w:r>
    </w:p>
    <w:p w14:paraId="229DBDD1">
      <w:pPr>
        <w:pStyle w:val="4"/>
        <w:spacing w:before="0" w:after="0" w:line="240" w:lineRule="auto"/>
        <w:ind w:firstLine="0"/>
      </w:pPr>
      <w:bookmarkStart w:id="6" w:name="_Toc28399"/>
      <w:r>
        <w:rPr>
          <w:rFonts w:ascii="黑体" w:hAnsi="黑体" w:eastAsia="黑体"/>
          <w:b/>
          <w:sz w:val="24"/>
        </w:rPr>
        <w:t>（二）目标市场的微观定位</w:t>
      </w:r>
      <w:bookmarkEnd w:id="6"/>
    </w:p>
    <w:p w14:paraId="73B07E48">
      <w:pPr>
        <w:pStyle w:val="5"/>
        <w:spacing w:before="0" w:after="0" w:line="240" w:lineRule="auto"/>
        <w:ind w:firstLine="0"/>
      </w:pPr>
      <w:bookmarkStart w:id="7" w:name="_Toc25275"/>
      <w:r>
        <w:rPr>
          <w:rFonts w:ascii="黑体" w:hAnsi="黑体" w:eastAsia="黑体"/>
          <w:b/>
          <w:sz w:val="24"/>
        </w:rPr>
        <w:t>1．产品定位</w:t>
      </w:r>
      <w:bookmarkEnd w:id="7"/>
    </w:p>
    <w:p w14:paraId="034A3329">
      <w:pPr>
        <w:spacing w:before="0" w:after="0" w:line="240" w:lineRule="auto"/>
        <w:ind w:firstLine="480"/>
        <w:jc w:val="both"/>
      </w:pPr>
      <w:r>
        <w:rPr>
          <w:rFonts w:ascii="宋体" w:hAnsi="宋体" w:eastAsia="宋体"/>
          <w:b w:val="0"/>
          <w:sz w:val="24"/>
        </w:rPr>
        <w:t>本项目的产品定位不是一般意义上的展示型无人机，而是能够直接面向真实运输任务的低空物流平台。平台既包括固定翼垂直起降飞行器本体，也包括货运模块、任务调度、飞行监控、航线规划、运维保障和数据分析等配套能力，强调可执行、可运营和可扩展。</w:t>
      </w:r>
    </w:p>
    <w:p w14:paraId="51437140">
      <w:pPr>
        <w:pStyle w:val="5"/>
        <w:spacing w:before="0" w:after="0" w:line="240" w:lineRule="auto"/>
        <w:ind w:firstLine="0"/>
      </w:pPr>
      <w:bookmarkStart w:id="8" w:name="_Toc15363"/>
      <w:r>
        <w:rPr>
          <w:rFonts w:ascii="黑体" w:hAnsi="黑体" w:eastAsia="黑体"/>
          <w:b/>
          <w:sz w:val="24"/>
        </w:rPr>
        <w:t>2．客户定位</w:t>
      </w:r>
      <w:bookmarkEnd w:id="8"/>
    </w:p>
    <w:p w14:paraId="75297050">
      <w:pPr>
        <w:spacing w:before="0" w:after="0" w:line="240" w:lineRule="auto"/>
        <w:ind w:firstLine="480"/>
        <w:jc w:val="both"/>
      </w:pPr>
      <w:r>
        <w:rPr>
          <w:rFonts w:ascii="宋体" w:hAnsi="宋体" w:eastAsia="宋体"/>
          <w:b w:val="0"/>
          <w:sz w:val="24"/>
        </w:rPr>
        <w:t>项目的目标客户主要包括四类。第一类是政府和公共服务客户，如应急管理部门、乡镇政府、公共服务平台等，其核心需求是提升紧急运输能力和基层保障效率；第二类是农业与县域流通客户，如农业合作社、农产品基地、县域商贸中心等，其核心需求是提高农产品上行效率和缩短中间链路；第三类是医疗与专业配送客户，如医院、血站、疾控机构和检验机构等，其核心需求是对样本、药品和应急器械进行稳定、快速、定点运输；第四类是企业物流客户，如电商平台、园区企业和物流运营商等，其核心需求是提升复杂场景履约能力，降低部分高时效任务的综合成本。</w:t>
      </w:r>
    </w:p>
    <w:p w14:paraId="5C8C258B">
      <w:pPr>
        <w:pStyle w:val="5"/>
        <w:spacing w:before="0" w:after="0" w:line="240" w:lineRule="auto"/>
        <w:ind w:firstLine="0"/>
      </w:pPr>
      <w:bookmarkStart w:id="9" w:name="_Toc11604"/>
      <w:r>
        <w:rPr>
          <w:rFonts w:ascii="黑体" w:hAnsi="黑体" w:eastAsia="黑体"/>
          <w:b/>
          <w:sz w:val="24"/>
        </w:rPr>
        <w:t>3．区域定位</w:t>
      </w:r>
      <w:bookmarkEnd w:id="9"/>
    </w:p>
    <w:p w14:paraId="066063CF">
      <w:pPr>
        <w:spacing w:before="0" w:after="0" w:line="240" w:lineRule="auto"/>
        <w:ind w:firstLine="480"/>
        <w:jc w:val="both"/>
      </w:pPr>
      <w:r>
        <w:rPr>
          <w:rFonts w:ascii="宋体" w:hAnsi="宋体" w:eastAsia="宋体"/>
          <w:b w:val="0"/>
          <w:sz w:val="24"/>
        </w:rPr>
        <w:t>从区域角度看，项目优先布局地形复杂、道路条件不足、物流时效敏感度高且具有示范效应的区域，包括山地丘陵县域、岛屿及跨水域补给点、应急保障重点区域以及医疗高时效配送需求较高的城市节点。通过先进入典型区域，再复制推广至相似区域，可以有效降低前期市场进入成本并提高示范成功率。</w:t>
      </w:r>
    </w:p>
    <w:p w14:paraId="09C398F8">
      <w:pPr>
        <w:pStyle w:val="4"/>
        <w:spacing w:before="0" w:after="0" w:line="240" w:lineRule="auto"/>
        <w:ind w:firstLine="0"/>
      </w:pPr>
      <w:bookmarkStart w:id="10" w:name="_Toc20567"/>
      <w:r>
        <w:rPr>
          <w:rFonts w:ascii="黑体" w:hAnsi="黑体" w:eastAsia="黑体"/>
          <w:b/>
          <w:sz w:val="24"/>
        </w:rPr>
        <w:t>（三）项目业务场景定位</w:t>
      </w:r>
      <w:bookmarkEnd w:id="10"/>
    </w:p>
    <w:p w14:paraId="3C588501">
      <w:pPr>
        <w:pStyle w:val="5"/>
        <w:spacing w:before="0" w:after="0" w:line="240" w:lineRule="auto"/>
        <w:ind w:firstLine="0"/>
      </w:pPr>
      <w:bookmarkStart w:id="11" w:name="_Toc30492"/>
      <w:r>
        <w:rPr>
          <w:rFonts w:ascii="黑体" w:hAnsi="黑体" w:eastAsia="黑体"/>
          <w:b/>
          <w:sz w:val="24"/>
        </w:rPr>
        <w:t>1．乡村振兴与农产品上行</w:t>
      </w:r>
      <w:bookmarkEnd w:id="11"/>
    </w:p>
    <w:p w14:paraId="5ADA25A9">
      <w:pPr>
        <w:spacing w:before="0" w:after="0" w:line="240" w:lineRule="auto"/>
        <w:ind w:firstLine="480"/>
        <w:jc w:val="both"/>
      </w:pPr>
      <w:r>
        <w:rPr>
          <w:rFonts w:ascii="宋体" w:hAnsi="宋体" w:eastAsia="宋体"/>
          <w:b w:val="0"/>
          <w:sz w:val="24"/>
        </w:rPr>
        <w:t>在乡村物流场景中，固定翼垂直起降无人机可承担农产品样品运输、特色农产品快速外运、紧急生产资料投送和偏远乡村民生物资补给等任务。相较于地面运输，其优势在于能够减少弯绕路线、缩短运输时间并降低生鲜品类损耗，尤其适合山地和分散村落地区。</w:t>
      </w:r>
    </w:p>
    <w:p w14:paraId="1D1E11D9">
      <w:pPr>
        <w:pStyle w:val="5"/>
        <w:spacing w:before="0" w:after="0" w:line="240" w:lineRule="auto"/>
        <w:ind w:firstLine="0"/>
      </w:pPr>
      <w:bookmarkStart w:id="12" w:name="_Toc13648"/>
      <w:r>
        <w:rPr>
          <w:rFonts w:ascii="黑体" w:hAnsi="黑体" w:eastAsia="黑体"/>
          <w:b/>
          <w:sz w:val="24"/>
        </w:rPr>
        <w:t>2．应急物资运输</w:t>
      </w:r>
      <w:bookmarkEnd w:id="12"/>
    </w:p>
    <w:p w14:paraId="4AA5E755">
      <w:pPr>
        <w:spacing w:before="0" w:after="0" w:line="240" w:lineRule="auto"/>
        <w:ind w:firstLine="480"/>
        <w:jc w:val="both"/>
      </w:pPr>
      <w:r>
        <w:rPr>
          <w:rFonts w:ascii="宋体" w:hAnsi="宋体" w:eastAsia="宋体"/>
          <w:b w:val="0"/>
          <w:sz w:val="24"/>
        </w:rPr>
        <w:t>在自然灾害、公共卫生事件、突发交通中断等场景下，项目可承担药品、食品、通信设备和应急工具的定点投送任务。由于无需依赖传统跑道，项目可在临时开阔地完成起降，从而在地面交通失效的情况下快速建立空中物资通道。</w:t>
      </w:r>
    </w:p>
    <w:p w14:paraId="64654ADC">
      <w:pPr>
        <w:pStyle w:val="5"/>
        <w:spacing w:before="0" w:after="0" w:line="240" w:lineRule="auto"/>
        <w:ind w:firstLine="0"/>
      </w:pPr>
      <w:bookmarkStart w:id="13" w:name="_Toc32097"/>
      <w:r>
        <w:rPr>
          <w:rFonts w:ascii="黑体" w:hAnsi="黑体" w:eastAsia="黑体"/>
          <w:b/>
          <w:sz w:val="24"/>
        </w:rPr>
        <w:t>3．海岛及偏远站点补给</w:t>
      </w:r>
      <w:bookmarkEnd w:id="13"/>
    </w:p>
    <w:p w14:paraId="5CFDA2C9">
      <w:pPr>
        <w:spacing w:before="0" w:after="0" w:line="240" w:lineRule="auto"/>
        <w:ind w:firstLine="480"/>
        <w:jc w:val="both"/>
      </w:pPr>
      <w:r>
        <w:rPr>
          <w:rFonts w:ascii="宋体" w:hAnsi="宋体" w:eastAsia="宋体"/>
          <w:b w:val="0"/>
          <w:sz w:val="24"/>
        </w:rPr>
        <w:t>对于海岛、景区站点、边远值守点等区域，传统补给通常存在班次少、成本高、受天气影响大等问题。项目可通过定时巡航或按需起飞的方式，建立常态化补给能力，使这些区域具备更稳定的物流保障条件。</w:t>
      </w:r>
    </w:p>
    <w:p w14:paraId="4C60A55C">
      <w:pPr>
        <w:pStyle w:val="5"/>
        <w:spacing w:before="0" w:after="0" w:line="240" w:lineRule="auto"/>
        <w:ind w:firstLine="0"/>
      </w:pPr>
      <w:bookmarkStart w:id="14" w:name="_Toc3733"/>
      <w:r>
        <w:rPr>
          <w:rFonts w:ascii="黑体" w:hAnsi="黑体" w:eastAsia="黑体"/>
          <w:b/>
          <w:sz w:val="24"/>
        </w:rPr>
        <w:t>4．城市高时效配送</w:t>
      </w:r>
      <w:bookmarkEnd w:id="14"/>
    </w:p>
    <w:p w14:paraId="1C62638E">
      <w:pPr>
        <w:spacing w:before="0" w:after="0" w:line="240" w:lineRule="auto"/>
        <w:ind w:firstLine="480"/>
        <w:jc w:val="both"/>
      </w:pPr>
      <w:r>
        <w:rPr>
          <w:rFonts w:ascii="宋体" w:hAnsi="宋体" w:eastAsia="宋体"/>
          <w:b w:val="0"/>
          <w:sz w:val="24"/>
        </w:rPr>
        <w:t>在城市应用中，本项目不以普遍替代传统快递为目标，而是优先聚焦医疗样本、紧急文件、高价值小件和特殊时限件的点对点运输。通过绕开地面拥堵、压缩任务路径和减少中间环节，项目可在高时效细分市场形成差异化服务能力。</w:t>
      </w:r>
    </w:p>
    <w:p w14:paraId="53E0AFAC">
      <w:pPr>
        <w:pStyle w:val="3"/>
        <w:spacing w:before="0" w:after="0" w:line="240" w:lineRule="auto"/>
        <w:ind w:firstLine="0"/>
      </w:pPr>
      <w:bookmarkStart w:id="15" w:name="_Toc2675"/>
      <w:r>
        <w:rPr>
          <w:rFonts w:ascii="黑体" w:hAnsi="黑体" w:eastAsia="黑体"/>
          <w:b/>
          <w:sz w:val="24"/>
        </w:rPr>
        <w:t>三、需求及竞争对手分析</w:t>
      </w:r>
      <w:bookmarkEnd w:id="15"/>
    </w:p>
    <w:p w14:paraId="7C74A015">
      <w:pPr>
        <w:pStyle w:val="4"/>
        <w:spacing w:before="0" w:after="0" w:line="240" w:lineRule="auto"/>
        <w:ind w:firstLine="0"/>
      </w:pPr>
      <w:bookmarkStart w:id="16" w:name="_Toc1370"/>
      <w:r>
        <w:rPr>
          <w:rFonts w:ascii="黑体" w:hAnsi="黑体" w:eastAsia="黑体"/>
          <w:b/>
          <w:sz w:val="24"/>
        </w:rPr>
        <w:t>（一）市场需求特征分析</w:t>
      </w:r>
      <w:bookmarkEnd w:id="16"/>
    </w:p>
    <w:p w14:paraId="0D823A96">
      <w:pPr>
        <w:pStyle w:val="5"/>
        <w:spacing w:before="0" w:after="0" w:line="240" w:lineRule="auto"/>
        <w:ind w:firstLine="0"/>
      </w:pPr>
      <w:bookmarkStart w:id="17" w:name="_Toc4690"/>
      <w:r>
        <w:rPr>
          <w:rFonts w:ascii="黑体" w:hAnsi="黑体" w:eastAsia="黑体"/>
          <w:b/>
          <w:sz w:val="24"/>
        </w:rPr>
        <w:t>1．服务对象具有明显的场景特殊性</w:t>
      </w:r>
      <w:bookmarkEnd w:id="17"/>
    </w:p>
    <w:p w14:paraId="261BC0D2">
      <w:pPr>
        <w:spacing w:before="0" w:after="0" w:line="240" w:lineRule="auto"/>
        <w:ind w:firstLine="480"/>
        <w:jc w:val="both"/>
      </w:pPr>
      <w:r>
        <w:rPr>
          <w:rFonts w:ascii="宋体" w:hAnsi="宋体" w:eastAsia="宋体"/>
          <w:b w:val="0"/>
          <w:sz w:val="24"/>
        </w:rPr>
        <w:t>本项目所面向的客户并非传统大宗物流客户，而是存在运输难点和时间约束的特殊任务客户。这类客户往往更关注运输的稳定性、可到达性和任务响应速度，而不是单纯追求最低价格，因此更适合新型低空物流能力率先落地。</w:t>
      </w:r>
    </w:p>
    <w:p w14:paraId="1C89D641">
      <w:pPr>
        <w:pStyle w:val="5"/>
        <w:spacing w:before="0" w:after="0" w:line="240" w:lineRule="auto"/>
        <w:ind w:firstLine="0"/>
      </w:pPr>
      <w:bookmarkStart w:id="18" w:name="_Toc22223"/>
      <w:r>
        <w:rPr>
          <w:rFonts w:ascii="黑体" w:hAnsi="黑体" w:eastAsia="黑体"/>
          <w:b/>
          <w:sz w:val="24"/>
        </w:rPr>
        <w:t>2．业务需求具有强时效性和高可靠性要求</w:t>
      </w:r>
      <w:bookmarkEnd w:id="18"/>
    </w:p>
    <w:p w14:paraId="714FC99A">
      <w:pPr>
        <w:spacing w:before="0" w:after="0" w:line="240" w:lineRule="auto"/>
        <w:ind w:firstLine="480"/>
        <w:jc w:val="both"/>
      </w:pPr>
      <w:r>
        <w:rPr>
          <w:rFonts w:ascii="宋体" w:hAnsi="宋体" w:eastAsia="宋体"/>
          <w:b w:val="0"/>
          <w:sz w:val="24"/>
        </w:rPr>
        <w:t>无论是农产品样品快运、应急药品投送还是医疗标本运输，这类业务均要求较高的运输时效和履约稳定性。客户通常不能接受任务过程中频繁延误或中断，因此项目在飞控、冗余、安全和运营标准化方面必须具备较高要求，这也意味着项目一旦完成验证，将具备较强的客户粘性。</w:t>
      </w:r>
    </w:p>
    <w:p w14:paraId="3065E5C2">
      <w:pPr>
        <w:pStyle w:val="5"/>
        <w:spacing w:before="0" w:after="0" w:line="240" w:lineRule="auto"/>
        <w:ind w:firstLine="0"/>
      </w:pPr>
      <w:bookmarkStart w:id="19" w:name="_Toc23001"/>
      <w:r>
        <w:rPr>
          <w:rFonts w:ascii="黑体" w:hAnsi="黑体" w:eastAsia="黑体"/>
          <w:b/>
          <w:sz w:val="24"/>
        </w:rPr>
        <w:t>3．现有替代方案无法充分满足需求</w:t>
      </w:r>
      <w:bookmarkEnd w:id="19"/>
    </w:p>
    <w:p w14:paraId="1DB808ED">
      <w:pPr>
        <w:spacing w:before="0" w:after="0" w:line="240" w:lineRule="auto"/>
        <w:ind w:firstLine="480"/>
        <w:jc w:val="both"/>
      </w:pPr>
      <w:r>
        <w:rPr>
          <w:rFonts w:ascii="宋体" w:hAnsi="宋体" w:eastAsia="宋体"/>
          <w:b w:val="0"/>
          <w:sz w:val="24"/>
        </w:rPr>
        <w:t>传统地面物流依赖道路条件，遇到山区弯绕、道路中断和跨水域运输时效率显著下降；普通多旋翼运载无人机虽然部署灵活，但航程和载荷限制较明显，难以支撑中远距离持续运输任务；有人直升机虽然覆盖范围广，但运营成本高、调用难度大，不适合作为常态化低空物流工具。这意味着固定翼垂直起降无人机具备明显的市场补位空间。</w:t>
      </w:r>
    </w:p>
    <w:p w14:paraId="42A6F939">
      <w:pPr>
        <w:pStyle w:val="4"/>
        <w:spacing w:before="0" w:after="0" w:line="240" w:lineRule="auto"/>
        <w:ind w:firstLine="0"/>
      </w:pPr>
      <w:bookmarkStart w:id="20" w:name="_Toc26409"/>
      <w:r>
        <w:rPr>
          <w:rFonts w:ascii="黑体" w:hAnsi="黑体" w:eastAsia="黑体"/>
          <w:b/>
          <w:sz w:val="24"/>
        </w:rPr>
        <w:t>（二）项目业务量预测</w:t>
      </w:r>
      <w:bookmarkEnd w:id="20"/>
    </w:p>
    <w:p w14:paraId="5DC01601">
      <w:pPr>
        <w:spacing w:before="0" w:after="0" w:line="240" w:lineRule="auto"/>
        <w:ind w:firstLine="480"/>
        <w:jc w:val="both"/>
      </w:pPr>
      <w:r>
        <w:rPr>
          <w:rFonts w:ascii="宋体" w:hAnsi="宋体" w:eastAsia="宋体"/>
          <w:b w:val="0"/>
          <w:sz w:val="24"/>
        </w:rPr>
        <w:t>按照项目分阶段推进思路，前期以典型场景试点为主，中期形成区域化航线网络，后期逐步实现平台复制。结合项目定位和示范推进逻辑，对主要业务量做如下预测：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0956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A67A60C">
            <w:pPr>
              <w:spacing w:before="0" w:after="0" w:line="240" w:lineRule="auto"/>
              <w:jc w:val="center"/>
            </w:pPr>
            <w:r>
              <w:rPr>
                <w:rFonts w:ascii="黑体" w:hAnsi="黑体" w:eastAsia="黑体"/>
                <w:b w:val="0"/>
                <w:sz w:val="22"/>
              </w:rPr>
              <w:t>阶段</w:t>
            </w:r>
          </w:p>
        </w:tc>
        <w:tc>
          <w:tcPr>
            <w:tcW w:w="1661" w:type="dxa"/>
            <w:vAlign w:val="center"/>
          </w:tcPr>
          <w:p w14:paraId="0D825FC4">
            <w:pPr>
              <w:spacing w:before="0" w:after="0" w:line="240" w:lineRule="auto"/>
              <w:jc w:val="center"/>
            </w:pPr>
            <w:r>
              <w:rPr>
                <w:rFonts w:ascii="黑体" w:hAnsi="黑体" w:eastAsia="黑体"/>
                <w:b w:val="0"/>
                <w:sz w:val="22"/>
              </w:rPr>
              <w:t>重点区域/场景</w:t>
            </w:r>
          </w:p>
        </w:tc>
        <w:tc>
          <w:tcPr>
            <w:tcW w:w="1661" w:type="dxa"/>
            <w:vAlign w:val="center"/>
          </w:tcPr>
          <w:p w14:paraId="212EBC5B">
            <w:pPr>
              <w:spacing w:before="0" w:after="0" w:line="240" w:lineRule="auto"/>
              <w:jc w:val="center"/>
            </w:pPr>
            <w:r>
              <w:rPr>
                <w:rFonts w:ascii="黑体" w:hAnsi="黑体" w:eastAsia="黑体"/>
                <w:b w:val="0"/>
                <w:sz w:val="22"/>
              </w:rPr>
              <w:t>预计航线数量</w:t>
            </w:r>
          </w:p>
        </w:tc>
        <w:tc>
          <w:tcPr>
            <w:tcW w:w="1661" w:type="dxa"/>
            <w:vAlign w:val="center"/>
          </w:tcPr>
          <w:p w14:paraId="10ECB8C1">
            <w:pPr>
              <w:spacing w:before="0" w:after="0" w:line="240" w:lineRule="auto"/>
              <w:jc w:val="center"/>
            </w:pPr>
            <w:r>
              <w:rPr>
                <w:rFonts w:ascii="黑体" w:hAnsi="黑体" w:eastAsia="黑体"/>
                <w:b w:val="0"/>
                <w:sz w:val="22"/>
              </w:rPr>
              <w:t>年任务架次</w:t>
            </w:r>
          </w:p>
        </w:tc>
        <w:tc>
          <w:tcPr>
            <w:tcW w:w="1661" w:type="dxa"/>
            <w:vAlign w:val="center"/>
          </w:tcPr>
          <w:p w14:paraId="7EC495F9">
            <w:pPr>
              <w:spacing w:before="0" w:after="0" w:line="240" w:lineRule="auto"/>
              <w:jc w:val="center"/>
            </w:pPr>
            <w:r>
              <w:rPr>
                <w:rFonts w:ascii="黑体" w:hAnsi="黑体" w:eastAsia="黑体"/>
                <w:b w:val="0"/>
                <w:sz w:val="22"/>
              </w:rPr>
              <w:t>业务特征</w:t>
            </w:r>
          </w:p>
        </w:tc>
      </w:tr>
      <w:tr w14:paraId="28EA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375AD2B">
            <w:pPr>
              <w:spacing w:before="0" w:after="0" w:line="240" w:lineRule="auto"/>
              <w:jc w:val="center"/>
            </w:pPr>
            <w:r>
              <w:rPr>
                <w:rFonts w:ascii="宋体" w:hAnsi="宋体" w:eastAsia="宋体"/>
                <w:b w:val="0"/>
                <w:sz w:val="21"/>
              </w:rPr>
              <w:t>第1年</w:t>
            </w:r>
          </w:p>
        </w:tc>
        <w:tc>
          <w:tcPr>
            <w:tcW w:w="1661" w:type="dxa"/>
            <w:vAlign w:val="center"/>
          </w:tcPr>
          <w:p w14:paraId="264B0920">
            <w:pPr>
              <w:spacing w:before="0" w:after="0" w:line="240" w:lineRule="auto"/>
              <w:jc w:val="center"/>
            </w:pPr>
            <w:r>
              <w:rPr>
                <w:rFonts w:ascii="宋体" w:hAnsi="宋体" w:eastAsia="宋体"/>
                <w:b w:val="0"/>
                <w:sz w:val="21"/>
              </w:rPr>
              <w:t>样机验证与示范场景准备</w:t>
            </w:r>
          </w:p>
        </w:tc>
        <w:tc>
          <w:tcPr>
            <w:tcW w:w="1661" w:type="dxa"/>
            <w:vAlign w:val="center"/>
          </w:tcPr>
          <w:p w14:paraId="4F01DCE0">
            <w:pPr>
              <w:spacing w:before="0" w:after="0" w:line="240" w:lineRule="auto"/>
              <w:jc w:val="center"/>
            </w:pPr>
            <w:r>
              <w:rPr>
                <w:rFonts w:ascii="宋体" w:hAnsi="宋体" w:eastAsia="宋体"/>
                <w:b w:val="0"/>
                <w:sz w:val="21"/>
              </w:rPr>
              <w:t>1-2条</w:t>
            </w:r>
          </w:p>
        </w:tc>
        <w:tc>
          <w:tcPr>
            <w:tcW w:w="1661" w:type="dxa"/>
            <w:vAlign w:val="center"/>
          </w:tcPr>
          <w:p w14:paraId="64A15FF9">
            <w:pPr>
              <w:spacing w:before="0" w:after="0" w:line="240" w:lineRule="auto"/>
              <w:jc w:val="center"/>
            </w:pPr>
            <w:r>
              <w:rPr>
                <w:rFonts w:ascii="宋体" w:hAnsi="宋体" w:eastAsia="宋体"/>
                <w:b w:val="0"/>
                <w:sz w:val="21"/>
              </w:rPr>
              <w:t>100-150架次</w:t>
            </w:r>
          </w:p>
        </w:tc>
        <w:tc>
          <w:tcPr>
            <w:tcW w:w="1661" w:type="dxa"/>
            <w:vAlign w:val="center"/>
          </w:tcPr>
          <w:p w14:paraId="1024E1B0">
            <w:pPr>
              <w:spacing w:before="0" w:after="0" w:line="240" w:lineRule="auto"/>
              <w:jc w:val="center"/>
            </w:pPr>
            <w:r>
              <w:rPr>
                <w:rFonts w:ascii="宋体" w:hAnsi="宋体" w:eastAsia="宋体"/>
                <w:b w:val="0"/>
                <w:sz w:val="21"/>
              </w:rPr>
              <w:t>以测试、验证、合作对接为主</w:t>
            </w:r>
          </w:p>
        </w:tc>
      </w:tr>
      <w:tr w14:paraId="6932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159F1FB">
            <w:pPr>
              <w:spacing w:before="0" w:after="0" w:line="240" w:lineRule="auto"/>
              <w:jc w:val="center"/>
            </w:pPr>
            <w:r>
              <w:rPr>
                <w:rFonts w:ascii="宋体" w:hAnsi="宋体" w:eastAsia="宋体"/>
                <w:b w:val="0"/>
                <w:sz w:val="21"/>
              </w:rPr>
              <w:t>第2年</w:t>
            </w:r>
          </w:p>
        </w:tc>
        <w:tc>
          <w:tcPr>
            <w:tcW w:w="1661" w:type="dxa"/>
            <w:vAlign w:val="center"/>
          </w:tcPr>
          <w:p w14:paraId="2398EF9F">
            <w:pPr>
              <w:spacing w:before="0" w:after="0" w:line="240" w:lineRule="auto"/>
              <w:jc w:val="center"/>
            </w:pPr>
            <w:r>
              <w:rPr>
                <w:rFonts w:ascii="宋体" w:hAnsi="宋体" w:eastAsia="宋体"/>
                <w:b w:val="0"/>
                <w:sz w:val="21"/>
              </w:rPr>
              <w:t>县域乡村和应急试点场景</w:t>
            </w:r>
          </w:p>
        </w:tc>
        <w:tc>
          <w:tcPr>
            <w:tcW w:w="1661" w:type="dxa"/>
            <w:vAlign w:val="center"/>
          </w:tcPr>
          <w:p w14:paraId="4FE58ED9">
            <w:pPr>
              <w:spacing w:before="0" w:after="0" w:line="240" w:lineRule="auto"/>
              <w:jc w:val="center"/>
            </w:pPr>
            <w:r>
              <w:rPr>
                <w:rFonts w:ascii="宋体" w:hAnsi="宋体" w:eastAsia="宋体"/>
                <w:b w:val="0"/>
                <w:sz w:val="21"/>
              </w:rPr>
              <w:t>3-5条</w:t>
            </w:r>
          </w:p>
        </w:tc>
        <w:tc>
          <w:tcPr>
            <w:tcW w:w="1661" w:type="dxa"/>
            <w:vAlign w:val="center"/>
          </w:tcPr>
          <w:p w14:paraId="618D77F9">
            <w:pPr>
              <w:spacing w:before="0" w:after="0" w:line="240" w:lineRule="auto"/>
              <w:jc w:val="center"/>
            </w:pPr>
            <w:r>
              <w:rPr>
                <w:rFonts w:ascii="宋体" w:hAnsi="宋体" w:eastAsia="宋体"/>
                <w:b w:val="0"/>
                <w:sz w:val="21"/>
              </w:rPr>
              <w:t>500-800架次</w:t>
            </w:r>
          </w:p>
        </w:tc>
        <w:tc>
          <w:tcPr>
            <w:tcW w:w="1661" w:type="dxa"/>
            <w:vAlign w:val="center"/>
          </w:tcPr>
          <w:p w14:paraId="70C44415">
            <w:pPr>
              <w:spacing w:before="0" w:after="0" w:line="240" w:lineRule="auto"/>
              <w:jc w:val="center"/>
            </w:pPr>
            <w:r>
              <w:rPr>
                <w:rFonts w:ascii="宋体" w:hAnsi="宋体" w:eastAsia="宋体"/>
                <w:b w:val="0"/>
                <w:sz w:val="21"/>
              </w:rPr>
              <w:t>初步形成运营收入</w:t>
            </w:r>
          </w:p>
        </w:tc>
      </w:tr>
      <w:tr w14:paraId="7212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197ECA56">
            <w:pPr>
              <w:spacing w:before="0" w:after="0" w:line="240" w:lineRule="auto"/>
              <w:jc w:val="center"/>
            </w:pPr>
            <w:r>
              <w:rPr>
                <w:rFonts w:ascii="宋体" w:hAnsi="宋体" w:eastAsia="宋体"/>
                <w:b w:val="0"/>
                <w:sz w:val="21"/>
              </w:rPr>
              <w:t>第3年</w:t>
            </w:r>
          </w:p>
        </w:tc>
        <w:tc>
          <w:tcPr>
            <w:tcW w:w="1661" w:type="dxa"/>
            <w:vAlign w:val="center"/>
          </w:tcPr>
          <w:p w14:paraId="7DFB6FD1">
            <w:pPr>
              <w:spacing w:before="0" w:after="0" w:line="240" w:lineRule="auto"/>
              <w:jc w:val="center"/>
            </w:pPr>
            <w:r>
              <w:rPr>
                <w:rFonts w:ascii="宋体" w:hAnsi="宋体" w:eastAsia="宋体"/>
                <w:b w:val="0"/>
                <w:sz w:val="21"/>
              </w:rPr>
              <w:t>区域化多场景联动</w:t>
            </w:r>
          </w:p>
        </w:tc>
        <w:tc>
          <w:tcPr>
            <w:tcW w:w="1661" w:type="dxa"/>
            <w:vAlign w:val="center"/>
          </w:tcPr>
          <w:p w14:paraId="1F14BCA5">
            <w:pPr>
              <w:spacing w:before="0" w:after="0" w:line="240" w:lineRule="auto"/>
              <w:jc w:val="center"/>
            </w:pPr>
            <w:r>
              <w:rPr>
                <w:rFonts w:ascii="宋体" w:hAnsi="宋体" w:eastAsia="宋体"/>
                <w:b w:val="0"/>
                <w:sz w:val="21"/>
              </w:rPr>
              <w:t>8-12条</w:t>
            </w:r>
          </w:p>
        </w:tc>
        <w:tc>
          <w:tcPr>
            <w:tcW w:w="1661" w:type="dxa"/>
            <w:vAlign w:val="center"/>
          </w:tcPr>
          <w:p w14:paraId="08885ED6">
            <w:pPr>
              <w:spacing w:before="0" w:after="0" w:line="240" w:lineRule="auto"/>
              <w:jc w:val="center"/>
            </w:pPr>
            <w:r>
              <w:rPr>
                <w:rFonts w:ascii="宋体" w:hAnsi="宋体" w:eastAsia="宋体"/>
                <w:b w:val="0"/>
                <w:sz w:val="21"/>
              </w:rPr>
              <w:t>2000-3000架次</w:t>
            </w:r>
          </w:p>
        </w:tc>
        <w:tc>
          <w:tcPr>
            <w:tcW w:w="1661" w:type="dxa"/>
            <w:vAlign w:val="center"/>
          </w:tcPr>
          <w:p w14:paraId="5892F044">
            <w:pPr>
              <w:spacing w:before="0" w:after="0" w:line="240" w:lineRule="auto"/>
              <w:jc w:val="center"/>
            </w:pPr>
            <w:r>
              <w:rPr>
                <w:rFonts w:ascii="宋体" w:hAnsi="宋体" w:eastAsia="宋体"/>
                <w:b w:val="0"/>
                <w:sz w:val="21"/>
              </w:rPr>
              <w:t>航线复制和客户结构扩展</w:t>
            </w:r>
          </w:p>
        </w:tc>
      </w:tr>
      <w:tr w14:paraId="2320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8ABFC7D">
            <w:pPr>
              <w:spacing w:before="0" w:after="0" w:line="240" w:lineRule="auto"/>
              <w:jc w:val="center"/>
            </w:pPr>
            <w:r>
              <w:rPr>
                <w:rFonts w:ascii="宋体" w:hAnsi="宋体" w:eastAsia="宋体"/>
                <w:b w:val="0"/>
                <w:sz w:val="21"/>
              </w:rPr>
              <w:t>第4-5年</w:t>
            </w:r>
          </w:p>
        </w:tc>
        <w:tc>
          <w:tcPr>
            <w:tcW w:w="1661" w:type="dxa"/>
            <w:vAlign w:val="center"/>
          </w:tcPr>
          <w:p w14:paraId="3248C658">
            <w:pPr>
              <w:spacing w:before="0" w:after="0" w:line="240" w:lineRule="auto"/>
              <w:jc w:val="center"/>
            </w:pPr>
            <w:r>
              <w:rPr>
                <w:rFonts w:ascii="宋体" w:hAnsi="宋体" w:eastAsia="宋体"/>
                <w:b w:val="0"/>
                <w:sz w:val="21"/>
              </w:rPr>
              <w:t>多区域网络化布局</w:t>
            </w:r>
          </w:p>
        </w:tc>
        <w:tc>
          <w:tcPr>
            <w:tcW w:w="1661" w:type="dxa"/>
            <w:vAlign w:val="center"/>
          </w:tcPr>
          <w:p w14:paraId="0E98E583">
            <w:pPr>
              <w:spacing w:before="0" w:after="0" w:line="240" w:lineRule="auto"/>
              <w:jc w:val="center"/>
            </w:pPr>
            <w:r>
              <w:rPr>
                <w:rFonts w:ascii="宋体" w:hAnsi="宋体" w:eastAsia="宋体"/>
                <w:b w:val="0"/>
                <w:sz w:val="21"/>
              </w:rPr>
              <w:t>20条以上</w:t>
            </w:r>
          </w:p>
        </w:tc>
        <w:tc>
          <w:tcPr>
            <w:tcW w:w="1661" w:type="dxa"/>
            <w:vAlign w:val="center"/>
          </w:tcPr>
          <w:p w14:paraId="69971ECE">
            <w:pPr>
              <w:spacing w:before="0" w:after="0" w:line="240" w:lineRule="auto"/>
              <w:jc w:val="center"/>
            </w:pPr>
            <w:r>
              <w:rPr>
                <w:rFonts w:ascii="宋体" w:hAnsi="宋体" w:eastAsia="宋体"/>
                <w:b w:val="0"/>
                <w:sz w:val="21"/>
              </w:rPr>
              <w:t>5000架次以上</w:t>
            </w:r>
          </w:p>
        </w:tc>
        <w:tc>
          <w:tcPr>
            <w:tcW w:w="1661" w:type="dxa"/>
            <w:vAlign w:val="center"/>
          </w:tcPr>
          <w:p w14:paraId="3BF489EE">
            <w:pPr>
              <w:spacing w:before="0" w:after="0" w:line="240" w:lineRule="auto"/>
              <w:jc w:val="center"/>
            </w:pPr>
            <w:r>
              <w:rPr>
                <w:rFonts w:ascii="宋体" w:hAnsi="宋体" w:eastAsia="宋体"/>
                <w:b w:val="0"/>
                <w:sz w:val="21"/>
              </w:rPr>
              <w:t>运营、设备与平台收入同步增长</w:t>
            </w:r>
          </w:p>
        </w:tc>
      </w:tr>
    </w:tbl>
    <w:p w14:paraId="68450151"/>
    <w:p w14:paraId="7A912811">
      <w:pPr>
        <w:pStyle w:val="4"/>
        <w:spacing w:before="0" w:after="0" w:line="240" w:lineRule="auto"/>
        <w:ind w:firstLine="0"/>
      </w:pPr>
      <w:bookmarkStart w:id="21" w:name="_Toc9250"/>
      <w:r>
        <w:rPr>
          <w:rFonts w:ascii="黑体" w:hAnsi="黑体" w:eastAsia="黑体"/>
          <w:b/>
          <w:sz w:val="24"/>
        </w:rPr>
        <w:t>（三）竞争对手分析</w:t>
      </w:r>
      <w:bookmarkEnd w:id="21"/>
    </w:p>
    <w:p w14:paraId="7EA8127E">
      <w:pPr>
        <w:pStyle w:val="5"/>
        <w:spacing w:before="0" w:after="0" w:line="240" w:lineRule="auto"/>
        <w:ind w:firstLine="0"/>
      </w:pPr>
      <w:bookmarkStart w:id="22" w:name="_Toc1510"/>
      <w:r>
        <w:rPr>
          <w:rFonts w:ascii="黑体" w:hAnsi="黑体" w:eastAsia="黑体"/>
          <w:b/>
          <w:sz w:val="24"/>
        </w:rPr>
        <w:t>1．与传统地面物流企业相比</w:t>
      </w:r>
      <w:bookmarkEnd w:id="22"/>
    </w:p>
    <w:p w14:paraId="78C956D4">
      <w:pPr>
        <w:spacing w:before="0" w:after="0" w:line="240" w:lineRule="auto"/>
        <w:ind w:firstLine="480"/>
        <w:jc w:val="both"/>
      </w:pPr>
      <w:r>
        <w:rPr>
          <w:rFonts w:ascii="宋体" w:hAnsi="宋体" w:eastAsia="宋体"/>
          <w:b w:val="0"/>
          <w:sz w:val="24"/>
        </w:rPr>
        <w:t>传统物流企业在主干线路和成熟末端网络方面具有规模优势和组织优势，但在偏远地区、复杂地形和极端条件场景中，其履约效率受道路条件限制较大。翼启全域并不直接与传统物流网络全面竞争，而是选择其难以高效覆盖的任务场景进行切入，通过补位方式形成合作空间和差异化优势。</w:t>
      </w:r>
    </w:p>
    <w:p w14:paraId="567F2201">
      <w:pPr>
        <w:pStyle w:val="5"/>
        <w:spacing w:before="0" w:after="0" w:line="240" w:lineRule="auto"/>
        <w:ind w:firstLine="0"/>
      </w:pPr>
      <w:bookmarkStart w:id="23" w:name="_Toc64"/>
      <w:r>
        <w:rPr>
          <w:rFonts w:ascii="黑体" w:hAnsi="黑体" w:eastAsia="黑体"/>
          <w:b/>
          <w:sz w:val="24"/>
        </w:rPr>
        <w:t>2．与普通多旋翼运载无人机相比</w:t>
      </w:r>
      <w:bookmarkEnd w:id="23"/>
    </w:p>
    <w:p w14:paraId="1C83926E">
      <w:pPr>
        <w:spacing w:before="0" w:after="0" w:line="240" w:lineRule="auto"/>
        <w:ind w:firstLine="480"/>
        <w:jc w:val="both"/>
      </w:pPr>
      <w:r>
        <w:rPr>
          <w:rFonts w:ascii="宋体" w:hAnsi="宋体" w:eastAsia="宋体"/>
          <w:b w:val="0"/>
          <w:sz w:val="24"/>
        </w:rPr>
        <w:t>多旋翼无人机部署灵活、操控成熟，适合短距离、低载荷和精细化作业，但在航程、续航和中远距离运输效率方面存在明显不足。固定翼垂直起降无人机在保持灵活部署优势的同时，具备更长航程和更高巡航效率，更适用于区域间和中远距低空物流任务。</w:t>
      </w:r>
    </w:p>
    <w:p w14:paraId="28D376F6">
      <w:pPr>
        <w:pStyle w:val="5"/>
        <w:spacing w:before="0" w:after="0" w:line="240" w:lineRule="auto"/>
        <w:ind w:firstLine="0"/>
      </w:pPr>
      <w:bookmarkStart w:id="24" w:name="_Toc13621"/>
      <w:r>
        <w:rPr>
          <w:rFonts w:ascii="黑体" w:hAnsi="黑体" w:eastAsia="黑体"/>
          <w:b/>
          <w:sz w:val="24"/>
        </w:rPr>
        <w:t>3．与大型行业装备企业相比</w:t>
      </w:r>
      <w:bookmarkEnd w:id="24"/>
    </w:p>
    <w:p w14:paraId="0DE3DBA0">
      <w:pPr>
        <w:spacing w:before="0" w:after="0" w:line="240" w:lineRule="auto"/>
        <w:ind w:firstLine="480"/>
        <w:jc w:val="both"/>
      </w:pPr>
      <w:r>
        <w:rPr>
          <w:rFonts w:ascii="宋体" w:hAnsi="宋体" w:eastAsia="宋体"/>
          <w:b w:val="0"/>
          <w:sz w:val="24"/>
        </w:rPr>
        <w:t>大型无人机制造企业和综合物流企业在资金、渠道和产业资源上具备明显优势，但往往更加重视标准化、大规模和成熟市场的应用布局。对于高校创新项目而言，重点不在于与其进行正面体量竞争，而在于以轻量、灵活和快速试点的方式切入细分场景，通过示范航线、定制化解决方案和区域深耕形成项目特色。</w:t>
      </w:r>
    </w:p>
    <w:p w14:paraId="33D6AB56">
      <w:pPr>
        <w:pStyle w:val="4"/>
        <w:spacing w:before="0" w:after="0" w:line="240" w:lineRule="auto"/>
        <w:ind w:firstLine="0"/>
      </w:pPr>
      <w:bookmarkStart w:id="25" w:name="_Toc24953"/>
      <w:r>
        <w:rPr>
          <w:rFonts w:ascii="黑体" w:hAnsi="黑体" w:eastAsia="黑体"/>
          <w:b/>
          <w:sz w:val="24"/>
        </w:rPr>
        <w:t>（四）项目核心竞争力</w:t>
      </w:r>
      <w:bookmarkEnd w:id="25"/>
    </w:p>
    <w:p w14:paraId="0C34922E">
      <w:pPr>
        <w:spacing w:before="0" w:after="0" w:line="240" w:lineRule="auto"/>
        <w:ind w:firstLine="480"/>
        <w:jc w:val="both"/>
      </w:pPr>
      <w:r>
        <w:rPr>
          <w:rFonts w:ascii="宋体" w:hAnsi="宋体" w:eastAsia="宋体"/>
          <w:b w:val="0"/>
          <w:sz w:val="24"/>
        </w:rPr>
        <w:t>综合比较后，本项目的核心竞争力主要体现在以下几个方面：第一，技术结构上兼具垂直起降与固定翼巡航优势，兼顾部署灵活性和巡航效率；第二，项目面向的目标市场痛点明确，进入路径清晰，具有较强的场景针对性；第三，项目强调从设备能力向运营能力延伸，具有平台化发展思路；第四，项目兼具赛事展示性和实际应用性，便于争取政府、高校和企业多方合作资源；第五，项目具有较强社会价值，可与乡村振兴、公共服务和应急体系建设形成良好衔接。</w:t>
      </w:r>
    </w:p>
    <w:p w14:paraId="5C3D4EA1">
      <w:pPr>
        <w:pStyle w:val="3"/>
        <w:spacing w:before="0" w:after="0" w:line="240" w:lineRule="auto"/>
        <w:ind w:firstLine="0"/>
      </w:pPr>
      <w:bookmarkStart w:id="26" w:name="_Toc5554"/>
      <w:r>
        <w:rPr>
          <w:rFonts w:ascii="黑体" w:hAnsi="黑体" w:eastAsia="黑体"/>
          <w:b/>
          <w:sz w:val="24"/>
        </w:rPr>
        <w:t>四、企业发展战略</w:t>
      </w:r>
      <w:bookmarkEnd w:id="26"/>
    </w:p>
    <w:p w14:paraId="18D6CFF1">
      <w:pPr>
        <w:pStyle w:val="4"/>
        <w:spacing w:before="0" w:after="0" w:line="240" w:lineRule="auto"/>
        <w:ind w:firstLine="0"/>
      </w:pPr>
      <w:bookmarkStart w:id="27" w:name="_Toc16041"/>
      <w:r>
        <w:rPr>
          <w:rFonts w:ascii="黑体" w:hAnsi="黑体" w:eastAsia="黑体"/>
          <w:b/>
          <w:sz w:val="24"/>
        </w:rPr>
        <w:t>（一）战略愿景与发展目标</w:t>
      </w:r>
      <w:bookmarkEnd w:id="27"/>
    </w:p>
    <w:p w14:paraId="307226C2">
      <w:pPr>
        <w:spacing w:before="0" w:after="0" w:line="240" w:lineRule="auto"/>
        <w:ind w:firstLine="480"/>
        <w:jc w:val="both"/>
      </w:pPr>
      <w:r>
        <w:rPr>
          <w:rFonts w:ascii="宋体" w:hAnsi="宋体" w:eastAsia="宋体"/>
          <w:b w:val="0"/>
          <w:sz w:val="24"/>
        </w:rPr>
        <w:t>翼启全域的总体战略愿景，是建设具备示范效应和复制能力的低空物流运输平台，使固定翼垂直起降无人机真正进入区域流通、公共服务和应急保障体系之中。在短期内，项目以原型机研发、试飞验证和典型场景落地为重点；在中期内，项目以示范航线复制、运营标准建设和客户结构扩展为重点；在长期内，项目以形成“整机装备 + 运营服务 + 平台输出”协同发展的低空物流生态为目标。</w:t>
      </w:r>
    </w:p>
    <w:p w14:paraId="5CFD9221">
      <w:pPr>
        <w:pStyle w:val="4"/>
        <w:spacing w:before="0" w:after="0" w:line="240" w:lineRule="auto"/>
        <w:ind w:firstLine="0"/>
      </w:pPr>
      <w:bookmarkStart w:id="28" w:name="_Toc24780"/>
      <w:r>
        <w:rPr>
          <w:rFonts w:ascii="黑体" w:hAnsi="黑体" w:eastAsia="黑体"/>
          <w:b/>
          <w:sz w:val="24"/>
        </w:rPr>
        <w:t>（二）战略重点</w:t>
      </w:r>
      <w:bookmarkEnd w:id="28"/>
    </w:p>
    <w:p w14:paraId="446D7D4D">
      <w:pPr>
        <w:pStyle w:val="5"/>
        <w:spacing w:before="0" w:after="0" w:line="240" w:lineRule="auto"/>
        <w:ind w:firstLine="0"/>
      </w:pPr>
      <w:bookmarkStart w:id="29" w:name="_Toc6525"/>
      <w:r>
        <w:rPr>
          <w:rFonts w:ascii="黑体" w:hAnsi="黑体" w:eastAsia="黑体"/>
          <w:b/>
          <w:sz w:val="24"/>
        </w:rPr>
        <w:t>1．坚持技术自主与系统集成并重</w:t>
      </w:r>
      <w:bookmarkEnd w:id="29"/>
    </w:p>
    <w:p w14:paraId="0B584F9A">
      <w:pPr>
        <w:spacing w:before="0" w:after="0" w:line="240" w:lineRule="auto"/>
        <w:ind w:firstLine="480"/>
        <w:jc w:val="both"/>
      </w:pPr>
      <w:r>
        <w:rPr>
          <w:rFonts w:ascii="宋体" w:hAnsi="宋体" w:eastAsia="宋体"/>
          <w:b w:val="0"/>
          <w:sz w:val="24"/>
        </w:rPr>
        <w:t>项目将围绕机体设计、飞控导航、动力系统、货舱模块和任务调度等核心能力持续优化，重点突破固定翼垂直起降过渡控制、复杂环境飞行稳定性和多场景任务适配等关键问题。通过持续研发投入和联合试验，不断提升平台成熟度和安全冗余水平。</w:t>
      </w:r>
    </w:p>
    <w:p w14:paraId="4EAB25F2">
      <w:pPr>
        <w:pStyle w:val="5"/>
        <w:spacing w:before="0" w:after="0" w:line="240" w:lineRule="auto"/>
        <w:ind w:firstLine="0"/>
      </w:pPr>
      <w:bookmarkStart w:id="30" w:name="_Toc28559"/>
      <w:r>
        <w:rPr>
          <w:rFonts w:ascii="黑体" w:hAnsi="黑体" w:eastAsia="黑体"/>
          <w:b/>
          <w:sz w:val="24"/>
        </w:rPr>
        <w:t>2．优先建设示范航线与样板场景</w:t>
      </w:r>
      <w:bookmarkEnd w:id="30"/>
    </w:p>
    <w:p w14:paraId="4FBBA5BD">
      <w:pPr>
        <w:spacing w:before="0" w:after="0" w:line="240" w:lineRule="auto"/>
        <w:ind w:firstLine="480"/>
        <w:jc w:val="both"/>
      </w:pPr>
      <w:r>
        <w:rPr>
          <w:rFonts w:ascii="宋体" w:hAnsi="宋体" w:eastAsia="宋体"/>
          <w:b w:val="0"/>
          <w:sz w:val="24"/>
        </w:rPr>
        <w:t>在市场拓展上，项目不追求一开始大范围铺开，而是以“一个场景做深、一条航线做稳、一个区域做透”为原则，优先布局示范效果强、合作意愿高、任务痛点突出的区域。通过形成看得见、跑得通、能复用的样板方案，逐步带动周边区域复制。</w:t>
      </w:r>
    </w:p>
    <w:p w14:paraId="5D082C8D">
      <w:pPr>
        <w:pStyle w:val="5"/>
        <w:spacing w:before="0" w:after="0" w:line="240" w:lineRule="auto"/>
        <w:ind w:firstLine="0"/>
      </w:pPr>
      <w:bookmarkStart w:id="31" w:name="_Toc5272"/>
      <w:r>
        <w:rPr>
          <w:rFonts w:ascii="黑体" w:hAnsi="黑体" w:eastAsia="黑体"/>
          <w:b/>
          <w:sz w:val="24"/>
        </w:rPr>
        <w:t>3．同步建立标准化运营体系</w:t>
      </w:r>
      <w:bookmarkEnd w:id="31"/>
    </w:p>
    <w:p w14:paraId="3A5132F8">
      <w:pPr>
        <w:spacing w:before="0" w:after="0" w:line="240" w:lineRule="auto"/>
        <w:ind w:firstLine="480"/>
        <w:jc w:val="both"/>
      </w:pPr>
      <w:r>
        <w:rPr>
          <w:rFonts w:ascii="宋体" w:hAnsi="宋体" w:eastAsia="宋体"/>
          <w:b w:val="0"/>
          <w:sz w:val="24"/>
        </w:rPr>
        <w:t>低空物流要从试飞走向运营，必须建立面向实际业务的标准化运行机制。因此项目将同步推进飞前检查、任务审批、装载规范、飞行监控、异常处置、运维复盘和客户签收等制度建设，使技术能力最终转化为可靠的服务能力。</w:t>
      </w:r>
    </w:p>
    <w:p w14:paraId="481C0923">
      <w:pPr>
        <w:pStyle w:val="5"/>
        <w:spacing w:before="0" w:after="0" w:line="240" w:lineRule="auto"/>
        <w:ind w:firstLine="0"/>
      </w:pPr>
      <w:bookmarkStart w:id="32" w:name="_Toc30899"/>
      <w:r>
        <w:rPr>
          <w:rFonts w:ascii="黑体" w:hAnsi="黑体" w:eastAsia="黑体"/>
          <w:b/>
          <w:sz w:val="24"/>
        </w:rPr>
        <w:t>4．构建合作生态与资源协同网络</w:t>
      </w:r>
      <w:bookmarkEnd w:id="32"/>
    </w:p>
    <w:p w14:paraId="50F77049">
      <w:pPr>
        <w:spacing w:before="0" w:after="0" w:line="240" w:lineRule="auto"/>
        <w:ind w:firstLine="480"/>
        <w:jc w:val="both"/>
      </w:pPr>
      <w:r>
        <w:rPr>
          <w:rFonts w:ascii="宋体" w:hAnsi="宋体" w:eastAsia="宋体"/>
          <w:b w:val="0"/>
          <w:sz w:val="24"/>
        </w:rPr>
        <w:t>项目的发展不能仅靠单一团队独立完成，还需要地方政府、行业单位、科研团队、供应链企业和金融资源的协同参与。项目计划通过赛事路演、试点合作、校地协同和产业对接等方式，逐步构建“研发—验证—应用—推广”贯通的合作网络。</w:t>
      </w:r>
    </w:p>
    <w:p w14:paraId="2D999550">
      <w:pPr>
        <w:pStyle w:val="4"/>
        <w:spacing w:before="0" w:after="0" w:line="240" w:lineRule="auto"/>
        <w:ind w:firstLine="0"/>
      </w:pPr>
      <w:bookmarkStart w:id="33" w:name="_Toc14315"/>
      <w:r>
        <w:rPr>
          <w:rFonts w:ascii="黑体" w:hAnsi="黑体" w:eastAsia="黑体"/>
          <w:b/>
          <w:sz w:val="24"/>
        </w:rPr>
        <w:t>（三）阶段性实施战略</w:t>
      </w:r>
      <w:bookmarkEnd w:id="3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F5B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6646146C">
            <w:pPr>
              <w:spacing w:before="0" w:after="0" w:line="240" w:lineRule="auto"/>
              <w:jc w:val="center"/>
            </w:pPr>
            <w:r>
              <w:rPr>
                <w:rFonts w:ascii="黑体" w:hAnsi="黑体" w:eastAsia="黑体"/>
                <w:b w:val="0"/>
                <w:sz w:val="22"/>
              </w:rPr>
              <w:t>阶段</w:t>
            </w:r>
          </w:p>
        </w:tc>
        <w:tc>
          <w:tcPr>
            <w:tcW w:w="2076" w:type="dxa"/>
            <w:vAlign w:val="center"/>
          </w:tcPr>
          <w:p w14:paraId="5FD1D81F">
            <w:pPr>
              <w:spacing w:before="0" w:after="0" w:line="240" w:lineRule="auto"/>
              <w:jc w:val="center"/>
            </w:pPr>
            <w:r>
              <w:rPr>
                <w:rFonts w:ascii="黑体" w:hAnsi="黑体" w:eastAsia="黑体"/>
                <w:b w:val="0"/>
                <w:sz w:val="22"/>
              </w:rPr>
              <w:t>时间安排</w:t>
            </w:r>
          </w:p>
        </w:tc>
        <w:tc>
          <w:tcPr>
            <w:tcW w:w="2076" w:type="dxa"/>
            <w:vAlign w:val="center"/>
          </w:tcPr>
          <w:p w14:paraId="142B4F57">
            <w:pPr>
              <w:spacing w:before="0" w:after="0" w:line="240" w:lineRule="auto"/>
              <w:jc w:val="center"/>
            </w:pPr>
            <w:r>
              <w:rPr>
                <w:rFonts w:ascii="黑体" w:hAnsi="黑体" w:eastAsia="黑体"/>
                <w:b w:val="0"/>
                <w:sz w:val="22"/>
              </w:rPr>
              <w:t>战略重点</w:t>
            </w:r>
          </w:p>
        </w:tc>
        <w:tc>
          <w:tcPr>
            <w:tcW w:w="2076" w:type="dxa"/>
            <w:vAlign w:val="center"/>
          </w:tcPr>
          <w:p w14:paraId="616C3F4F">
            <w:pPr>
              <w:spacing w:before="0" w:after="0" w:line="240" w:lineRule="auto"/>
              <w:jc w:val="center"/>
            </w:pPr>
            <w:r>
              <w:rPr>
                <w:rFonts w:ascii="黑体" w:hAnsi="黑体" w:eastAsia="黑体"/>
                <w:b w:val="0"/>
                <w:sz w:val="22"/>
              </w:rPr>
              <w:t>主要成果</w:t>
            </w:r>
          </w:p>
        </w:tc>
      </w:tr>
      <w:tr w14:paraId="1442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6BC94F09">
            <w:pPr>
              <w:spacing w:before="0" w:after="0" w:line="240" w:lineRule="auto"/>
              <w:jc w:val="center"/>
            </w:pPr>
            <w:r>
              <w:rPr>
                <w:rFonts w:ascii="宋体" w:hAnsi="宋体" w:eastAsia="宋体"/>
                <w:b w:val="0"/>
                <w:sz w:val="21"/>
              </w:rPr>
              <w:t>研发攻关期</w:t>
            </w:r>
          </w:p>
        </w:tc>
        <w:tc>
          <w:tcPr>
            <w:tcW w:w="2076" w:type="dxa"/>
            <w:vAlign w:val="center"/>
          </w:tcPr>
          <w:p w14:paraId="7BE511BD">
            <w:pPr>
              <w:spacing w:before="0" w:after="0" w:line="240" w:lineRule="auto"/>
              <w:jc w:val="center"/>
            </w:pPr>
            <w:r>
              <w:rPr>
                <w:rFonts w:ascii="宋体" w:hAnsi="宋体" w:eastAsia="宋体"/>
                <w:b w:val="0"/>
                <w:sz w:val="21"/>
              </w:rPr>
              <w:t>第1—6个月</w:t>
            </w:r>
          </w:p>
        </w:tc>
        <w:tc>
          <w:tcPr>
            <w:tcW w:w="2076" w:type="dxa"/>
            <w:vAlign w:val="center"/>
          </w:tcPr>
          <w:p w14:paraId="15161B0C">
            <w:pPr>
              <w:spacing w:before="0" w:after="0" w:line="240" w:lineRule="auto"/>
              <w:jc w:val="center"/>
            </w:pPr>
            <w:r>
              <w:rPr>
                <w:rFonts w:ascii="宋体" w:hAnsi="宋体" w:eastAsia="宋体"/>
                <w:b w:val="0"/>
                <w:sz w:val="21"/>
              </w:rPr>
              <w:t>完成样机设计、飞控联调和核心系统验证</w:t>
            </w:r>
          </w:p>
        </w:tc>
        <w:tc>
          <w:tcPr>
            <w:tcW w:w="2076" w:type="dxa"/>
            <w:vAlign w:val="center"/>
          </w:tcPr>
          <w:p w14:paraId="4B792BA3">
            <w:pPr>
              <w:spacing w:before="0" w:after="0" w:line="240" w:lineRule="auto"/>
              <w:jc w:val="center"/>
            </w:pPr>
            <w:r>
              <w:rPr>
                <w:rFonts w:ascii="宋体" w:hAnsi="宋体" w:eastAsia="宋体"/>
                <w:b w:val="0"/>
                <w:sz w:val="21"/>
              </w:rPr>
              <w:t>形成原型机与关键模块</w:t>
            </w:r>
          </w:p>
        </w:tc>
      </w:tr>
      <w:tr w14:paraId="51557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1BA52A1">
            <w:pPr>
              <w:spacing w:before="0" w:after="0" w:line="240" w:lineRule="auto"/>
              <w:jc w:val="center"/>
            </w:pPr>
            <w:r>
              <w:rPr>
                <w:rFonts w:ascii="宋体" w:hAnsi="宋体" w:eastAsia="宋体"/>
                <w:b w:val="0"/>
                <w:sz w:val="21"/>
              </w:rPr>
              <w:t>试飞验证期</w:t>
            </w:r>
          </w:p>
        </w:tc>
        <w:tc>
          <w:tcPr>
            <w:tcW w:w="2076" w:type="dxa"/>
            <w:vAlign w:val="center"/>
          </w:tcPr>
          <w:p w14:paraId="4ABBADD9">
            <w:pPr>
              <w:spacing w:before="0" w:after="0" w:line="240" w:lineRule="auto"/>
              <w:jc w:val="center"/>
            </w:pPr>
            <w:r>
              <w:rPr>
                <w:rFonts w:ascii="宋体" w:hAnsi="宋体" w:eastAsia="宋体"/>
                <w:b w:val="0"/>
                <w:sz w:val="21"/>
              </w:rPr>
              <w:t>第7—12个月</w:t>
            </w:r>
          </w:p>
        </w:tc>
        <w:tc>
          <w:tcPr>
            <w:tcW w:w="2076" w:type="dxa"/>
            <w:vAlign w:val="center"/>
          </w:tcPr>
          <w:p w14:paraId="46A7EE59">
            <w:pPr>
              <w:spacing w:before="0" w:after="0" w:line="240" w:lineRule="auto"/>
              <w:jc w:val="center"/>
            </w:pPr>
            <w:r>
              <w:rPr>
                <w:rFonts w:ascii="宋体" w:hAnsi="宋体" w:eastAsia="宋体"/>
                <w:b w:val="0"/>
                <w:sz w:val="21"/>
              </w:rPr>
              <w:t>完成多场景试飞与性能优化</w:t>
            </w:r>
          </w:p>
        </w:tc>
        <w:tc>
          <w:tcPr>
            <w:tcW w:w="2076" w:type="dxa"/>
            <w:vAlign w:val="center"/>
          </w:tcPr>
          <w:p w14:paraId="5C44F079">
            <w:pPr>
              <w:spacing w:before="0" w:after="0" w:line="240" w:lineRule="auto"/>
              <w:jc w:val="center"/>
            </w:pPr>
            <w:r>
              <w:rPr>
                <w:rFonts w:ascii="宋体" w:hAnsi="宋体" w:eastAsia="宋体"/>
                <w:b w:val="0"/>
                <w:sz w:val="21"/>
              </w:rPr>
              <w:t>形成可展示、可演示的样机体系</w:t>
            </w:r>
          </w:p>
        </w:tc>
      </w:tr>
      <w:tr w14:paraId="4501A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0280E2DB">
            <w:pPr>
              <w:spacing w:before="0" w:after="0" w:line="240" w:lineRule="auto"/>
              <w:jc w:val="center"/>
            </w:pPr>
            <w:r>
              <w:rPr>
                <w:rFonts w:ascii="宋体" w:hAnsi="宋体" w:eastAsia="宋体"/>
                <w:b w:val="0"/>
                <w:sz w:val="21"/>
              </w:rPr>
              <w:t>试点运营期</w:t>
            </w:r>
          </w:p>
        </w:tc>
        <w:tc>
          <w:tcPr>
            <w:tcW w:w="2076" w:type="dxa"/>
            <w:vAlign w:val="center"/>
          </w:tcPr>
          <w:p w14:paraId="5E594FE6">
            <w:pPr>
              <w:spacing w:before="0" w:after="0" w:line="240" w:lineRule="auto"/>
              <w:jc w:val="center"/>
            </w:pPr>
            <w:r>
              <w:rPr>
                <w:rFonts w:ascii="宋体" w:hAnsi="宋体" w:eastAsia="宋体"/>
                <w:b w:val="0"/>
                <w:sz w:val="21"/>
              </w:rPr>
              <w:t>第13—24个月</w:t>
            </w:r>
          </w:p>
        </w:tc>
        <w:tc>
          <w:tcPr>
            <w:tcW w:w="2076" w:type="dxa"/>
            <w:vAlign w:val="center"/>
          </w:tcPr>
          <w:p w14:paraId="33B3682B">
            <w:pPr>
              <w:spacing w:before="0" w:after="0" w:line="240" w:lineRule="auto"/>
              <w:jc w:val="center"/>
            </w:pPr>
            <w:r>
              <w:rPr>
                <w:rFonts w:ascii="宋体" w:hAnsi="宋体" w:eastAsia="宋体"/>
                <w:b w:val="0"/>
                <w:sz w:val="21"/>
              </w:rPr>
              <w:t>建设示范航线并形成初步收入</w:t>
            </w:r>
          </w:p>
        </w:tc>
        <w:tc>
          <w:tcPr>
            <w:tcW w:w="2076" w:type="dxa"/>
            <w:vAlign w:val="center"/>
          </w:tcPr>
          <w:p w14:paraId="708386CD">
            <w:pPr>
              <w:spacing w:before="0" w:after="0" w:line="240" w:lineRule="auto"/>
              <w:jc w:val="center"/>
            </w:pPr>
            <w:r>
              <w:rPr>
                <w:rFonts w:ascii="宋体" w:hAnsi="宋体" w:eastAsia="宋体"/>
                <w:b w:val="0"/>
                <w:sz w:val="21"/>
              </w:rPr>
              <w:t>形成首批客户与运营数据</w:t>
            </w:r>
          </w:p>
        </w:tc>
      </w:tr>
      <w:tr w14:paraId="4176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6503469B">
            <w:pPr>
              <w:spacing w:before="0" w:after="0" w:line="240" w:lineRule="auto"/>
              <w:jc w:val="center"/>
            </w:pPr>
            <w:r>
              <w:rPr>
                <w:rFonts w:ascii="宋体" w:hAnsi="宋体" w:eastAsia="宋体"/>
                <w:b w:val="0"/>
                <w:sz w:val="21"/>
              </w:rPr>
              <w:t>推广复制期</w:t>
            </w:r>
          </w:p>
        </w:tc>
        <w:tc>
          <w:tcPr>
            <w:tcW w:w="2076" w:type="dxa"/>
            <w:vAlign w:val="center"/>
          </w:tcPr>
          <w:p w14:paraId="13681DF5">
            <w:pPr>
              <w:spacing w:before="0" w:after="0" w:line="240" w:lineRule="auto"/>
              <w:jc w:val="center"/>
            </w:pPr>
            <w:r>
              <w:rPr>
                <w:rFonts w:ascii="宋体" w:hAnsi="宋体" w:eastAsia="宋体"/>
                <w:b w:val="0"/>
                <w:sz w:val="21"/>
              </w:rPr>
              <w:t>第25—36个月</w:t>
            </w:r>
          </w:p>
        </w:tc>
        <w:tc>
          <w:tcPr>
            <w:tcW w:w="2076" w:type="dxa"/>
            <w:vAlign w:val="center"/>
          </w:tcPr>
          <w:p w14:paraId="3EA329E6">
            <w:pPr>
              <w:spacing w:before="0" w:after="0" w:line="240" w:lineRule="auto"/>
              <w:jc w:val="center"/>
            </w:pPr>
            <w:r>
              <w:rPr>
                <w:rFonts w:ascii="宋体" w:hAnsi="宋体" w:eastAsia="宋体"/>
                <w:b w:val="0"/>
                <w:sz w:val="21"/>
              </w:rPr>
              <w:t>复制航线、拓展区域、完善平台服务</w:t>
            </w:r>
          </w:p>
        </w:tc>
        <w:tc>
          <w:tcPr>
            <w:tcW w:w="2076" w:type="dxa"/>
            <w:vAlign w:val="center"/>
          </w:tcPr>
          <w:p w14:paraId="708F1682">
            <w:pPr>
              <w:spacing w:before="0" w:after="0" w:line="240" w:lineRule="auto"/>
              <w:jc w:val="center"/>
            </w:pPr>
            <w:r>
              <w:rPr>
                <w:rFonts w:ascii="宋体" w:hAnsi="宋体" w:eastAsia="宋体"/>
                <w:b w:val="0"/>
                <w:sz w:val="21"/>
              </w:rPr>
              <w:t>形成区域化网络和品牌影响力</w:t>
            </w:r>
          </w:p>
        </w:tc>
      </w:tr>
    </w:tbl>
    <w:p w14:paraId="279A5AE2"/>
    <w:p w14:paraId="3C575129">
      <w:pPr>
        <w:pStyle w:val="3"/>
        <w:spacing w:before="0" w:after="0" w:line="240" w:lineRule="auto"/>
        <w:ind w:firstLine="0"/>
      </w:pPr>
      <w:bookmarkStart w:id="34" w:name="_Toc18456"/>
      <w:r>
        <w:rPr>
          <w:rFonts w:ascii="黑体" w:hAnsi="黑体" w:eastAsia="黑体"/>
          <w:b/>
          <w:sz w:val="24"/>
        </w:rPr>
        <w:t>五、项目实施方案</w:t>
      </w:r>
      <w:bookmarkEnd w:id="34"/>
    </w:p>
    <w:p w14:paraId="7D81189E">
      <w:pPr>
        <w:pStyle w:val="4"/>
        <w:spacing w:before="0" w:after="0" w:line="240" w:lineRule="auto"/>
        <w:ind w:firstLine="0"/>
      </w:pPr>
      <w:bookmarkStart w:id="35" w:name="_Toc15557"/>
      <w:r>
        <w:rPr>
          <w:rFonts w:ascii="黑体" w:hAnsi="黑体" w:eastAsia="黑体"/>
          <w:b/>
          <w:sz w:val="24"/>
        </w:rPr>
        <w:t>（一）产品与技术方案</w:t>
      </w:r>
      <w:bookmarkEnd w:id="35"/>
    </w:p>
    <w:p w14:paraId="55493304">
      <w:pPr>
        <w:pStyle w:val="5"/>
        <w:spacing w:before="0" w:after="0" w:line="240" w:lineRule="auto"/>
        <w:ind w:firstLine="0"/>
      </w:pPr>
      <w:bookmarkStart w:id="36" w:name="_Toc784"/>
      <w:r>
        <w:rPr>
          <w:rFonts w:ascii="黑体" w:hAnsi="黑体" w:eastAsia="黑体"/>
          <w:b/>
          <w:sz w:val="24"/>
        </w:rPr>
        <w:t>1．机体结构方案</w:t>
      </w:r>
      <w:bookmarkEnd w:id="36"/>
    </w:p>
    <w:p w14:paraId="0A55E4B3">
      <w:pPr>
        <w:spacing w:before="0" w:after="0" w:line="240" w:lineRule="auto"/>
        <w:ind w:firstLine="480"/>
        <w:jc w:val="both"/>
      </w:pPr>
      <w:r>
        <w:rPr>
          <w:rFonts w:ascii="宋体" w:hAnsi="宋体" w:eastAsia="宋体"/>
          <w:b w:val="0"/>
          <w:sz w:val="24"/>
        </w:rPr>
        <w:t>项目拟采用固定翼与垂直起降复合布局，机体以轻量化、高强度复合材料为主要结构基础，在满足载荷需求的同时兼顾气动效率和维护便利性。该方案能够有效支撑中远距巡航任务，并为不同场景货舱提供稳定安装基础。</w:t>
      </w:r>
    </w:p>
    <w:p w14:paraId="53A3D71A">
      <w:pPr>
        <w:pStyle w:val="5"/>
        <w:spacing w:before="0" w:after="0" w:line="240" w:lineRule="auto"/>
        <w:ind w:firstLine="0"/>
      </w:pPr>
      <w:bookmarkStart w:id="37" w:name="_Toc18278"/>
      <w:r>
        <w:rPr>
          <w:rFonts w:ascii="黑体" w:hAnsi="黑体" w:eastAsia="黑体"/>
          <w:b/>
          <w:sz w:val="24"/>
        </w:rPr>
        <w:t>2．动力系统方案</w:t>
      </w:r>
      <w:bookmarkEnd w:id="37"/>
    </w:p>
    <w:p w14:paraId="08E9476C">
      <w:pPr>
        <w:spacing w:before="0" w:after="0" w:line="240" w:lineRule="auto"/>
        <w:ind w:firstLine="480"/>
        <w:jc w:val="both"/>
      </w:pPr>
      <w:r>
        <w:rPr>
          <w:rFonts w:ascii="宋体" w:hAnsi="宋体" w:eastAsia="宋体"/>
          <w:b w:val="0"/>
          <w:sz w:val="24"/>
        </w:rPr>
        <w:t>动力系统采用适合垂直起降与长航时巡航兼容的技术路线，使垂直起降阶段和巡航阶段分别获得最优能效支持。通过合理配置起降动力与巡航动力，项目能够兼顾起飞安全性、巡航经济性和整体续航能力，为区域低空运输提供更稳定的动力保障。</w:t>
      </w:r>
    </w:p>
    <w:p w14:paraId="4761EC01">
      <w:pPr>
        <w:pStyle w:val="5"/>
        <w:spacing w:before="0" w:after="0" w:line="240" w:lineRule="auto"/>
        <w:ind w:firstLine="0"/>
      </w:pPr>
      <w:bookmarkStart w:id="38" w:name="_Toc26674"/>
      <w:r>
        <w:rPr>
          <w:rFonts w:ascii="黑体" w:hAnsi="黑体" w:eastAsia="黑体"/>
          <w:b/>
          <w:sz w:val="24"/>
        </w:rPr>
        <w:t>3．飞控与导航方案</w:t>
      </w:r>
      <w:bookmarkEnd w:id="38"/>
    </w:p>
    <w:p w14:paraId="7740EF9A">
      <w:pPr>
        <w:spacing w:before="0" w:after="0" w:line="240" w:lineRule="auto"/>
        <w:ind w:firstLine="480"/>
        <w:jc w:val="both"/>
      </w:pPr>
      <w:r>
        <w:rPr>
          <w:rFonts w:ascii="宋体" w:hAnsi="宋体" w:eastAsia="宋体"/>
          <w:b w:val="0"/>
          <w:sz w:val="24"/>
        </w:rPr>
        <w:t>飞控系统是本项目的核心技术单元之一。项目拟采用多传感器融合导航与自主飞控控制策略，将北斗/GPS、惯性导航、姿态感知和辅助视觉能力进行协同集成，提高路径保持精度、抗干扰能力和复杂环境适应性。围绕起降转换、巡航控制、任务返航和异常处置等关键环节建立完整控制逻辑，是项目技术实施的重点。</w:t>
      </w:r>
    </w:p>
    <w:p w14:paraId="69E0B9CF">
      <w:pPr>
        <w:pStyle w:val="5"/>
        <w:spacing w:before="0" w:after="0" w:line="240" w:lineRule="auto"/>
        <w:ind w:firstLine="0"/>
      </w:pPr>
      <w:bookmarkStart w:id="39" w:name="_Toc25109"/>
      <w:r>
        <w:rPr>
          <w:rFonts w:ascii="黑体" w:hAnsi="黑体" w:eastAsia="黑体"/>
          <w:b/>
          <w:sz w:val="24"/>
        </w:rPr>
        <w:t>4．货舱与任务模块方案</w:t>
      </w:r>
      <w:bookmarkEnd w:id="39"/>
    </w:p>
    <w:p w14:paraId="6326C36A">
      <w:pPr>
        <w:spacing w:before="0" w:after="0" w:line="240" w:lineRule="auto"/>
        <w:ind w:firstLine="480"/>
        <w:jc w:val="both"/>
      </w:pPr>
      <w:r>
        <w:rPr>
          <w:rFonts w:ascii="宋体" w:hAnsi="宋体" w:eastAsia="宋体"/>
          <w:b w:val="0"/>
          <w:sz w:val="24"/>
        </w:rPr>
        <w:t>为适配不同类型的运输任务，本项目采用模块化货舱设计思路，使标准物流箱、医药专用箱、保温冷链箱和应急物资箱能够实现快速拆装。通过统一接口标准和任务适配规范，可显著提升任务切换效率，减少人工装配时间并增强项目运营灵活性。</w:t>
      </w:r>
    </w:p>
    <w:p w14:paraId="46BF1558">
      <w:pPr>
        <w:pStyle w:val="5"/>
        <w:spacing w:before="0" w:after="0" w:line="240" w:lineRule="auto"/>
        <w:ind w:firstLine="0"/>
      </w:pPr>
      <w:bookmarkStart w:id="40" w:name="_Toc11911"/>
      <w:r>
        <w:rPr>
          <w:rFonts w:ascii="黑体" w:hAnsi="黑体" w:eastAsia="黑体"/>
          <w:b/>
          <w:sz w:val="24"/>
        </w:rPr>
        <w:t>5．安全冗余与避障方案</w:t>
      </w:r>
      <w:bookmarkEnd w:id="40"/>
    </w:p>
    <w:p w14:paraId="2FF1D58E">
      <w:pPr>
        <w:spacing w:before="0" w:after="0" w:line="240" w:lineRule="auto"/>
        <w:ind w:firstLine="480"/>
        <w:jc w:val="both"/>
      </w:pPr>
      <w:r>
        <w:rPr>
          <w:rFonts w:ascii="宋体" w:hAnsi="宋体" w:eastAsia="宋体"/>
          <w:b w:val="0"/>
          <w:sz w:val="24"/>
        </w:rPr>
        <w:t>安全始终是低空物流项目能否进入实际运营的前提条件。本项目在控制、感知、动力和操作流程上均强调冗余设计，拟通过飞行监测、异常告警、失联返航、航迹保护、环境感知和飞行前检查制度等方式构建多层次安全体系，确保项目既能飞起来，也能稳定、安全地飞下去。</w:t>
      </w:r>
    </w:p>
    <w:p w14:paraId="4A1984CB">
      <w:pPr>
        <w:pStyle w:val="4"/>
        <w:spacing w:before="0" w:after="0" w:line="240" w:lineRule="auto"/>
        <w:ind w:firstLine="0"/>
      </w:pPr>
      <w:bookmarkStart w:id="41" w:name="_Toc28175"/>
      <w:r>
        <w:rPr>
          <w:rFonts w:ascii="黑体" w:hAnsi="黑体" w:eastAsia="黑体"/>
          <w:b/>
          <w:sz w:val="24"/>
        </w:rPr>
        <w:t>（二）地面网络与节点建设</w:t>
      </w:r>
      <w:bookmarkEnd w:id="41"/>
    </w:p>
    <w:p w14:paraId="5C7D8976">
      <w:pPr>
        <w:spacing w:before="0" w:after="0" w:line="240" w:lineRule="auto"/>
        <w:ind w:firstLine="480"/>
        <w:jc w:val="both"/>
      </w:pPr>
      <w:r>
        <w:rPr>
          <w:rFonts w:ascii="宋体" w:hAnsi="宋体" w:eastAsia="宋体"/>
          <w:b w:val="0"/>
          <w:sz w:val="24"/>
        </w:rPr>
        <w:t>低空物流并不是脱离地面网络独立存在的系统，而是需要地面节点与空中节点协同运行。本项目计划建立“起降点—任务节点—保障节点”三类基础单元：起降点负责飞行器起降和任务准备；任务节点负责货物交接、装载和签收；保障节点负责补能、检修、监控和备份调度。前期可采用轻量化建设方式，在不增加过多固定资产投入的前提下满足试点运营需要，后期再根据业务规模逐步完善节点体系。</w:t>
      </w:r>
    </w:p>
    <w:p w14:paraId="3794913D">
      <w:pPr>
        <w:pStyle w:val="4"/>
        <w:spacing w:before="0" w:after="0" w:line="240" w:lineRule="auto"/>
        <w:ind w:firstLine="0"/>
      </w:pPr>
      <w:bookmarkStart w:id="42" w:name="_Toc1869"/>
      <w:r>
        <w:rPr>
          <w:rFonts w:ascii="黑体" w:hAnsi="黑体" w:eastAsia="黑体"/>
          <w:b/>
          <w:sz w:val="24"/>
        </w:rPr>
        <w:t>（三）组织结构与运行机制</w:t>
      </w:r>
      <w:bookmarkEnd w:id="42"/>
    </w:p>
    <w:p w14:paraId="740778F1">
      <w:pPr>
        <w:spacing w:before="0" w:after="0" w:line="240" w:lineRule="auto"/>
        <w:ind w:firstLine="480"/>
        <w:jc w:val="both"/>
      </w:pPr>
      <w:r>
        <w:rPr>
          <w:rFonts w:ascii="宋体" w:hAnsi="宋体" w:eastAsia="宋体"/>
          <w:b w:val="0"/>
          <w:sz w:val="24"/>
        </w:rPr>
        <w:t>为了确保项目实施的系统性和执行力，项目拟设项目管理中心、技术研发中心、测试验证中心、市场运营中心和财务风控中心五个核心单元。项目管理中心负责总体统筹与对外协同；技术研发中心负责机体、飞控和软件系统开发；测试验证中心负责地面试验、飞行测试和数据记录；市场运营中心负责客户开发、试点落地和运营管理；财务风控中心负责预算、合规、融资及风险控制。通过明确职责边界和建立周例会、月复盘、节点验收等制度，提升团队协同效率。</w:t>
      </w:r>
    </w:p>
    <w:p w14:paraId="4EB9505E">
      <w:pPr>
        <w:pStyle w:val="4"/>
        <w:spacing w:before="0" w:after="0" w:line="240" w:lineRule="auto"/>
        <w:ind w:firstLine="0"/>
      </w:pPr>
      <w:bookmarkStart w:id="43" w:name="_Toc8392"/>
      <w:r>
        <w:rPr>
          <w:rFonts w:ascii="黑体" w:hAnsi="黑体" w:eastAsia="黑体"/>
          <w:b/>
          <w:sz w:val="24"/>
        </w:rPr>
        <w:t>（四）业务启动与执行流程</w:t>
      </w:r>
      <w:bookmarkEnd w:id="43"/>
    </w:p>
    <w:p w14:paraId="15AD4D0F">
      <w:pPr>
        <w:spacing w:before="0" w:after="0" w:line="240" w:lineRule="auto"/>
        <w:ind w:firstLine="480"/>
        <w:jc w:val="both"/>
      </w:pPr>
      <w:r>
        <w:rPr>
          <w:rFonts w:ascii="宋体" w:hAnsi="宋体" w:eastAsia="宋体"/>
          <w:b w:val="0"/>
          <w:sz w:val="24"/>
        </w:rPr>
        <w:t>项目业务启动流程按照“接单—评估—任务编排—装载—飞行—签收—复盘”的逻辑展开。首先由客户提出运输需求，项目团队根据货物类型、气象情况、航线条件和起降环境进行任务评估；评估通过后形成飞行任务单，完成货物装载和飞行前检查；任务执行过程中由地面站实时监控飞行状态，任务完成后由接收方签收并记录履约数据；最后由团队进行任务复盘，对飞行安全、时间消耗、货物状态和客户反馈进行记录，为后续运营优化提供依据。</w:t>
      </w:r>
    </w:p>
    <w:p w14:paraId="7658FF63">
      <w:pPr>
        <w:pStyle w:val="3"/>
        <w:spacing w:before="0" w:after="0" w:line="240" w:lineRule="auto"/>
        <w:ind w:firstLine="0"/>
      </w:pPr>
      <w:bookmarkStart w:id="44" w:name="_Toc7844"/>
      <w:r>
        <w:rPr>
          <w:rFonts w:ascii="黑体" w:hAnsi="黑体" w:eastAsia="黑体"/>
          <w:b/>
          <w:sz w:val="24"/>
        </w:rPr>
        <w:t>六、商业模式</w:t>
      </w:r>
      <w:bookmarkEnd w:id="44"/>
    </w:p>
    <w:p w14:paraId="1A5A7E88">
      <w:pPr>
        <w:pStyle w:val="4"/>
        <w:spacing w:before="0" w:after="0" w:line="240" w:lineRule="auto"/>
        <w:ind w:firstLine="0"/>
      </w:pPr>
      <w:bookmarkStart w:id="45" w:name="_Toc6229"/>
      <w:r>
        <w:rPr>
          <w:rFonts w:ascii="黑体" w:hAnsi="黑体" w:eastAsia="黑体"/>
          <w:b/>
          <w:sz w:val="24"/>
        </w:rPr>
        <w:t>（一）品牌策略</w:t>
      </w:r>
      <w:bookmarkEnd w:id="45"/>
    </w:p>
    <w:p w14:paraId="1AEF2CC7">
      <w:pPr>
        <w:spacing w:before="0" w:after="0" w:line="240" w:lineRule="auto"/>
        <w:ind w:firstLine="480"/>
        <w:jc w:val="both"/>
      </w:pPr>
      <w:r>
        <w:rPr>
          <w:rFonts w:ascii="宋体" w:hAnsi="宋体" w:eastAsia="宋体"/>
          <w:b w:val="0"/>
          <w:sz w:val="24"/>
        </w:rPr>
        <w:t>“翼启全域”这一名称，既体现了固定翼垂直起降平台的技术属性，也体现了项目希望打通多场景、多区域运输能力的目标。品牌建设上，项目强调“专业、安全、稳定、可运营”四个关键词，不追求概念化表达，而是突出设备能力、任务执行和服务交付的真实可行性。通过统一品牌视觉、统一材料输出和统一案例表达，逐步形成项目在赛事、合作和试点中的辨识度。</w:t>
      </w:r>
    </w:p>
    <w:p w14:paraId="0D0FDFD6">
      <w:pPr>
        <w:pStyle w:val="4"/>
        <w:spacing w:before="0" w:after="0" w:line="240" w:lineRule="auto"/>
        <w:ind w:firstLine="0"/>
      </w:pPr>
      <w:bookmarkStart w:id="46" w:name="_Toc6886"/>
      <w:r>
        <w:rPr>
          <w:rFonts w:ascii="黑体" w:hAnsi="黑体" w:eastAsia="黑体"/>
          <w:b/>
          <w:sz w:val="24"/>
        </w:rPr>
        <w:t>（二）产品与服务设计准则</w:t>
      </w:r>
      <w:bookmarkEnd w:id="46"/>
    </w:p>
    <w:p w14:paraId="37672DA7">
      <w:pPr>
        <w:spacing w:before="0" w:after="0" w:line="240" w:lineRule="auto"/>
        <w:ind w:firstLine="480"/>
        <w:jc w:val="both"/>
      </w:pPr>
      <w:r>
        <w:rPr>
          <w:rFonts w:ascii="宋体" w:hAnsi="宋体" w:eastAsia="宋体"/>
          <w:b w:val="0"/>
          <w:sz w:val="24"/>
        </w:rPr>
        <w:t>本项目在产品与服务设计上坚持四项基本准则：一是以真实需求为导向，优先解决用户最痛的运输问题；二是以安全稳定为底线，不以牺牲安全换取表面效率；三是以标准化促进复制，尽量使设备接口、任务流程和服务规则统一；四是以可持续运营为目标，使项目从一开始就兼顾成本控制、收益逻辑和后续扩展空间。</w:t>
      </w:r>
    </w:p>
    <w:p w14:paraId="2329BFFD">
      <w:pPr>
        <w:pStyle w:val="4"/>
        <w:spacing w:before="0" w:after="0" w:line="240" w:lineRule="auto"/>
        <w:ind w:firstLine="0"/>
      </w:pPr>
      <w:bookmarkStart w:id="47" w:name="_Toc10228"/>
      <w:r>
        <w:rPr>
          <w:rFonts w:ascii="黑体" w:hAnsi="黑体" w:eastAsia="黑体"/>
          <w:b/>
          <w:sz w:val="24"/>
        </w:rPr>
        <w:t>（三）经营模式</w:t>
      </w:r>
      <w:bookmarkEnd w:id="47"/>
    </w:p>
    <w:p w14:paraId="12ACB496">
      <w:pPr>
        <w:pStyle w:val="5"/>
        <w:spacing w:before="0" w:after="0" w:line="240" w:lineRule="auto"/>
        <w:ind w:firstLine="0"/>
      </w:pPr>
      <w:bookmarkStart w:id="48" w:name="_Toc22393"/>
      <w:r>
        <w:rPr>
          <w:rFonts w:ascii="黑体" w:hAnsi="黑体" w:eastAsia="黑体"/>
          <w:b/>
          <w:sz w:val="24"/>
        </w:rPr>
        <w:t>1．独立试点运营</w:t>
      </w:r>
      <w:bookmarkEnd w:id="48"/>
    </w:p>
    <w:p w14:paraId="14941214">
      <w:pPr>
        <w:spacing w:before="0" w:after="0" w:line="240" w:lineRule="auto"/>
        <w:ind w:firstLine="480"/>
        <w:jc w:val="both"/>
      </w:pPr>
      <w:r>
        <w:rPr>
          <w:rFonts w:ascii="宋体" w:hAnsi="宋体" w:eastAsia="宋体"/>
          <w:b w:val="0"/>
          <w:sz w:val="24"/>
        </w:rPr>
        <w:t>在项目早期，团队可围绕校地合作、乡村试点和典型示范任务开展独立试点运营，通过较小规模的任务执行积累飞行数据、客户反馈和运营经验。这种模式有利于项目快速验证技术与业务的匹配程度。</w:t>
      </w:r>
    </w:p>
    <w:p w14:paraId="70D1AE2F">
      <w:pPr>
        <w:pStyle w:val="5"/>
        <w:spacing w:before="0" w:after="0" w:line="240" w:lineRule="auto"/>
        <w:ind w:firstLine="0"/>
      </w:pPr>
      <w:bookmarkStart w:id="49" w:name="_Toc17935"/>
      <w:r>
        <w:rPr>
          <w:rFonts w:ascii="黑体" w:hAnsi="黑体" w:eastAsia="黑体"/>
          <w:b/>
          <w:sz w:val="24"/>
        </w:rPr>
        <w:t>2．合作共建模式</w:t>
      </w:r>
      <w:bookmarkEnd w:id="49"/>
    </w:p>
    <w:p w14:paraId="4147EE0F">
      <w:pPr>
        <w:spacing w:before="0" w:after="0" w:line="240" w:lineRule="auto"/>
        <w:ind w:firstLine="480"/>
        <w:jc w:val="both"/>
      </w:pPr>
      <w:r>
        <w:rPr>
          <w:rFonts w:ascii="宋体" w:hAnsi="宋体" w:eastAsia="宋体"/>
          <w:b w:val="0"/>
          <w:sz w:val="24"/>
        </w:rPr>
        <w:t>当项目进入场景落地阶段后，可与地方政府、园区平台、物流企业和应急单位开展合作共建。合作方提供场景、节点和部分资源支持，项目方提供设备、运营和技术方案。该模式有助于降低前期市场进入成本，提高项目试点成功率。</w:t>
      </w:r>
    </w:p>
    <w:p w14:paraId="38DF67B1">
      <w:pPr>
        <w:pStyle w:val="5"/>
        <w:spacing w:before="0" w:after="0" w:line="240" w:lineRule="auto"/>
        <w:ind w:firstLine="0"/>
      </w:pPr>
      <w:bookmarkStart w:id="50" w:name="_Toc16208"/>
      <w:r>
        <w:rPr>
          <w:rFonts w:ascii="黑体" w:hAnsi="黑体" w:eastAsia="黑体"/>
          <w:b/>
          <w:sz w:val="24"/>
        </w:rPr>
        <w:t>3．整机租赁与技术输出模式</w:t>
      </w:r>
      <w:bookmarkEnd w:id="50"/>
    </w:p>
    <w:p w14:paraId="661A26DC">
      <w:pPr>
        <w:spacing w:before="0" w:after="0" w:line="240" w:lineRule="auto"/>
        <w:ind w:firstLine="480"/>
        <w:jc w:val="both"/>
      </w:pPr>
      <w:r>
        <w:rPr>
          <w:rFonts w:ascii="宋体" w:hAnsi="宋体" w:eastAsia="宋体"/>
          <w:b w:val="0"/>
          <w:sz w:val="24"/>
        </w:rPr>
        <w:t>在项目进入推广阶段后，除了直接运营航线，还可向有明确需求的单位提供整机租赁、联合运营或技术输出服务。通过输出平台系统、调度能力和运营标准，项目可以将单一任务收入转化为更具持续性的技术服务收入。</w:t>
      </w:r>
    </w:p>
    <w:p w14:paraId="7E694AFA">
      <w:pPr>
        <w:pStyle w:val="4"/>
        <w:spacing w:before="0" w:after="0" w:line="240" w:lineRule="auto"/>
        <w:ind w:firstLine="0"/>
      </w:pPr>
      <w:bookmarkStart w:id="51" w:name="_Toc3890"/>
      <w:r>
        <w:rPr>
          <w:rFonts w:ascii="黑体" w:hAnsi="黑体" w:eastAsia="黑体"/>
          <w:b/>
          <w:sz w:val="24"/>
        </w:rPr>
        <w:t>（四）盈利模式</w:t>
      </w:r>
      <w:bookmarkEnd w:id="51"/>
    </w:p>
    <w:p w14:paraId="20878E31">
      <w:pPr>
        <w:spacing w:before="0" w:after="0" w:line="240" w:lineRule="auto"/>
        <w:ind w:firstLine="480"/>
        <w:jc w:val="both"/>
      </w:pPr>
      <w:r>
        <w:rPr>
          <w:rFonts w:ascii="宋体" w:hAnsi="宋体" w:eastAsia="宋体"/>
          <w:b w:val="0"/>
          <w:sz w:val="24"/>
        </w:rPr>
        <w:t>本项目的盈利来源主要由五部分构成。第一，物流运营服务费，即按照任务架次、航线距离、货物重量和保障等级向客户收取费用；第二，航线定制和试点方案设计费，即为地方政府、企业客户和公共服务单位提供专属运输方案并获得服务收入；第三，整机销售与租赁收入，即向合作单位提供设备交付和租赁服务；第四，平台系统授权收入，即输出飞控调度、任务管理和运营监控等软件能力；第五，数据增值服务收入，即围绕运维、航线优化和履约评价提供分析服务。多元化盈利结构有利于项目降低对单一收入来源的依赖，并提升中后期抗风险能力。</w:t>
      </w:r>
    </w:p>
    <w:p w14:paraId="727E08A3">
      <w:pPr>
        <w:pStyle w:val="4"/>
        <w:spacing w:before="0" w:after="0" w:line="240" w:lineRule="auto"/>
        <w:ind w:firstLine="0"/>
      </w:pPr>
      <w:bookmarkStart w:id="52" w:name="_Toc3208"/>
      <w:r>
        <w:rPr>
          <w:rFonts w:ascii="黑体" w:hAnsi="黑体" w:eastAsia="黑体"/>
          <w:b/>
          <w:sz w:val="24"/>
        </w:rPr>
        <w:t>（五）市场营销策略</w:t>
      </w:r>
      <w:bookmarkEnd w:id="52"/>
    </w:p>
    <w:p w14:paraId="0E838BCE">
      <w:pPr>
        <w:spacing w:before="0" w:after="0" w:line="240" w:lineRule="auto"/>
        <w:ind w:firstLine="480"/>
        <w:jc w:val="both"/>
      </w:pPr>
      <w:r>
        <w:rPr>
          <w:rFonts w:ascii="宋体" w:hAnsi="宋体" w:eastAsia="宋体"/>
          <w:b w:val="0"/>
          <w:sz w:val="24"/>
        </w:rPr>
        <w:t>市场营销方面，项目将坚持“案例先行、服务驱动、分层拓展”的策略。首先，通过高辨识度的试点案例建立项目品牌公信力，把样板航线和实飞成果作为最有说服力的推广材料；其次，通过赛事路演、成果展、媒体传播和学校平台扩大项目影响力，使更多潜在客户了解项目价值；再次，建立分层客户服务体系，对于政府和公共服务客户强调保障能力和社会价值，对于企业客户强调履约效率和运营收益，对于合作伙伴强调平台输出和联合发展的空间。项目价格策略也将采取先试点、后标准化的思路，在早期通过联合验证降低客户试用门槛，在中后期形成分层收费机制。</w:t>
      </w:r>
    </w:p>
    <w:p w14:paraId="68FD771B">
      <w:pPr>
        <w:pStyle w:val="3"/>
        <w:spacing w:before="0" w:after="0" w:line="240" w:lineRule="auto"/>
        <w:ind w:firstLine="0"/>
      </w:pPr>
      <w:bookmarkStart w:id="53" w:name="_Toc11720"/>
      <w:r>
        <w:rPr>
          <w:rFonts w:ascii="黑体" w:hAnsi="黑体" w:eastAsia="黑体"/>
          <w:b/>
          <w:sz w:val="24"/>
        </w:rPr>
        <w:t>七、经济评价</w:t>
      </w:r>
      <w:bookmarkEnd w:id="53"/>
    </w:p>
    <w:p w14:paraId="78612C5C">
      <w:pPr>
        <w:pStyle w:val="4"/>
        <w:spacing w:before="0" w:after="0" w:line="240" w:lineRule="auto"/>
        <w:ind w:firstLine="0"/>
      </w:pPr>
      <w:bookmarkStart w:id="54" w:name="_Toc7605"/>
      <w:r>
        <w:rPr>
          <w:rFonts w:ascii="黑体" w:hAnsi="黑体" w:eastAsia="黑体"/>
          <w:b/>
          <w:sz w:val="24"/>
        </w:rPr>
        <w:t>（一）经济评价的主要指标</w:t>
      </w:r>
      <w:bookmarkEnd w:id="54"/>
    </w:p>
    <w:p w14:paraId="30120D81">
      <w:pPr>
        <w:spacing w:before="0" w:after="0" w:line="240" w:lineRule="auto"/>
        <w:ind w:firstLine="480"/>
        <w:jc w:val="both"/>
      </w:pPr>
      <w:r>
        <w:rPr>
          <w:rFonts w:ascii="宋体" w:hAnsi="宋体" w:eastAsia="宋体"/>
          <w:b w:val="0"/>
          <w:sz w:val="24"/>
        </w:rPr>
        <w:t>根据项目现阶段规划，翼启全域在启动期预计投入资金约800万元，重点用于样机研发、软件开发、测试验证、设备配置、试点运营及流动资金储备。项目计划在进入商业化试点后逐步形成收入，并在约18个月左右达到盈亏平衡。考虑到项目存在明显的技术研发周期和市场教育周期，前期财务目标以“验证商业可行性、建立可复制模型”为主，中后期再逐步释放规模效应。</w:t>
      </w:r>
    </w:p>
    <w:p w14:paraId="09F24EA4">
      <w:pPr>
        <w:pStyle w:val="4"/>
        <w:spacing w:before="0" w:after="0" w:line="240" w:lineRule="auto"/>
        <w:ind w:firstLine="0"/>
      </w:pPr>
      <w:bookmarkStart w:id="55" w:name="_Toc13463"/>
      <w:r>
        <w:rPr>
          <w:rFonts w:ascii="黑体" w:hAnsi="黑体" w:eastAsia="黑体"/>
          <w:b/>
          <w:sz w:val="24"/>
        </w:rPr>
        <w:t>（二）经济评价的假设前提</w:t>
      </w:r>
      <w:bookmarkEnd w:id="55"/>
    </w:p>
    <w:p w14:paraId="33508AA1">
      <w:pPr>
        <w:spacing w:before="0" w:after="0" w:line="240" w:lineRule="auto"/>
        <w:ind w:firstLine="480"/>
        <w:jc w:val="both"/>
      </w:pPr>
      <w:r>
        <w:rPr>
          <w:rFonts w:ascii="宋体" w:hAnsi="宋体" w:eastAsia="宋体"/>
          <w:b w:val="0"/>
          <w:sz w:val="24"/>
        </w:rPr>
        <w:t>本计划书中的财务数据，建立在以下假设基础之上：第一，项目能够按照既定时间节点完成样机研发和试飞验证，并进入典型场景试点；第二，试点区域能够提供相对稳定的任务需求和合作条件；第三，设备运维和人员成本在合理控制范围内；第四，项目采取边验证、边优化、边拓展的方式推进，不进行一次性大规模固定资产投入；第五，收入增长与航线数量扩展、客户结构丰富和平台化输出同步推进。</w:t>
      </w:r>
    </w:p>
    <w:p w14:paraId="233F6CB6">
      <w:pPr>
        <w:pStyle w:val="4"/>
        <w:spacing w:before="0" w:after="0" w:line="240" w:lineRule="auto"/>
        <w:ind w:firstLine="0"/>
      </w:pPr>
      <w:bookmarkStart w:id="56" w:name="_Toc22243"/>
      <w:r>
        <w:rPr>
          <w:rFonts w:ascii="黑体" w:hAnsi="黑体" w:eastAsia="黑体"/>
          <w:b/>
          <w:sz w:val="24"/>
        </w:rPr>
        <w:t>（三）投资预算</w:t>
      </w:r>
      <w:bookmarkEnd w:id="5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351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9" w:type="dxa"/>
            <w:vAlign w:val="center"/>
          </w:tcPr>
          <w:p w14:paraId="2641519C">
            <w:pPr>
              <w:spacing w:before="0" w:after="0" w:line="240" w:lineRule="auto"/>
              <w:jc w:val="center"/>
            </w:pPr>
            <w:r>
              <w:rPr>
                <w:rFonts w:ascii="黑体" w:hAnsi="黑体" w:eastAsia="黑体"/>
                <w:b w:val="0"/>
                <w:sz w:val="22"/>
              </w:rPr>
              <w:t>项目</w:t>
            </w:r>
          </w:p>
        </w:tc>
        <w:tc>
          <w:tcPr>
            <w:tcW w:w="2769" w:type="dxa"/>
            <w:vAlign w:val="center"/>
          </w:tcPr>
          <w:p w14:paraId="5656C294">
            <w:pPr>
              <w:spacing w:before="0" w:after="0" w:line="240" w:lineRule="auto"/>
              <w:jc w:val="center"/>
            </w:pPr>
            <w:r>
              <w:rPr>
                <w:rFonts w:ascii="黑体" w:hAnsi="黑体" w:eastAsia="黑体"/>
                <w:b w:val="0"/>
                <w:sz w:val="22"/>
              </w:rPr>
              <w:t>金额（万元）</w:t>
            </w:r>
          </w:p>
        </w:tc>
        <w:tc>
          <w:tcPr>
            <w:tcW w:w="2769" w:type="dxa"/>
            <w:vAlign w:val="center"/>
          </w:tcPr>
          <w:p w14:paraId="38CC82C3">
            <w:pPr>
              <w:spacing w:before="0" w:after="0" w:line="240" w:lineRule="auto"/>
              <w:jc w:val="center"/>
            </w:pPr>
            <w:r>
              <w:rPr>
                <w:rFonts w:ascii="黑体" w:hAnsi="黑体" w:eastAsia="黑体"/>
                <w:b w:val="0"/>
                <w:sz w:val="22"/>
              </w:rPr>
              <w:t>用途说明</w:t>
            </w:r>
          </w:p>
        </w:tc>
      </w:tr>
      <w:tr w14:paraId="2FD9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98BF4A7">
            <w:pPr>
              <w:spacing w:before="0" w:after="0" w:line="240" w:lineRule="auto"/>
              <w:jc w:val="center"/>
            </w:pPr>
            <w:r>
              <w:rPr>
                <w:rFonts w:ascii="宋体" w:hAnsi="宋体" w:eastAsia="宋体"/>
                <w:b w:val="0"/>
                <w:sz w:val="21"/>
              </w:rPr>
              <w:t>原型机研发与试制</w:t>
            </w:r>
          </w:p>
        </w:tc>
        <w:tc>
          <w:tcPr>
            <w:tcW w:w="2769" w:type="dxa"/>
            <w:vAlign w:val="center"/>
          </w:tcPr>
          <w:p w14:paraId="637F20E3">
            <w:pPr>
              <w:spacing w:before="0" w:after="0" w:line="240" w:lineRule="auto"/>
              <w:jc w:val="center"/>
            </w:pPr>
            <w:r>
              <w:rPr>
                <w:rFonts w:ascii="宋体" w:hAnsi="宋体" w:eastAsia="宋体"/>
                <w:b w:val="0"/>
                <w:sz w:val="21"/>
              </w:rPr>
              <w:t>260</w:t>
            </w:r>
          </w:p>
        </w:tc>
        <w:tc>
          <w:tcPr>
            <w:tcW w:w="2769" w:type="dxa"/>
            <w:vAlign w:val="center"/>
          </w:tcPr>
          <w:p w14:paraId="1FDD5E48">
            <w:pPr>
              <w:spacing w:before="0" w:after="0" w:line="240" w:lineRule="auto"/>
              <w:jc w:val="center"/>
            </w:pPr>
            <w:r>
              <w:rPr>
                <w:rFonts w:ascii="宋体" w:hAnsi="宋体" w:eastAsia="宋体"/>
                <w:b w:val="0"/>
                <w:sz w:val="21"/>
              </w:rPr>
              <w:t>机体结构设计、样机制造、部件集成</w:t>
            </w:r>
          </w:p>
        </w:tc>
      </w:tr>
      <w:tr w14:paraId="484A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5FE865EB">
            <w:pPr>
              <w:spacing w:before="0" w:after="0" w:line="240" w:lineRule="auto"/>
              <w:jc w:val="center"/>
            </w:pPr>
            <w:r>
              <w:rPr>
                <w:rFonts w:ascii="宋体" w:hAnsi="宋体" w:eastAsia="宋体"/>
                <w:b w:val="0"/>
                <w:sz w:val="21"/>
              </w:rPr>
              <w:t>飞控算法与软件开发</w:t>
            </w:r>
          </w:p>
        </w:tc>
        <w:tc>
          <w:tcPr>
            <w:tcW w:w="2769" w:type="dxa"/>
            <w:vAlign w:val="center"/>
          </w:tcPr>
          <w:p w14:paraId="5D4544E8">
            <w:pPr>
              <w:spacing w:before="0" w:after="0" w:line="240" w:lineRule="auto"/>
              <w:jc w:val="center"/>
            </w:pPr>
            <w:r>
              <w:rPr>
                <w:rFonts w:ascii="宋体" w:hAnsi="宋体" w:eastAsia="宋体"/>
                <w:b w:val="0"/>
                <w:sz w:val="21"/>
              </w:rPr>
              <w:t>120</w:t>
            </w:r>
          </w:p>
        </w:tc>
        <w:tc>
          <w:tcPr>
            <w:tcW w:w="2769" w:type="dxa"/>
            <w:vAlign w:val="center"/>
          </w:tcPr>
          <w:p w14:paraId="4308F817">
            <w:pPr>
              <w:spacing w:before="0" w:after="0" w:line="240" w:lineRule="auto"/>
              <w:jc w:val="center"/>
            </w:pPr>
            <w:r>
              <w:rPr>
                <w:rFonts w:ascii="宋体" w:hAnsi="宋体" w:eastAsia="宋体"/>
                <w:b w:val="0"/>
                <w:sz w:val="21"/>
              </w:rPr>
              <w:t>飞控、任务调度、监控与数据平台开发</w:t>
            </w:r>
          </w:p>
        </w:tc>
      </w:tr>
      <w:tr w14:paraId="0000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088A6D2">
            <w:pPr>
              <w:spacing w:before="0" w:after="0" w:line="240" w:lineRule="auto"/>
              <w:jc w:val="center"/>
            </w:pPr>
            <w:r>
              <w:rPr>
                <w:rFonts w:ascii="宋体" w:hAnsi="宋体" w:eastAsia="宋体"/>
                <w:b w:val="0"/>
                <w:sz w:val="21"/>
              </w:rPr>
              <w:t>测试验证与试飞保障</w:t>
            </w:r>
          </w:p>
        </w:tc>
        <w:tc>
          <w:tcPr>
            <w:tcW w:w="2769" w:type="dxa"/>
            <w:vAlign w:val="center"/>
          </w:tcPr>
          <w:p w14:paraId="5AC3D1FE">
            <w:pPr>
              <w:spacing w:before="0" w:after="0" w:line="240" w:lineRule="auto"/>
              <w:jc w:val="center"/>
            </w:pPr>
            <w:r>
              <w:rPr>
                <w:rFonts w:ascii="宋体" w:hAnsi="宋体" w:eastAsia="宋体"/>
                <w:b w:val="0"/>
                <w:sz w:val="21"/>
              </w:rPr>
              <w:t>110</w:t>
            </w:r>
          </w:p>
        </w:tc>
        <w:tc>
          <w:tcPr>
            <w:tcW w:w="2769" w:type="dxa"/>
            <w:vAlign w:val="center"/>
          </w:tcPr>
          <w:p w14:paraId="587D586A">
            <w:pPr>
              <w:spacing w:before="0" w:after="0" w:line="240" w:lineRule="auto"/>
              <w:jc w:val="center"/>
            </w:pPr>
            <w:r>
              <w:rPr>
                <w:rFonts w:ascii="宋体" w:hAnsi="宋体" w:eastAsia="宋体"/>
                <w:b w:val="0"/>
                <w:sz w:val="21"/>
              </w:rPr>
              <w:t>测试场地、试飞组织、安全保障、耗材使用</w:t>
            </w:r>
          </w:p>
        </w:tc>
      </w:tr>
      <w:tr w14:paraId="0000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5D031BA5">
            <w:pPr>
              <w:spacing w:before="0" w:after="0" w:line="240" w:lineRule="auto"/>
              <w:jc w:val="center"/>
            </w:pPr>
            <w:r>
              <w:rPr>
                <w:rFonts w:ascii="宋体" w:hAnsi="宋体" w:eastAsia="宋体"/>
                <w:b w:val="0"/>
                <w:sz w:val="21"/>
              </w:rPr>
              <w:t>设备与地面基础条件建设</w:t>
            </w:r>
          </w:p>
        </w:tc>
        <w:tc>
          <w:tcPr>
            <w:tcW w:w="2769" w:type="dxa"/>
            <w:vAlign w:val="center"/>
          </w:tcPr>
          <w:p w14:paraId="640A389A">
            <w:pPr>
              <w:spacing w:before="0" w:after="0" w:line="240" w:lineRule="auto"/>
              <w:jc w:val="center"/>
            </w:pPr>
            <w:r>
              <w:rPr>
                <w:rFonts w:ascii="宋体" w:hAnsi="宋体" w:eastAsia="宋体"/>
                <w:b w:val="0"/>
                <w:sz w:val="21"/>
              </w:rPr>
              <w:t>90</w:t>
            </w:r>
          </w:p>
        </w:tc>
        <w:tc>
          <w:tcPr>
            <w:tcW w:w="2769" w:type="dxa"/>
            <w:vAlign w:val="center"/>
          </w:tcPr>
          <w:p w14:paraId="2A283F9D">
            <w:pPr>
              <w:spacing w:before="0" w:after="0" w:line="240" w:lineRule="auto"/>
              <w:jc w:val="center"/>
            </w:pPr>
            <w:r>
              <w:rPr>
                <w:rFonts w:ascii="宋体" w:hAnsi="宋体" w:eastAsia="宋体"/>
                <w:b w:val="0"/>
                <w:sz w:val="21"/>
              </w:rPr>
              <w:t>地面站、工具设备、仓储及保障设施</w:t>
            </w:r>
          </w:p>
        </w:tc>
      </w:tr>
      <w:tr w14:paraId="48EF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2605BCB2">
            <w:pPr>
              <w:spacing w:before="0" w:after="0" w:line="240" w:lineRule="auto"/>
              <w:jc w:val="center"/>
            </w:pPr>
            <w:r>
              <w:rPr>
                <w:rFonts w:ascii="宋体" w:hAnsi="宋体" w:eastAsia="宋体"/>
                <w:b w:val="0"/>
                <w:sz w:val="21"/>
              </w:rPr>
              <w:t>市场试点与商务拓展</w:t>
            </w:r>
          </w:p>
        </w:tc>
        <w:tc>
          <w:tcPr>
            <w:tcW w:w="2769" w:type="dxa"/>
            <w:vAlign w:val="center"/>
          </w:tcPr>
          <w:p w14:paraId="0F9995CA">
            <w:pPr>
              <w:spacing w:before="0" w:after="0" w:line="240" w:lineRule="auto"/>
              <w:jc w:val="center"/>
            </w:pPr>
            <w:r>
              <w:rPr>
                <w:rFonts w:ascii="宋体" w:hAnsi="宋体" w:eastAsia="宋体"/>
                <w:b w:val="0"/>
                <w:sz w:val="21"/>
              </w:rPr>
              <w:t>80</w:t>
            </w:r>
          </w:p>
        </w:tc>
        <w:tc>
          <w:tcPr>
            <w:tcW w:w="2769" w:type="dxa"/>
            <w:vAlign w:val="center"/>
          </w:tcPr>
          <w:p w14:paraId="137D5037">
            <w:pPr>
              <w:spacing w:before="0" w:after="0" w:line="240" w:lineRule="auto"/>
              <w:jc w:val="center"/>
            </w:pPr>
            <w:r>
              <w:rPr>
                <w:rFonts w:ascii="宋体" w:hAnsi="宋体" w:eastAsia="宋体"/>
                <w:b w:val="0"/>
                <w:sz w:val="21"/>
              </w:rPr>
              <w:t>试点落地、商务对接、宣传展示</w:t>
            </w:r>
          </w:p>
        </w:tc>
      </w:tr>
      <w:tr w14:paraId="1443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4321A610">
            <w:pPr>
              <w:spacing w:before="0" w:after="0" w:line="240" w:lineRule="auto"/>
              <w:jc w:val="center"/>
            </w:pPr>
            <w:r>
              <w:rPr>
                <w:rFonts w:ascii="宋体" w:hAnsi="宋体" w:eastAsia="宋体"/>
                <w:b w:val="0"/>
                <w:sz w:val="21"/>
              </w:rPr>
              <w:t>团队运营与管理费用</w:t>
            </w:r>
          </w:p>
        </w:tc>
        <w:tc>
          <w:tcPr>
            <w:tcW w:w="2769" w:type="dxa"/>
            <w:vAlign w:val="center"/>
          </w:tcPr>
          <w:p w14:paraId="6E2E2A65">
            <w:pPr>
              <w:spacing w:before="0" w:after="0" w:line="240" w:lineRule="auto"/>
              <w:jc w:val="center"/>
            </w:pPr>
            <w:r>
              <w:rPr>
                <w:rFonts w:ascii="宋体" w:hAnsi="宋体" w:eastAsia="宋体"/>
                <w:b w:val="0"/>
                <w:sz w:val="21"/>
              </w:rPr>
              <w:t>90</w:t>
            </w:r>
          </w:p>
        </w:tc>
        <w:tc>
          <w:tcPr>
            <w:tcW w:w="2769" w:type="dxa"/>
            <w:vAlign w:val="center"/>
          </w:tcPr>
          <w:p w14:paraId="6482ED1B">
            <w:pPr>
              <w:spacing w:before="0" w:after="0" w:line="240" w:lineRule="auto"/>
              <w:jc w:val="center"/>
            </w:pPr>
            <w:r>
              <w:rPr>
                <w:rFonts w:ascii="宋体" w:hAnsi="宋体" w:eastAsia="宋体"/>
                <w:b w:val="0"/>
                <w:sz w:val="21"/>
              </w:rPr>
              <w:t>人员补贴、行政支出、日常管理</w:t>
            </w:r>
          </w:p>
        </w:tc>
      </w:tr>
      <w:tr w14:paraId="4D63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432BD240">
            <w:pPr>
              <w:spacing w:before="0" w:after="0" w:line="240" w:lineRule="auto"/>
              <w:jc w:val="center"/>
            </w:pPr>
            <w:r>
              <w:rPr>
                <w:rFonts w:ascii="宋体" w:hAnsi="宋体" w:eastAsia="宋体"/>
                <w:b w:val="0"/>
                <w:sz w:val="21"/>
              </w:rPr>
              <w:t>流动资金与风险储备</w:t>
            </w:r>
          </w:p>
        </w:tc>
        <w:tc>
          <w:tcPr>
            <w:tcW w:w="2769" w:type="dxa"/>
            <w:vAlign w:val="center"/>
          </w:tcPr>
          <w:p w14:paraId="3740958E">
            <w:pPr>
              <w:spacing w:before="0" w:after="0" w:line="240" w:lineRule="auto"/>
              <w:jc w:val="center"/>
            </w:pPr>
            <w:r>
              <w:rPr>
                <w:rFonts w:ascii="宋体" w:hAnsi="宋体" w:eastAsia="宋体"/>
                <w:b w:val="0"/>
                <w:sz w:val="21"/>
              </w:rPr>
              <w:t>50</w:t>
            </w:r>
          </w:p>
        </w:tc>
        <w:tc>
          <w:tcPr>
            <w:tcW w:w="2769" w:type="dxa"/>
            <w:vAlign w:val="center"/>
          </w:tcPr>
          <w:p w14:paraId="1758F2A9">
            <w:pPr>
              <w:spacing w:before="0" w:after="0" w:line="240" w:lineRule="auto"/>
              <w:jc w:val="center"/>
            </w:pPr>
            <w:r>
              <w:rPr>
                <w:rFonts w:ascii="宋体" w:hAnsi="宋体" w:eastAsia="宋体"/>
                <w:b w:val="0"/>
                <w:sz w:val="21"/>
              </w:rPr>
              <w:t>周转资金及不确定支出准备</w:t>
            </w:r>
          </w:p>
        </w:tc>
      </w:tr>
      <w:tr w14:paraId="46F3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26D62461">
            <w:pPr>
              <w:spacing w:before="0" w:after="0" w:line="240" w:lineRule="auto"/>
              <w:jc w:val="center"/>
            </w:pPr>
            <w:r>
              <w:rPr>
                <w:rFonts w:ascii="宋体" w:hAnsi="宋体" w:eastAsia="宋体"/>
                <w:b w:val="0"/>
                <w:sz w:val="21"/>
              </w:rPr>
              <w:t>合计</w:t>
            </w:r>
          </w:p>
        </w:tc>
        <w:tc>
          <w:tcPr>
            <w:tcW w:w="2769" w:type="dxa"/>
            <w:vAlign w:val="center"/>
          </w:tcPr>
          <w:p w14:paraId="268A8ED8">
            <w:pPr>
              <w:spacing w:before="0" w:after="0" w:line="240" w:lineRule="auto"/>
              <w:jc w:val="center"/>
            </w:pPr>
            <w:r>
              <w:rPr>
                <w:rFonts w:ascii="宋体" w:hAnsi="宋体" w:eastAsia="宋体"/>
                <w:b w:val="0"/>
                <w:sz w:val="21"/>
              </w:rPr>
              <w:t>800</w:t>
            </w:r>
          </w:p>
        </w:tc>
        <w:tc>
          <w:tcPr>
            <w:tcW w:w="2769" w:type="dxa"/>
            <w:vAlign w:val="center"/>
          </w:tcPr>
          <w:p w14:paraId="47923430">
            <w:pPr>
              <w:spacing w:before="0" w:after="0" w:line="240" w:lineRule="auto"/>
              <w:jc w:val="center"/>
            </w:pPr>
            <w:r>
              <w:rPr>
                <w:rFonts w:ascii="宋体" w:hAnsi="宋体" w:eastAsia="宋体"/>
                <w:b w:val="0"/>
                <w:sz w:val="21"/>
              </w:rPr>
              <w:t>项目启动期总预算</w:t>
            </w:r>
          </w:p>
        </w:tc>
      </w:tr>
    </w:tbl>
    <w:p w14:paraId="06C8FD5F"/>
    <w:p w14:paraId="3E74ADDF">
      <w:pPr>
        <w:pStyle w:val="4"/>
        <w:spacing w:before="0" w:after="0" w:line="240" w:lineRule="auto"/>
        <w:ind w:firstLine="0"/>
      </w:pPr>
      <w:bookmarkStart w:id="57" w:name="_Toc10841"/>
      <w:r>
        <w:rPr>
          <w:rFonts w:ascii="黑体" w:hAnsi="黑体" w:eastAsia="黑体"/>
          <w:b/>
          <w:sz w:val="24"/>
        </w:rPr>
        <w:t>（四）营业收入预测</w:t>
      </w:r>
      <w:bookmarkEnd w:id="5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0C53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3C6A330E">
            <w:pPr>
              <w:spacing w:before="0" w:after="0" w:line="240" w:lineRule="auto"/>
              <w:jc w:val="center"/>
            </w:pPr>
            <w:r>
              <w:rPr>
                <w:rFonts w:ascii="黑体" w:hAnsi="黑体" w:eastAsia="黑体"/>
                <w:b w:val="0"/>
                <w:sz w:val="22"/>
              </w:rPr>
              <w:t>年度</w:t>
            </w:r>
          </w:p>
        </w:tc>
        <w:tc>
          <w:tcPr>
            <w:tcW w:w="1661" w:type="dxa"/>
            <w:vAlign w:val="center"/>
          </w:tcPr>
          <w:p w14:paraId="3C1FBC6A">
            <w:pPr>
              <w:spacing w:before="0" w:after="0" w:line="240" w:lineRule="auto"/>
              <w:jc w:val="center"/>
            </w:pPr>
            <w:r>
              <w:rPr>
                <w:rFonts w:ascii="黑体" w:hAnsi="黑体" w:eastAsia="黑体"/>
                <w:b w:val="0"/>
                <w:sz w:val="22"/>
              </w:rPr>
              <w:t>预计营收（万元）</w:t>
            </w:r>
          </w:p>
        </w:tc>
        <w:tc>
          <w:tcPr>
            <w:tcW w:w="1661" w:type="dxa"/>
            <w:vAlign w:val="center"/>
          </w:tcPr>
          <w:p w14:paraId="7040F02D">
            <w:pPr>
              <w:spacing w:before="0" w:after="0" w:line="240" w:lineRule="auto"/>
              <w:jc w:val="center"/>
            </w:pPr>
            <w:r>
              <w:rPr>
                <w:rFonts w:ascii="黑体" w:hAnsi="黑体" w:eastAsia="黑体"/>
                <w:b w:val="0"/>
                <w:sz w:val="22"/>
              </w:rPr>
              <w:t>预计成本（万元）</w:t>
            </w:r>
          </w:p>
        </w:tc>
        <w:tc>
          <w:tcPr>
            <w:tcW w:w="1661" w:type="dxa"/>
            <w:vAlign w:val="center"/>
          </w:tcPr>
          <w:p w14:paraId="3DB83F9A">
            <w:pPr>
              <w:spacing w:before="0" w:after="0" w:line="240" w:lineRule="auto"/>
              <w:jc w:val="center"/>
            </w:pPr>
            <w:r>
              <w:rPr>
                <w:rFonts w:ascii="黑体" w:hAnsi="黑体" w:eastAsia="黑体"/>
                <w:b w:val="0"/>
                <w:sz w:val="22"/>
              </w:rPr>
              <w:t>预计利润（万元）</w:t>
            </w:r>
          </w:p>
        </w:tc>
        <w:tc>
          <w:tcPr>
            <w:tcW w:w="1661" w:type="dxa"/>
            <w:vAlign w:val="center"/>
          </w:tcPr>
          <w:p w14:paraId="7AAB07D2">
            <w:pPr>
              <w:spacing w:before="0" w:after="0" w:line="240" w:lineRule="auto"/>
              <w:jc w:val="center"/>
            </w:pPr>
            <w:r>
              <w:rPr>
                <w:rFonts w:ascii="黑体" w:hAnsi="黑体" w:eastAsia="黑体"/>
                <w:b w:val="0"/>
                <w:sz w:val="22"/>
              </w:rPr>
              <w:t>说明</w:t>
            </w:r>
          </w:p>
        </w:tc>
      </w:tr>
      <w:tr w14:paraId="2F43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592B210">
            <w:pPr>
              <w:spacing w:before="0" w:after="0" w:line="240" w:lineRule="auto"/>
              <w:jc w:val="center"/>
            </w:pPr>
            <w:r>
              <w:rPr>
                <w:rFonts w:ascii="宋体" w:hAnsi="宋体" w:eastAsia="宋体"/>
                <w:b w:val="0"/>
                <w:sz w:val="21"/>
              </w:rPr>
              <w:t>第1年</w:t>
            </w:r>
          </w:p>
        </w:tc>
        <w:tc>
          <w:tcPr>
            <w:tcW w:w="1661" w:type="dxa"/>
            <w:vAlign w:val="center"/>
          </w:tcPr>
          <w:p w14:paraId="3ECB095B">
            <w:pPr>
              <w:spacing w:before="0" w:after="0" w:line="240" w:lineRule="auto"/>
              <w:jc w:val="center"/>
            </w:pPr>
            <w:r>
              <w:rPr>
                <w:rFonts w:ascii="宋体" w:hAnsi="宋体" w:eastAsia="宋体"/>
                <w:b w:val="0"/>
                <w:sz w:val="21"/>
              </w:rPr>
              <w:t>200</w:t>
            </w:r>
          </w:p>
        </w:tc>
        <w:tc>
          <w:tcPr>
            <w:tcW w:w="1661" w:type="dxa"/>
            <w:vAlign w:val="center"/>
          </w:tcPr>
          <w:p w14:paraId="267CEA15">
            <w:pPr>
              <w:spacing w:before="0" w:after="0" w:line="240" w:lineRule="auto"/>
              <w:jc w:val="center"/>
            </w:pPr>
            <w:r>
              <w:rPr>
                <w:rFonts w:ascii="宋体" w:hAnsi="宋体" w:eastAsia="宋体"/>
                <w:b w:val="0"/>
                <w:sz w:val="21"/>
              </w:rPr>
              <w:t>500</w:t>
            </w:r>
          </w:p>
        </w:tc>
        <w:tc>
          <w:tcPr>
            <w:tcW w:w="1661" w:type="dxa"/>
            <w:vAlign w:val="center"/>
          </w:tcPr>
          <w:p w14:paraId="03F79C34">
            <w:pPr>
              <w:spacing w:before="0" w:after="0" w:line="240" w:lineRule="auto"/>
              <w:jc w:val="center"/>
            </w:pPr>
            <w:r>
              <w:rPr>
                <w:rFonts w:ascii="宋体" w:hAnsi="宋体" w:eastAsia="宋体"/>
                <w:b w:val="0"/>
                <w:sz w:val="21"/>
              </w:rPr>
              <w:t>-300</w:t>
            </w:r>
          </w:p>
        </w:tc>
        <w:tc>
          <w:tcPr>
            <w:tcW w:w="1661" w:type="dxa"/>
            <w:vAlign w:val="center"/>
          </w:tcPr>
          <w:p w14:paraId="483CEF72">
            <w:pPr>
              <w:spacing w:before="0" w:after="0" w:line="240" w:lineRule="auto"/>
              <w:jc w:val="center"/>
            </w:pPr>
            <w:r>
              <w:rPr>
                <w:rFonts w:ascii="宋体" w:hAnsi="宋体" w:eastAsia="宋体"/>
                <w:b w:val="0"/>
                <w:sz w:val="21"/>
              </w:rPr>
              <w:t>研发、试飞、合作洽谈与示范准备阶段</w:t>
            </w:r>
          </w:p>
        </w:tc>
      </w:tr>
      <w:tr w14:paraId="45BD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4A890E6">
            <w:pPr>
              <w:spacing w:before="0" w:after="0" w:line="240" w:lineRule="auto"/>
              <w:jc w:val="center"/>
            </w:pPr>
            <w:r>
              <w:rPr>
                <w:rFonts w:ascii="宋体" w:hAnsi="宋体" w:eastAsia="宋体"/>
                <w:b w:val="0"/>
                <w:sz w:val="21"/>
              </w:rPr>
              <w:t>第2年</w:t>
            </w:r>
          </w:p>
        </w:tc>
        <w:tc>
          <w:tcPr>
            <w:tcW w:w="1661" w:type="dxa"/>
            <w:vAlign w:val="center"/>
          </w:tcPr>
          <w:p w14:paraId="72D7290F">
            <w:pPr>
              <w:spacing w:before="0" w:after="0" w:line="240" w:lineRule="auto"/>
              <w:jc w:val="center"/>
            </w:pPr>
            <w:r>
              <w:rPr>
                <w:rFonts w:ascii="宋体" w:hAnsi="宋体" w:eastAsia="宋体"/>
                <w:b w:val="0"/>
                <w:sz w:val="21"/>
              </w:rPr>
              <w:t>1500</w:t>
            </w:r>
          </w:p>
        </w:tc>
        <w:tc>
          <w:tcPr>
            <w:tcW w:w="1661" w:type="dxa"/>
            <w:vAlign w:val="center"/>
          </w:tcPr>
          <w:p w14:paraId="2D4B264A">
            <w:pPr>
              <w:spacing w:before="0" w:after="0" w:line="240" w:lineRule="auto"/>
              <w:jc w:val="center"/>
            </w:pPr>
            <w:r>
              <w:rPr>
                <w:rFonts w:ascii="宋体" w:hAnsi="宋体" w:eastAsia="宋体"/>
                <w:b w:val="0"/>
                <w:sz w:val="21"/>
              </w:rPr>
              <w:t>1200</w:t>
            </w:r>
          </w:p>
        </w:tc>
        <w:tc>
          <w:tcPr>
            <w:tcW w:w="1661" w:type="dxa"/>
            <w:vAlign w:val="center"/>
          </w:tcPr>
          <w:p w14:paraId="51C4B6E0">
            <w:pPr>
              <w:spacing w:before="0" w:after="0" w:line="240" w:lineRule="auto"/>
              <w:jc w:val="center"/>
            </w:pPr>
            <w:r>
              <w:rPr>
                <w:rFonts w:ascii="宋体" w:hAnsi="宋体" w:eastAsia="宋体"/>
                <w:b w:val="0"/>
                <w:sz w:val="21"/>
              </w:rPr>
              <w:t>300</w:t>
            </w:r>
          </w:p>
        </w:tc>
        <w:tc>
          <w:tcPr>
            <w:tcW w:w="1661" w:type="dxa"/>
            <w:vAlign w:val="center"/>
          </w:tcPr>
          <w:p w14:paraId="12EC1D19">
            <w:pPr>
              <w:spacing w:before="0" w:after="0" w:line="240" w:lineRule="auto"/>
              <w:jc w:val="center"/>
            </w:pPr>
            <w:r>
              <w:rPr>
                <w:rFonts w:ascii="宋体" w:hAnsi="宋体" w:eastAsia="宋体"/>
                <w:b w:val="0"/>
                <w:sz w:val="21"/>
              </w:rPr>
              <w:t>试点航线启动并形成初步收入</w:t>
            </w:r>
          </w:p>
        </w:tc>
      </w:tr>
      <w:tr w14:paraId="2845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94046FD">
            <w:pPr>
              <w:spacing w:before="0" w:after="0" w:line="240" w:lineRule="auto"/>
              <w:jc w:val="center"/>
            </w:pPr>
            <w:r>
              <w:rPr>
                <w:rFonts w:ascii="宋体" w:hAnsi="宋体" w:eastAsia="宋体"/>
                <w:b w:val="0"/>
                <w:sz w:val="21"/>
              </w:rPr>
              <w:t>第3年</w:t>
            </w:r>
          </w:p>
        </w:tc>
        <w:tc>
          <w:tcPr>
            <w:tcW w:w="1661" w:type="dxa"/>
            <w:vAlign w:val="center"/>
          </w:tcPr>
          <w:p w14:paraId="068D3ECE">
            <w:pPr>
              <w:spacing w:before="0" w:after="0" w:line="240" w:lineRule="auto"/>
              <w:jc w:val="center"/>
            </w:pPr>
            <w:r>
              <w:rPr>
                <w:rFonts w:ascii="宋体" w:hAnsi="宋体" w:eastAsia="宋体"/>
                <w:b w:val="0"/>
                <w:sz w:val="21"/>
              </w:rPr>
              <w:t>5000</w:t>
            </w:r>
          </w:p>
        </w:tc>
        <w:tc>
          <w:tcPr>
            <w:tcW w:w="1661" w:type="dxa"/>
            <w:vAlign w:val="center"/>
          </w:tcPr>
          <w:p w14:paraId="45C14B09">
            <w:pPr>
              <w:spacing w:before="0" w:after="0" w:line="240" w:lineRule="auto"/>
              <w:jc w:val="center"/>
            </w:pPr>
            <w:r>
              <w:rPr>
                <w:rFonts w:ascii="宋体" w:hAnsi="宋体" w:eastAsia="宋体"/>
                <w:b w:val="0"/>
                <w:sz w:val="21"/>
              </w:rPr>
              <w:t>2800</w:t>
            </w:r>
          </w:p>
        </w:tc>
        <w:tc>
          <w:tcPr>
            <w:tcW w:w="1661" w:type="dxa"/>
            <w:vAlign w:val="center"/>
          </w:tcPr>
          <w:p w14:paraId="2B958333">
            <w:pPr>
              <w:spacing w:before="0" w:after="0" w:line="240" w:lineRule="auto"/>
              <w:jc w:val="center"/>
            </w:pPr>
            <w:r>
              <w:rPr>
                <w:rFonts w:ascii="宋体" w:hAnsi="宋体" w:eastAsia="宋体"/>
                <w:b w:val="0"/>
                <w:sz w:val="21"/>
              </w:rPr>
              <w:t>2200</w:t>
            </w:r>
          </w:p>
        </w:tc>
        <w:tc>
          <w:tcPr>
            <w:tcW w:w="1661" w:type="dxa"/>
            <w:vAlign w:val="center"/>
          </w:tcPr>
          <w:p w14:paraId="5C506858">
            <w:pPr>
              <w:spacing w:before="0" w:after="0" w:line="240" w:lineRule="auto"/>
              <w:jc w:val="center"/>
            </w:pPr>
            <w:r>
              <w:rPr>
                <w:rFonts w:ascii="宋体" w:hAnsi="宋体" w:eastAsia="宋体"/>
                <w:b w:val="0"/>
                <w:sz w:val="21"/>
              </w:rPr>
              <w:t>典型区域复制，客户结构扩展</w:t>
            </w:r>
          </w:p>
        </w:tc>
      </w:tr>
      <w:tr w14:paraId="6693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23C72ED">
            <w:pPr>
              <w:spacing w:before="0" w:after="0" w:line="240" w:lineRule="auto"/>
              <w:jc w:val="center"/>
            </w:pPr>
            <w:r>
              <w:rPr>
                <w:rFonts w:ascii="宋体" w:hAnsi="宋体" w:eastAsia="宋体"/>
                <w:b w:val="0"/>
                <w:sz w:val="21"/>
              </w:rPr>
              <w:t>第4年</w:t>
            </w:r>
          </w:p>
        </w:tc>
        <w:tc>
          <w:tcPr>
            <w:tcW w:w="1661" w:type="dxa"/>
            <w:vAlign w:val="center"/>
          </w:tcPr>
          <w:p w14:paraId="5C83605E">
            <w:pPr>
              <w:spacing w:before="0" w:after="0" w:line="240" w:lineRule="auto"/>
              <w:jc w:val="center"/>
            </w:pPr>
            <w:r>
              <w:rPr>
                <w:rFonts w:ascii="宋体" w:hAnsi="宋体" w:eastAsia="宋体"/>
                <w:b w:val="0"/>
                <w:sz w:val="21"/>
              </w:rPr>
              <w:t>8000</w:t>
            </w:r>
          </w:p>
        </w:tc>
        <w:tc>
          <w:tcPr>
            <w:tcW w:w="1661" w:type="dxa"/>
            <w:vAlign w:val="center"/>
          </w:tcPr>
          <w:p w14:paraId="1AD248A6">
            <w:pPr>
              <w:spacing w:before="0" w:after="0" w:line="240" w:lineRule="auto"/>
              <w:jc w:val="center"/>
            </w:pPr>
            <w:r>
              <w:rPr>
                <w:rFonts w:ascii="宋体" w:hAnsi="宋体" w:eastAsia="宋体"/>
                <w:b w:val="0"/>
                <w:sz w:val="21"/>
              </w:rPr>
              <w:t>3500</w:t>
            </w:r>
          </w:p>
        </w:tc>
        <w:tc>
          <w:tcPr>
            <w:tcW w:w="1661" w:type="dxa"/>
            <w:vAlign w:val="center"/>
          </w:tcPr>
          <w:p w14:paraId="5F37C808">
            <w:pPr>
              <w:spacing w:before="0" w:after="0" w:line="240" w:lineRule="auto"/>
              <w:jc w:val="center"/>
            </w:pPr>
            <w:r>
              <w:rPr>
                <w:rFonts w:ascii="宋体" w:hAnsi="宋体" w:eastAsia="宋体"/>
                <w:b w:val="0"/>
                <w:sz w:val="21"/>
              </w:rPr>
              <w:t>4500</w:t>
            </w:r>
          </w:p>
        </w:tc>
        <w:tc>
          <w:tcPr>
            <w:tcW w:w="1661" w:type="dxa"/>
            <w:vAlign w:val="center"/>
          </w:tcPr>
          <w:p w14:paraId="0ED01962">
            <w:pPr>
              <w:spacing w:before="0" w:after="0" w:line="240" w:lineRule="auto"/>
              <w:jc w:val="center"/>
            </w:pPr>
            <w:r>
              <w:rPr>
                <w:rFonts w:ascii="宋体" w:hAnsi="宋体" w:eastAsia="宋体"/>
                <w:b w:val="0"/>
                <w:sz w:val="21"/>
              </w:rPr>
              <w:t>区域联动与平台输出并行增长</w:t>
            </w:r>
          </w:p>
        </w:tc>
      </w:tr>
      <w:tr w14:paraId="0017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79DD3E2">
            <w:pPr>
              <w:spacing w:before="0" w:after="0" w:line="240" w:lineRule="auto"/>
              <w:jc w:val="center"/>
            </w:pPr>
            <w:r>
              <w:rPr>
                <w:rFonts w:ascii="宋体" w:hAnsi="宋体" w:eastAsia="宋体"/>
                <w:b w:val="0"/>
                <w:sz w:val="21"/>
              </w:rPr>
              <w:t>第5年</w:t>
            </w:r>
          </w:p>
        </w:tc>
        <w:tc>
          <w:tcPr>
            <w:tcW w:w="1661" w:type="dxa"/>
            <w:vAlign w:val="center"/>
          </w:tcPr>
          <w:p w14:paraId="17326DAC">
            <w:pPr>
              <w:spacing w:before="0" w:after="0" w:line="240" w:lineRule="auto"/>
              <w:jc w:val="center"/>
            </w:pPr>
            <w:r>
              <w:rPr>
                <w:rFonts w:ascii="宋体" w:hAnsi="宋体" w:eastAsia="宋体"/>
                <w:b w:val="0"/>
                <w:sz w:val="21"/>
              </w:rPr>
              <w:t>15000</w:t>
            </w:r>
          </w:p>
        </w:tc>
        <w:tc>
          <w:tcPr>
            <w:tcW w:w="1661" w:type="dxa"/>
            <w:vAlign w:val="center"/>
          </w:tcPr>
          <w:p w14:paraId="27665EEB">
            <w:pPr>
              <w:spacing w:before="0" w:after="0" w:line="240" w:lineRule="auto"/>
              <w:jc w:val="center"/>
            </w:pPr>
            <w:r>
              <w:rPr>
                <w:rFonts w:ascii="宋体" w:hAnsi="宋体" w:eastAsia="宋体"/>
                <w:b w:val="0"/>
                <w:sz w:val="21"/>
              </w:rPr>
              <w:t>5000</w:t>
            </w:r>
          </w:p>
        </w:tc>
        <w:tc>
          <w:tcPr>
            <w:tcW w:w="1661" w:type="dxa"/>
            <w:vAlign w:val="center"/>
          </w:tcPr>
          <w:p w14:paraId="7EC73346">
            <w:pPr>
              <w:spacing w:before="0" w:after="0" w:line="240" w:lineRule="auto"/>
              <w:jc w:val="center"/>
            </w:pPr>
            <w:r>
              <w:rPr>
                <w:rFonts w:ascii="宋体" w:hAnsi="宋体" w:eastAsia="宋体"/>
                <w:b w:val="0"/>
                <w:sz w:val="21"/>
              </w:rPr>
              <w:t>10000</w:t>
            </w:r>
          </w:p>
        </w:tc>
        <w:tc>
          <w:tcPr>
            <w:tcW w:w="1661" w:type="dxa"/>
            <w:vAlign w:val="center"/>
          </w:tcPr>
          <w:p w14:paraId="0C71CD46">
            <w:pPr>
              <w:spacing w:before="0" w:after="0" w:line="240" w:lineRule="auto"/>
              <w:jc w:val="center"/>
            </w:pPr>
            <w:r>
              <w:rPr>
                <w:rFonts w:ascii="宋体" w:hAnsi="宋体" w:eastAsia="宋体"/>
                <w:b w:val="0"/>
                <w:sz w:val="21"/>
              </w:rPr>
              <w:t>形成网络效应与多元收入结构</w:t>
            </w:r>
          </w:p>
        </w:tc>
      </w:tr>
    </w:tbl>
    <w:p w14:paraId="41486461"/>
    <w:p w14:paraId="6FB8252D">
      <w:pPr>
        <w:pStyle w:val="4"/>
        <w:spacing w:before="0" w:after="0" w:line="240" w:lineRule="auto"/>
        <w:ind w:firstLine="0"/>
      </w:pPr>
      <w:bookmarkStart w:id="58" w:name="_Toc29528"/>
      <w:r>
        <w:rPr>
          <w:rFonts w:ascii="黑体" w:hAnsi="黑体" w:eastAsia="黑体"/>
          <w:b/>
          <w:sz w:val="24"/>
        </w:rPr>
        <w:t>（五）损益与回收分析</w:t>
      </w:r>
      <w:bookmarkEnd w:id="58"/>
    </w:p>
    <w:p w14:paraId="619D83FC">
      <w:pPr>
        <w:spacing w:before="0" w:after="0" w:line="240" w:lineRule="auto"/>
        <w:ind w:firstLine="480"/>
        <w:jc w:val="both"/>
      </w:pPr>
      <w:r>
        <w:rPr>
          <w:rFonts w:ascii="宋体" w:hAnsi="宋体" w:eastAsia="宋体"/>
          <w:b w:val="0"/>
          <w:sz w:val="24"/>
        </w:rPr>
        <w:t>从测算结果看，项目在前期会经历较明显的研发投入期和市场培育期，因此第1年主要以投入为主，利润表现为负；随着第2年试点航线进入稳定运行，项目有望实现初步盈亏平衡；到第3年，随着业务量扩大、航线复制和服务结构丰富，项目的利润空间将快速释放。从长期看，只要项目能够持续提高设备利用率、控制运维成本并扩大客户复用率，整体盈利能力将不断增强。项目第五年营业收入目标达到1.5亿元，具备形成区域性低空物流品牌和稳定商业回报的可能性。</w:t>
      </w:r>
    </w:p>
    <w:p w14:paraId="4635294D">
      <w:pPr>
        <w:pStyle w:val="3"/>
        <w:spacing w:before="0" w:after="0" w:line="240" w:lineRule="auto"/>
        <w:ind w:firstLine="0"/>
      </w:pPr>
      <w:bookmarkStart w:id="59" w:name="_Toc14054"/>
      <w:r>
        <w:rPr>
          <w:rFonts w:ascii="黑体" w:hAnsi="黑体" w:eastAsia="黑体"/>
          <w:b/>
          <w:sz w:val="24"/>
        </w:rPr>
        <w:t>八、风险与控制</w:t>
      </w:r>
      <w:bookmarkEnd w:id="59"/>
    </w:p>
    <w:p w14:paraId="5AF02520">
      <w:pPr>
        <w:pStyle w:val="4"/>
        <w:spacing w:before="0" w:after="0" w:line="240" w:lineRule="auto"/>
        <w:ind w:firstLine="0"/>
      </w:pPr>
      <w:bookmarkStart w:id="60" w:name="_Toc5777"/>
      <w:r>
        <w:rPr>
          <w:rFonts w:ascii="黑体" w:hAnsi="黑体" w:eastAsia="黑体"/>
          <w:b/>
          <w:sz w:val="24"/>
        </w:rPr>
        <w:t>（一）政策与合规风险</w:t>
      </w:r>
      <w:bookmarkEnd w:id="60"/>
    </w:p>
    <w:p w14:paraId="0BCE5431">
      <w:pPr>
        <w:spacing w:before="0" w:after="0" w:line="240" w:lineRule="auto"/>
        <w:ind w:firstLine="480"/>
        <w:jc w:val="both"/>
      </w:pPr>
      <w:r>
        <w:rPr>
          <w:rFonts w:ascii="宋体" w:hAnsi="宋体" w:eastAsia="宋体"/>
          <w:b w:val="0"/>
          <w:sz w:val="24"/>
        </w:rPr>
        <w:t>低空物流项目受空域管理、飞行审批、运营资质和地方监管要求影响较大，一旦相关政策或审批机制发生变化，将对项目运行节奏和区域布局产生影响。对此，项目需要始终坚持合规先行原则，优先选择具备试点条件和政策支持基础的区域落地，同时提前准备相关资料，建立与地方主管部门的常态化沟通机制。</w:t>
      </w:r>
    </w:p>
    <w:p w14:paraId="6F8B2E39">
      <w:pPr>
        <w:pStyle w:val="4"/>
        <w:spacing w:before="0" w:after="0" w:line="240" w:lineRule="auto"/>
        <w:ind w:firstLine="0"/>
      </w:pPr>
      <w:bookmarkStart w:id="61" w:name="_Toc9918"/>
      <w:r>
        <w:rPr>
          <w:rFonts w:ascii="黑体" w:hAnsi="黑体" w:eastAsia="黑体"/>
          <w:b/>
          <w:sz w:val="24"/>
        </w:rPr>
        <w:t>（二）技术与安全风险</w:t>
      </w:r>
      <w:bookmarkEnd w:id="61"/>
    </w:p>
    <w:p w14:paraId="486C4943">
      <w:pPr>
        <w:spacing w:before="0" w:after="0" w:line="240" w:lineRule="auto"/>
        <w:ind w:firstLine="480"/>
        <w:jc w:val="both"/>
      </w:pPr>
      <w:r>
        <w:rPr>
          <w:rFonts w:ascii="宋体" w:hAnsi="宋体" w:eastAsia="宋体"/>
          <w:b w:val="0"/>
          <w:sz w:val="24"/>
        </w:rPr>
        <w:t>固定翼垂直起降无人机在系统集成、过渡控制、复杂环境飞行和长期可靠性方面均存在较高技术要求，若研发和验证不充分，可能影响项目后续运营安全。因此，项目必须坚持“先验证、后扩展”的思路，以多轮测试、分阶段放开和冗余设计为技术控制原则，把安全和可靠性放在商业化之前。</w:t>
      </w:r>
    </w:p>
    <w:p w14:paraId="17001097">
      <w:pPr>
        <w:pStyle w:val="4"/>
        <w:spacing w:before="0" w:after="0" w:line="240" w:lineRule="auto"/>
        <w:ind w:firstLine="0"/>
      </w:pPr>
      <w:bookmarkStart w:id="62" w:name="_Toc7708"/>
      <w:r>
        <w:rPr>
          <w:rFonts w:ascii="黑体" w:hAnsi="黑体" w:eastAsia="黑体"/>
          <w:b/>
          <w:sz w:val="24"/>
        </w:rPr>
        <w:t>（三）市场竞争风险</w:t>
      </w:r>
      <w:bookmarkEnd w:id="62"/>
    </w:p>
    <w:p w14:paraId="1E06717C">
      <w:pPr>
        <w:spacing w:before="0" w:after="0" w:line="240" w:lineRule="auto"/>
        <w:ind w:firstLine="480"/>
        <w:jc w:val="both"/>
      </w:pPr>
      <w:r>
        <w:rPr>
          <w:rFonts w:ascii="宋体" w:hAnsi="宋体" w:eastAsia="宋体"/>
          <w:b w:val="0"/>
          <w:sz w:val="24"/>
        </w:rPr>
        <w:t>随着低空经济热度上升，传统物流企业、无人机设备企业和其他创业团队都有可能加速进入相关市场。如果项目在差异化定位、客户关系维护和标准化能力建设上推进不足，容易在后续竞争中被更大体量的参与者挤压。因此，项目必须坚持细分场景切入和样板航线先行策略，用场景深耕和运营能力形成壁垒。</w:t>
      </w:r>
    </w:p>
    <w:p w14:paraId="33619B08">
      <w:pPr>
        <w:pStyle w:val="4"/>
        <w:spacing w:before="0" w:after="0" w:line="240" w:lineRule="auto"/>
        <w:ind w:firstLine="0"/>
      </w:pPr>
      <w:bookmarkStart w:id="63" w:name="_Toc24579"/>
      <w:r>
        <w:rPr>
          <w:rFonts w:ascii="黑体" w:hAnsi="黑体" w:eastAsia="黑体"/>
          <w:b/>
          <w:sz w:val="24"/>
        </w:rPr>
        <w:t>（四）资金与管理风险</w:t>
      </w:r>
      <w:bookmarkEnd w:id="63"/>
    </w:p>
    <w:p w14:paraId="12E39851">
      <w:pPr>
        <w:spacing w:before="0" w:after="0" w:line="240" w:lineRule="auto"/>
        <w:ind w:firstLine="480"/>
        <w:jc w:val="both"/>
      </w:pPr>
      <w:r>
        <w:rPr>
          <w:rFonts w:ascii="宋体" w:hAnsi="宋体" w:eastAsia="宋体"/>
          <w:b w:val="0"/>
          <w:sz w:val="24"/>
        </w:rPr>
        <w:t>创业项目普遍存在前期投入较大、回款周期较长和管理体系尚不完善的问题。如果在资金安排、团队分工、项目进度控制和合作管理方面缺乏系统性安排，就容易产生资源浪费或推进失序。对此，项目应实行分阶段预算管理和里程碑考核机制，严格控制固定支出，优先保障关键研发、试飞和试点所需资源。</w:t>
      </w:r>
    </w:p>
    <w:p w14:paraId="44FF2761">
      <w:pPr>
        <w:pStyle w:val="4"/>
        <w:spacing w:before="0" w:after="0" w:line="240" w:lineRule="auto"/>
        <w:ind w:firstLine="0"/>
      </w:pPr>
      <w:bookmarkStart w:id="64" w:name="_Toc820"/>
      <w:r>
        <w:rPr>
          <w:rFonts w:ascii="黑体" w:hAnsi="黑体" w:eastAsia="黑体"/>
          <w:b/>
          <w:sz w:val="24"/>
        </w:rPr>
        <w:t>（五）风险控制措施</w:t>
      </w:r>
      <w:bookmarkEnd w:id="64"/>
    </w:p>
    <w:p w14:paraId="506C27B8">
      <w:pPr>
        <w:spacing w:before="0" w:after="0" w:line="240" w:lineRule="auto"/>
        <w:ind w:firstLine="480"/>
        <w:jc w:val="both"/>
      </w:pPr>
      <w:r>
        <w:rPr>
          <w:rFonts w:ascii="宋体" w:hAnsi="宋体" w:eastAsia="宋体"/>
          <w:b w:val="0"/>
          <w:sz w:val="24"/>
        </w:rPr>
        <w:t>综合来看，本项目的风险控制应围绕“制度建设、技术验证、场景选择、资金节奏和合作机制”五个层面展开。制度建设方面，要形成飞行、运维、审批和应急处置规范；技术验证方面，要以多轮测试和迭代优化确保平台成熟度；场景选择方面，要优先进入需求明确、合作基础较好的试点区域；资金节奏方面，要分步融资、分步投放，避免超前扩张；合作机制方面，要通过校地合作、校企合作和联合运营降低项目独立承担的压力。只要项目能够在早期把握节奏、守住安全底线并建立标准化能力，整体风险将处于可控范围之内。</w:t>
      </w:r>
    </w:p>
    <w:sectPr>
      <w:footerReference r:id="rId5" w:type="default"/>
      <w:pgSz w:w="11906" w:h="16838"/>
      <w:pgMar w:top="1440" w:right="1800" w:bottom="1440" w:left="1800" w:header="850" w:footer="99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隶书">
    <w:panose1 w:val="02010509060101010101"/>
    <w:charset w:val="86"/>
    <w:family w:val="auto"/>
    <w:pitch w:val="default"/>
    <w:sig w:usb0="00000001"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E90B3">
    <w:pPr>
      <w:pStyle w:val="2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CC4C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ind w:firstLine="480"/>
      <w:jc w:val="both"/>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0" w:after="0" w:line="240" w:lineRule="auto"/>
      <w:ind w:firstLine="0"/>
      <w:jc w:val="left"/>
      <w:outlineLvl w:val="0"/>
    </w:pPr>
    <w:rPr>
      <w:rFonts w:asciiTheme="majorHAnsi" w:hAnsiTheme="majorHAnsi" w:eastAsiaTheme="majorEastAsia" w:cstheme="majorBidi"/>
      <w:b/>
      <w:bCs/>
      <w:color w:val="376092" w:themeColor="accent1" w:themeShade="BF"/>
      <w:sz w:val="24"/>
      <w:szCs w:val="28"/>
    </w:rPr>
  </w:style>
  <w:style w:type="paragraph" w:styleId="4">
    <w:name w:val="heading 2"/>
    <w:basedOn w:val="1"/>
    <w:next w:val="1"/>
    <w:link w:val="142"/>
    <w:unhideWhenUsed/>
    <w:qFormat/>
    <w:uiPriority w:val="9"/>
    <w:pPr>
      <w:keepNext/>
      <w:keepLines/>
      <w:spacing w:before="0" w:after="0" w:line="240" w:lineRule="auto"/>
      <w:ind w:firstLine="0"/>
      <w:jc w:val="lef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0" w:after="0" w:line="240" w:lineRule="auto"/>
      <w:ind w:firstLine="0"/>
      <w:jc w:val="lef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Style"/>
    <w:qFormat/>
    <w:uiPriority w:val="0"/>
    <w:pPr>
      <w:spacing w:before="0" w:after="0" w:line="240" w:lineRule="auto"/>
      <w:ind w:firstLine="480"/>
      <w:jc w:val="both"/>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梭梭</cp:lastModifiedBy>
  <dcterms:modified xsi:type="dcterms:W3CDTF">2026-03-28T15:05:46Z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227EDC3B4BD84FF99F1783A934B31308_12</vt:lpwstr>
  </property>
</Properties>
</file>