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2"/>
        </w:rPr>
        <w:t>Azure Well-Architected Framework Review</w:t>
      </w:r>
    </w:p>
    <w:p>
      <w:pPr>
        <w:jc w:val="center"/>
      </w:pPr>
      <w:r>
        <w:rPr>
          <w:color w:val="444444"/>
          <w:sz w:val="32"/>
        </w:rPr>
        <w:t>Workload: Contoso E-Commerce Platform</w:t>
      </w:r>
    </w:p>
    <w:p>
      <w:pPr>
        <w:jc w:val="center"/>
      </w:pPr>
      <w:r>
        <w:rPr>
          <w:sz w:val="20"/>
        </w:rPr>
        <w:t>Review Date: March 05, 2026   |   Prepared by: Cloud Architecture Team   |   Version: 1.0</w:t>
      </w:r>
    </w:p>
    <w:p/>
    <w:p>
      <w:pPr>
        <w:pStyle w:val="Heading1"/>
      </w:pPr>
      <w:r>
        <w:t>1. Executive Summary</w:t>
      </w:r>
    </w:p>
    <w:p>
      <w:r>
        <w:t>This Well-Architected Framework (WAF) review assesses the Contoso E-Commerce Platform, a customer-facing retail application serving ~500,000 monthly active users across Australia, Southeast Asia, and North America. The review follows the Azure Architecture Center methodology and evaluates the workload across all five WAF pillars: Reliability, Security, Cost Optimization, Operational Excellence, and Performance Efficiency.</w:t>
      </w:r>
    </w:p>
    <w:p>
      <w:pPr>
        <w:pStyle w:val="Heading3"/>
      </w:pPr>
      <w:r>
        <w:t>Overall Pillar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WAF Pillar</w:t>
            </w:r>
          </w:p>
        </w:tc>
        <w:tc>
          <w:tcPr>
            <w:tcW w:type="dxa" w:w="324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Score (1–5)</w:t>
            </w:r>
          </w:p>
        </w:tc>
        <w:tc>
          <w:tcPr>
            <w:tcW w:type="dxa" w:w="324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324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240"/>
            <w:shd w:fill="D6E4FF" w:val="clear"/>
          </w:tcPr>
          <w:p>
            <w:r/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3240"/>
          </w:tcPr>
          <w:p>
            <w:r>
              <w:t>3 / 5</w:t>
            </w:r>
          </w:p>
        </w:tc>
        <w:tc>
          <w:tcPr>
            <w:tcW w:type="dxa" w:w="3240"/>
            <w:shd w:fill="FF9900" w:val="clear"/>
          </w:tcPr>
          <w:p>
            <w:r/>
            <w:r>
              <w:rPr>
                <w:b w:val="0"/>
                <w:sz w:val="20"/>
              </w:rPr>
              <w:t>Medium Risk</w:t>
            </w:r>
          </w:p>
        </w:tc>
        <w:tc>
          <w:tcPr>
            <w:tcW w:type="dxa" w:w="324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240"/>
            <w:shd w:fill="FFE4CC" w:val="clear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3240"/>
          </w:tcPr>
          <w:p>
            <w:r>
              <w:t>4 / 5</w:t>
            </w:r>
          </w:p>
        </w:tc>
        <w:tc>
          <w:tcPr>
            <w:tcW w:type="dxa" w:w="3240"/>
            <w:shd w:fill="FFD966" w:val="clear"/>
          </w:tcPr>
          <w:p>
            <w:r/>
            <w:r>
              <w:rPr>
                <w:b w:val="0"/>
                <w:sz w:val="20"/>
              </w:rPr>
              <w:t>Low Risk</w:t>
            </w:r>
          </w:p>
        </w:tc>
        <w:tc>
          <w:tcPr>
            <w:tcW w:type="dxa" w:w="324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240"/>
            <w:shd w:fill="D6F5D6" w:val="clear"/>
          </w:tcPr>
          <w:p>
            <w:r/>
            <w:r>
              <w:rPr>
                <w:b w:val="0"/>
                <w:sz w:val="20"/>
              </w:rPr>
              <w:t>Cost Optimization</w:t>
            </w:r>
          </w:p>
        </w:tc>
        <w:tc>
          <w:tcPr>
            <w:tcW w:type="dxa" w:w="3240"/>
          </w:tcPr>
          <w:p>
            <w:r>
              <w:t>2 / 5</w:t>
            </w:r>
          </w:p>
        </w:tc>
        <w:tc>
          <w:tcPr>
            <w:tcW w:type="dxa" w:w="3240"/>
            <w:shd w:fill="FF4444" w:val="clear"/>
          </w:tcPr>
          <w:p>
            <w:r/>
            <w:r>
              <w:rPr>
                <w:b w:val="0"/>
                <w:sz w:val="20"/>
              </w:rPr>
              <w:t>High Risk</w:t>
            </w:r>
          </w:p>
        </w:tc>
        <w:tc>
          <w:tcPr>
            <w:tcW w:type="dxa" w:w="324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3240"/>
            <w:shd w:fill="FFF3CC" w:val="clear"/>
          </w:tcPr>
          <w:p>
            <w:r/>
            <w:r>
              <w:rPr>
                <w:b w:val="0"/>
                <w:sz w:val="20"/>
              </w:rPr>
              <w:t>Operational Excellence</w:t>
            </w:r>
          </w:p>
        </w:tc>
        <w:tc>
          <w:tcPr>
            <w:tcW w:type="dxa" w:w="3240"/>
          </w:tcPr>
          <w:p>
            <w:r>
              <w:t>3 / 5</w:t>
            </w:r>
          </w:p>
        </w:tc>
        <w:tc>
          <w:tcPr>
            <w:tcW w:type="dxa" w:w="3240"/>
            <w:shd w:fill="FF9900" w:val="clear"/>
          </w:tcPr>
          <w:p>
            <w:r/>
            <w:r>
              <w:rPr>
                <w:b w:val="0"/>
                <w:sz w:val="20"/>
              </w:rPr>
              <w:t>Medium Risk</w:t>
            </w:r>
          </w:p>
        </w:tc>
        <w:tc>
          <w:tcPr>
            <w:tcW w:type="dxa" w:w="324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3240"/>
            <w:shd w:fill="F5D6FF" w:val="clear"/>
          </w:tcPr>
          <w:p>
            <w:r/>
            <w:r>
              <w:rPr>
                <w:b w:val="0"/>
                <w:sz w:val="20"/>
              </w:rPr>
              <w:t>Performance Efficiency</w:t>
            </w:r>
          </w:p>
        </w:tc>
        <w:tc>
          <w:tcPr>
            <w:tcW w:type="dxa" w:w="3240"/>
          </w:tcPr>
          <w:p>
            <w:r>
              <w:t>3 / 5</w:t>
            </w:r>
          </w:p>
        </w:tc>
        <w:tc>
          <w:tcPr>
            <w:tcW w:type="dxa" w:w="3240"/>
            <w:shd w:fill="FF9900" w:val="clear"/>
          </w:tcPr>
          <w:p>
            <w:r/>
            <w:r>
              <w:rPr>
                <w:b w:val="0"/>
                <w:sz w:val="20"/>
              </w:rPr>
              <w:t>Medium Risk</w:t>
            </w:r>
          </w:p>
        </w:tc>
        <w:tc>
          <w:tcPr>
            <w:tcW w:type="dxa" w:w="324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</w:tbl>
    <w:p/>
    <w:p>
      <w:pPr>
        <w:pStyle w:val="Heading1"/>
      </w:pPr>
      <w:r>
        <w:t>2. Workload Overview</w:t>
      </w:r>
    </w:p>
    <w:p>
      <w:pPr>
        <w:pStyle w:val="Heading2"/>
      </w:pPr>
      <w:r>
        <w:t>2.1 Architecture Style</w:t>
      </w:r>
    </w:p>
    <w:p>
      <w:r>
        <w:t>The platform follows a Microservices architecture deployed on Azure Kubernetes Service (AKS), fronted by Azure API Management and Azure Front Door for global load balancing. Core services include: Product Catalog, Order Management, Payment Processing, User Identity, Inventory, and Notification services.</w:t>
      </w:r>
    </w:p>
    <w:p>
      <w:pPr>
        <w:pStyle w:val="Heading2"/>
      </w:pPr>
      <w:r>
        <w:t>2.2 Key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48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Target / Value</w:t>
            </w:r>
          </w:p>
        </w:tc>
      </w:tr>
      <w:tr>
        <w:tc>
          <w:tcPr>
            <w:tcW w:type="dxa" w:w="6480"/>
          </w:tcPr>
          <w:p>
            <w:r>
              <w:t>Availability target</w:t>
            </w:r>
          </w:p>
        </w:tc>
        <w:tc>
          <w:tcPr>
            <w:tcW w:type="dxa" w:w="6480"/>
          </w:tcPr>
          <w:p>
            <w:r>
              <w:t>99.9% (current), target 99.95%</w:t>
            </w:r>
          </w:p>
        </w:tc>
      </w:tr>
      <w:tr>
        <w:tc>
          <w:tcPr>
            <w:tcW w:type="dxa" w:w="6480"/>
          </w:tcPr>
          <w:p>
            <w:r>
              <w:t>Latency (p95)</w:t>
            </w:r>
          </w:p>
        </w:tc>
        <w:tc>
          <w:tcPr>
            <w:tcW w:type="dxa" w:w="6480"/>
          </w:tcPr>
          <w:p>
            <w:r>
              <w:t>&lt; 300 ms for product browsing; &lt; 500 ms for checkout</w:t>
            </w:r>
          </w:p>
        </w:tc>
      </w:tr>
      <w:tr>
        <w:tc>
          <w:tcPr>
            <w:tcW w:type="dxa" w:w="6480"/>
          </w:tcPr>
          <w:p>
            <w:r>
              <w:t>Peak throughput</w:t>
            </w:r>
          </w:p>
        </w:tc>
        <w:tc>
          <w:tcPr>
            <w:tcW w:type="dxa" w:w="6480"/>
          </w:tcPr>
          <w:p>
            <w:r>
              <w:t>5,000 requests/sec during sales events</w:t>
            </w:r>
          </w:p>
        </w:tc>
      </w:tr>
      <w:tr>
        <w:tc>
          <w:tcPr>
            <w:tcW w:type="dxa" w:w="6480"/>
          </w:tcPr>
          <w:p>
            <w:r>
              <w:t>Data residency</w:t>
            </w:r>
          </w:p>
        </w:tc>
        <w:tc>
          <w:tcPr>
            <w:tcW w:type="dxa" w:w="6480"/>
          </w:tcPr>
          <w:p>
            <w:r>
              <w:t>Australia East (primary), Southeast Asia (DR)</w:t>
            </w:r>
          </w:p>
        </w:tc>
      </w:tr>
      <w:tr>
        <w:tc>
          <w:tcPr>
            <w:tcW w:type="dxa" w:w="6480"/>
          </w:tcPr>
          <w:p>
            <w:r>
              <w:t>RTO / RPO</w:t>
            </w:r>
          </w:p>
        </w:tc>
        <w:tc>
          <w:tcPr>
            <w:tcW w:type="dxa" w:w="6480"/>
          </w:tcPr>
          <w:p>
            <w:r>
              <w:t>4 hours / 1 hour</w:t>
            </w:r>
          </w:p>
        </w:tc>
      </w:tr>
      <w:tr>
        <w:tc>
          <w:tcPr>
            <w:tcW w:type="dxa" w:w="6480"/>
          </w:tcPr>
          <w:p>
            <w:r>
              <w:t>Compliance</w:t>
            </w:r>
          </w:p>
        </w:tc>
        <w:tc>
          <w:tcPr>
            <w:tcW w:type="dxa" w:w="6480"/>
          </w:tcPr>
          <w:p>
            <w:r>
              <w:t>PCI-DSS (payment), GDPR, Australian Privacy Act</w:t>
            </w:r>
          </w:p>
        </w:tc>
      </w:tr>
    </w:tbl>
    <w:p/>
    <w:p>
      <w:pPr>
        <w:pStyle w:val="Heading2"/>
      </w:pPr>
      <w:r>
        <w:t>2.3 Azure Services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Azure Services</w:t>
            </w:r>
          </w:p>
        </w:tc>
      </w:tr>
      <w:tr>
        <w:tc>
          <w:tcPr>
            <w:tcW w:type="dxa" w:w="6480"/>
          </w:tcPr>
          <w:p>
            <w:r>
              <w:t>Compute</w:t>
            </w:r>
          </w:p>
        </w:tc>
        <w:tc>
          <w:tcPr>
            <w:tcW w:type="dxa" w:w="6480"/>
          </w:tcPr>
          <w:p>
            <w:r>
              <w:t>AKS (node pools: system + user), Azure Container Apps (background jobs)</w:t>
            </w:r>
          </w:p>
        </w:tc>
      </w:tr>
      <w:tr>
        <w:tc>
          <w:tcPr>
            <w:tcW w:type="dxa" w:w="6480"/>
          </w:tcPr>
          <w:p>
            <w:r>
              <w:t>Data</w:t>
            </w:r>
          </w:p>
        </w:tc>
        <w:tc>
          <w:tcPr>
            <w:tcW w:type="dxa" w:w="6480"/>
          </w:tcPr>
          <w:p>
            <w:r>
              <w:t>Azure Cosmos DB (orders, catalog), Azure SQL Database (inventory), Redis Cache</w:t>
            </w:r>
          </w:p>
        </w:tc>
      </w:tr>
      <w:tr>
        <w:tc>
          <w:tcPr>
            <w:tcW w:type="dxa" w:w="6480"/>
          </w:tcPr>
          <w:p>
            <w:r>
              <w:t>Messaging</w:t>
            </w:r>
          </w:p>
        </w:tc>
        <w:tc>
          <w:tcPr>
            <w:tcW w:type="dxa" w:w="6480"/>
          </w:tcPr>
          <w:p>
            <w:r>
              <w:t>Azure Service Bus (order events), Azure Event Grid (notifications)</w:t>
            </w:r>
          </w:p>
        </w:tc>
      </w:tr>
      <w:tr>
        <w:tc>
          <w:tcPr>
            <w:tcW w:type="dxa" w:w="6480"/>
          </w:tcPr>
          <w:p>
            <w:r>
              <w:t>Networking</w:t>
            </w:r>
          </w:p>
        </w:tc>
        <w:tc>
          <w:tcPr>
            <w:tcW w:type="dxa" w:w="6480"/>
          </w:tcPr>
          <w:p>
            <w:r>
              <w:t>Azure Front Door, API Management, Application Gateway, VNet + Private Endpoints</w:t>
            </w:r>
          </w:p>
        </w:tc>
      </w:tr>
      <w:tr>
        <w:tc>
          <w:tcPr>
            <w:tcW w:type="dxa" w:w="6480"/>
          </w:tcPr>
          <w:p>
            <w:r>
              <w:t>Storage</w:t>
            </w:r>
          </w:p>
        </w:tc>
        <w:tc>
          <w:tcPr>
            <w:tcW w:type="dxa" w:w="6480"/>
          </w:tcPr>
          <w:p>
            <w:r>
              <w:t>Azure Blob Storage (product images, exports)</w:t>
            </w:r>
          </w:p>
        </w:tc>
      </w:tr>
      <w:tr>
        <w:tc>
          <w:tcPr>
            <w:tcW w:type="dxa" w:w="6480"/>
          </w:tcPr>
          <w:p>
            <w:r>
              <w:t>Identity</w:t>
            </w:r>
          </w:p>
        </w:tc>
        <w:tc>
          <w:tcPr>
            <w:tcW w:type="dxa" w:w="6480"/>
          </w:tcPr>
          <w:p>
            <w:r>
              <w:t>Microsoft Entra ID, Managed Identity, Key Vault</w:t>
            </w:r>
          </w:p>
        </w:tc>
      </w:tr>
      <w:tr>
        <w:tc>
          <w:tcPr>
            <w:tcW w:type="dxa" w:w="6480"/>
          </w:tcPr>
          <w:p>
            <w:r>
              <w:t>Monitoring</w:t>
            </w:r>
          </w:p>
        </w:tc>
        <w:tc>
          <w:tcPr>
            <w:tcW w:type="dxa" w:w="6480"/>
          </w:tcPr>
          <w:p>
            <w:r>
              <w:t>Application Insights, Azure Monitor, Log Analytics Workspace</w:t>
            </w:r>
          </w:p>
        </w:tc>
      </w:tr>
    </w:tbl>
    <w:p/>
    <w:p>
      <w:pPr>
        <w:pStyle w:val="Heading1"/>
      </w:pPr>
      <w:r>
        <w:t>3. WAF Pillar Assessments</w:t>
      </w:r>
    </w:p>
    <w:p>
      <w:pPr>
        <w:pStyle w:val="Heading2"/>
      </w:pPr>
      <w:r>
        <w:t>3.1 Reliability — Score: 3/5</w:t>
      </w:r>
    </w:p>
    <w:p>
      <w:r>
        <w:rPr>
          <w:b/>
        </w:rPr>
        <w:t xml:space="preserve">Summary: </w:t>
      </w:r>
      <w:r>
        <w:t>The workload has foundational reliability controls in place but lacks full redundancy at the data layer and has no tested disaster recovery runbook.</w:t>
      </w:r>
    </w:p>
    <w:p>
      <w:pPr>
        <w:pStyle w:val="Heading3"/>
      </w:pPr>
      <w:r>
        <w:t>Findings &amp; 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AKS node pools are not zone-redundant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Enable availability zones on all AKS node pools</w:t>
            </w:r>
          </w:p>
        </w:tc>
      </w:tr>
      <w:tr>
        <w:tc>
          <w:tcPr>
            <w:tcW w:type="dxa" w:w="4320"/>
          </w:tcPr>
          <w:p>
            <w:r>
              <w:t>No automated failover to DR region tested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Implement and test Azure Site Recovery + Cosmos DB multi-region writes</w:t>
            </w:r>
          </w:p>
        </w:tc>
      </w:tr>
      <w:tr>
        <w:tc>
          <w:tcPr>
            <w:tcW w:type="dxa" w:w="4320"/>
          </w:tcPr>
          <w:p>
            <w:r>
              <w:t>Circuit breaker not implemented on Payment service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Apply Circuit Breaker pattern using Polly library</w:t>
            </w:r>
          </w:p>
        </w:tc>
      </w:tr>
      <w:tr>
        <w:tc>
          <w:tcPr>
            <w:tcW w:type="dxa" w:w="4320"/>
          </w:tcPr>
          <w:p>
            <w:r>
              <w:t>Health endpoints exist but not consumed by LB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Configure AKS readiness/liveness probes and Front Door health checks</w:t>
            </w:r>
          </w:p>
        </w:tc>
      </w:tr>
      <w:tr>
        <w:tc>
          <w:tcPr>
            <w:tcW w:type="dxa" w:w="4320"/>
          </w:tcPr>
          <w:p>
            <w:r>
              <w:t>Redis Cache is single instance (no geo-replication)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Enable Azure Cache for Redis geo-replication (Premium tier)</w:t>
            </w:r>
          </w:p>
        </w:tc>
      </w:tr>
      <w:tr>
        <w:tc>
          <w:tcPr>
            <w:tcW w:type="dxa" w:w="4320"/>
          </w:tcPr>
          <w:p>
            <w:r>
              <w:t>RTO/RPO not formally measured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Conduct quarterly DR drills with measured RTO/RPO</w:t>
            </w:r>
          </w:p>
        </w:tc>
      </w:tr>
    </w:tbl>
    <w:p>
      <w:r>
        <w:rPr>
          <w:b/>
        </w:rPr>
        <w:t xml:space="preserve">Recommended Patterns: </w:t>
      </w:r>
      <w:r>
        <w:t>Circuit Breaker, Health Endpoint Monitoring, Retry, Bulkhead, Saga</w:t>
      </w:r>
    </w:p>
    <w:p/>
    <w:p>
      <w:pPr>
        <w:pStyle w:val="Heading2"/>
      </w:pPr>
      <w:r>
        <w:t>3.2 Security — Score: 4/5</w:t>
      </w:r>
    </w:p>
    <w:p>
      <w:r>
        <w:rPr>
          <w:b/>
        </w:rPr>
        <w:t xml:space="preserve">Summary: </w:t>
      </w:r>
      <w:r>
        <w:t>Security posture is strong with managed identity and Key Vault in use. Minor gaps exist in network segmentation and secret rotation automation.</w:t>
      </w:r>
    </w:p>
    <w:p>
      <w:pPr>
        <w:pStyle w:val="Heading3"/>
      </w:pPr>
      <w:r>
        <w:t>Findings &amp; 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Some services still use connection strings in env vars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Migrate all secrets to Key Vault; use managed identity references</w:t>
            </w:r>
          </w:p>
        </w:tc>
      </w:tr>
      <w:tr>
        <w:tc>
          <w:tcPr>
            <w:tcW w:type="dxa" w:w="4320"/>
          </w:tcPr>
          <w:p>
            <w:r>
              <w:t>No WAF policy on Application Gateway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Enable OWASP 3.2 ruleset on Azure WAF</w:t>
            </w:r>
          </w:p>
        </w:tc>
      </w:tr>
      <w:tr>
        <w:tc>
          <w:tcPr>
            <w:tcW w:type="dxa" w:w="4320"/>
          </w:tcPr>
          <w:p>
            <w:r>
              <w:t>Container images not scanned in CI/CD pipeline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Integrate Microsoft Defender for Containers image scanning</w:t>
            </w:r>
          </w:p>
        </w:tc>
      </w:tr>
      <w:tr>
        <w:tc>
          <w:tcPr>
            <w:tcW w:type="dxa" w:w="4320"/>
          </w:tcPr>
          <w:p>
            <w:r>
              <w:t>Key Vault secret rotation not automated</w:t>
            </w:r>
          </w:p>
        </w:tc>
        <w:tc>
          <w:tcPr>
            <w:tcW w:type="dxa" w:w="4320"/>
            <w:shd w:fill="FFD966" w:val="clea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4320"/>
          </w:tcPr>
          <w:p>
            <w:r>
              <w:t>Configure Key Vault rotation policies and event-triggered rotation</w:t>
            </w:r>
          </w:p>
        </w:tc>
      </w:tr>
    </w:tbl>
    <w:p>
      <w:r>
        <w:rPr>
          <w:b/>
        </w:rPr>
        <w:t xml:space="preserve">Recommended Patterns: </w:t>
      </w:r>
      <w:r>
        <w:t>Gatekeeper, Federated Identity, Valet Key, Rate Limiting</w:t>
      </w:r>
    </w:p>
    <w:p/>
    <w:p>
      <w:pPr>
        <w:pStyle w:val="Heading2"/>
      </w:pPr>
      <w:r>
        <w:t>3.3 Cost Optimization — Score: 2/5</w:t>
      </w:r>
    </w:p>
    <w:p>
      <w:r>
        <w:rPr>
          <w:b/>
        </w:rPr>
        <w:t xml:space="preserve">Summary: </w:t>
      </w:r>
      <w:r>
        <w:t>Cost is the weakest pillar. AKS node pools are over-provisioned, no reserved instances are in use, and blob storage lifecycle policies are absent.</w:t>
      </w:r>
    </w:p>
    <w:p>
      <w:pPr>
        <w:pStyle w:val="Heading3"/>
      </w:pPr>
      <w:r>
        <w:t>Findings &amp; 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AKS node pools always at peak capacity — no autoscaling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Enable KEDA-based autoscaling; configure cluster autoscaler</w:t>
            </w:r>
          </w:p>
        </w:tc>
      </w:tr>
      <w:tr>
        <w:tc>
          <w:tcPr>
            <w:tcW w:type="dxa" w:w="4320"/>
          </w:tcPr>
          <w:p>
            <w:r>
              <w:t>No Azure Reservations or Savings Plans purchased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Purchase 1-year reservations for AKS nodes and Cosmos DB RUs</w:t>
            </w:r>
          </w:p>
        </w:tc>
      </w:tr>
      <w:tr>
        <w:tc>
          <w:tcPr>
            <w:tcW w:type="dxa" w:w="4320"/>
          </w:tcPr>
          <w:p>
            <w:r>
              <w:t>Blob Storage — no lifecycle tiering policy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Move images older than 90 days to Cool, 365 days to Archive tier</w:t>
            </w:r>
          </w:p>
        </w:tc>
      </w:tr>
      <w:tr>
        <w:tc>
          <w:tcPr>
            <w:tcW w:type="dxa" w:w="4320"/>
          </w:tcPr>
          <w:p>
            <w:r>
              <w:t>Dev/test environments run 24/7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Auto-shutdown dev clusters outside business hours with AKS start/stop</w:t>
            </w:r>
          </w:p>
        </w:tc>
      </w:tr>
      <w:tr>
        <w:tc>
          <w:tcPr>
            <w:tcW w:type="dxa" w:w="4320"/>
          </w:tcPr>
          <w:p>
            <w:r>
              <w:t>Cosmos DB provisioned RUs not right-sized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Switch to autoscale RUs; monitor normalized RU consumption</w:t>
            </w:r>
          </w:p>
        </w:tc>
      </w:tr>
      <w:tr>
        <w:tc>
          <w:tcPr>
            <w:tcW w:type="dxa" w:w="4320"/>
          </w:tcPr>
          <w:p>
            <w:r>
              <w:t>No cost alerts or budgets configured</w:t>
            </w:r>
          </w:p>
        </w:tc>
        <w:tc>
          <w:tcPr>
            <w:tcW w:type="dxa" w:w="4320"/>
            <w:shd w:fill="FFD966" w:val="clea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4320"/>
          </w:tcPr>
          <w:p>
            <w:r>
              <w:t>Set up Azure Cost Management budgets with 80%/100% alerts</w:t>
            </w:r>
          </w:p>
        </w:tc>
      </w:tr>
    </w:tbl>
    <w:p>
      <w:r>
        <w:rPr>
          <w:b/>
        </w:rPr>
        <w:t xml:space="preserve">Recommended Patterns: </w:t>
      </w:r>
      <w:r>
        <w:t>Compute Resource Consolidation, Static Content Hosting</w:t>
      </w:r>
    </w:p>
    <w:p/>
    <w:p>
      <w:pPr>
        <w:pStyle w:val="Heading2"/>
      </w:pPr>
      <w:r>
        <w:t>3.4 Operational Excellence — Score: 3/5</w:t>
      </w:r>
    </w:p>
    <w:p>
      <w:r>
        <w:rPr>
          <w:b/>
        </w:rPr>
        <w:t xml:space="preserve">Summary: </w:t>
      </w:r>
      <w:r>
        <w:t>CI/CD pipelines are in place via GitHub Actions. Observability coverage is partial — distributed tracing is not end-to-end and runbooks are informal.</w:t>
      </w:r>
    </w:p>
    <w:p>
      <w:pPr>
        <w:pStyle w:val="Heading3"/>
      </w:pPr>
      <w:r>
        <w:t>Findings &amp; 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No distributed tracing across all microservices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Enable OpenTelemetry SDK; configure Application Insights distributed trace</w:t>
            </w:r>
          </w:p>
        </w:tc>
      </w:tr>
      <w:tr>
        <w:tc>
          <w:tcPr>
            <w:tcW w:type="dxa" w:w="4320"/>
          </w:tcPr>
          <w:p>
            <w:r>
              <w:t>Deployment rollback is manual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Implement blue-green deployments with automated rollback on health failure</w:t>
            </w:r>
          </w:p>
        </w:tc>
      </w:tr>
      <w:tr>
        <w:tc>
          <w:tcPr>
            <w:tcW w:type="dxa" w:w="4320"/>
          </w:tcPr>
          <w:p>
            <w:r>
              <w:t>No structured runbooks for common incidents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Author runbooks in Azure Automation for top-5 incident types</w:t>
            </w:r>
          </w:p>
        </w:tc>
      </w:tr>
      <w:tr>
        <w:tc>
          <w:tcPr>
            <w:tcW w:type="dxa" w:w="4320"/>
          </w:tcPr>
          <w:p>
            <w:r>
              <w:t>Infrastructure not fully IaC (manual Azure Portal)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Migrate remaining resources to Bicep/Terraform; enforce via policy</w:t>
            </w:r>
          </w:p>
        </w:tc>
      </w:tr>
      <w:tr>
        <w:tc>
          <w:tcPr>
            <w:tcW w:type="dxa" w:w="4320"/>
          </w:tcPr>
          <w:p>
            <w:r>
              <w:t>Log retention is 30 days (compliance requires 90)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Update Log Analytics workspace retention to 90 days</w:t>
            </w:r>
          </w:p>
        </w:tc>
      </w:tr>
    </w:tbl>
    <w:p>
      <w:r>
        <w:rPr>
          <w:b/>
        </w:rPr>
        <w:t xml:space="preserve">Recommended Patterns: </w:t>
      </w:r>
      <w:r>
        <w:t>Health Endpoint Monitoring, External Configuration Store, Sidecar, Ambassador</w:t>
      </w:r>
    </w:p>
    <w:p/>
    <w:p>
      <w:pPr>
        <w:pStyle w:val="Heading2"/>
      </w:pPr>
      <w:r>
        <w:t>3.5 Performance Efficiency — Score: 3/5</w:t>
      </w:r>
    </w:p>
    <w:p>
      <w:r>
        <w:rPr>
          <w:b/>
        </w:rPr>
        <w:t xml:space="preserve">Summary: </w:t>
      </w:r>
      <w:r>
        <w:t>Baseline performance targets are defined. Caching is partially used. The product catalog service exhibits Chatty I/O and Extraneous Fetching antipatterns.</w:t>
      </w:r>
    </w:p>
    <w:p>
      <w:pPr>
        <w:pStyle w:val="Heading3"/>
      </w:pPr>
      <w:r>
        <w:t>Findings &amp; Recommendations: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2E6DA4" w:val="clear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Product Catalog makes N+1 DB queries per request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Refactor to batch queries; apply Cache-Aside with Redis (TTL: 5 min)</w:t>
            </w:r>
          </w:p>
        </w:tc>
      </w:tr>
      <w:tr>
        <w:tc>
          <w:tcPr>
            <w:tcW w:type="dxa" w:w="4320"/>
          </w:tcPr>
          <w:p>
            <w:r>
              <w:t>No CDN for product images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Enable Azure Front Door CDN for Blob Storage product images</w:t>
            </w:r>
          </w:p>
        </w:tc>
      </w:tr>
      <w:tr>
        <w:tc>
          <w:tcPr>
            <w:tcW w:type="dxa" w:w="4320"/>
          </w:tcPr>
          <w:p>
            <w:r>
              <w:t>No load testing before peak events (e.g., sales)</w:t>
            </w:r>
          </w:p>
        </w:tc>
        <w:tc>
          <w:tcPr>
            <w:tcW w:type="dxa" w:w="4320"/>
            <w:shd w:fill="FF4444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t>Implement k6/Azure Load Testing; run pre-event performance baseline</w:t>
            </w:r>
          </w:p>
        </w:tc>
      </w:tr>
      <w:tr>
        <w:tc>
          <w:tcPr>
            <w:tcW w:type="dxa" w:w="4320"/>
          </w:tcPr>
          <w:p>
            <w:r>
              <w:t>Order service uses synchronous payment call (blocking)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Refactor to Asynchronous Request-Reply pattern via Service Bus</w:t>
            </w:r>
          </w:p>
        </w:tc>
      </w:tr>
      <w:tr>
        <w:tc>
          <w:tcPr>
            <w:tcW w:type="dxa" w:w="4320"/>
          </w:tcPr>
          <w:p>
            <w:r>
              <w:t>No autoscaling on Container Apps background processors</w:t>
            </w:r>
          </w:p>
        </w:tc>
        <w:tc>
          <w:tcPr>
            <w:tcW w:type="dxa" w:w="4320"/>
            <w:shd w:fill="FF9900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320"/>
          </w:tcPr>
          <w:p>
            <w:r>
              <w:t>Configure KEDA Service Bus trigger for order processor scaling</w:t>
            </w:r>
          </w:p>
        </w:tc>
      </w:tr>
      <w:tr>
        <w:tc>
          <w:tcPr>
            <w:tcW w:type="dxa" w:w="4320"/>
          </w:tcPr>
          <w:p>
            <w:r>
              <w:t>API responses not compressed (gzip)</w:t>
            </w:r>
          </w:p>
        </w:tc>
        <w:tc>
          <w:tcPr>
            <w:tcW w:type="dxa" w:w="4320"/>
            <w:shd w:fill="FFD966" w:val="clear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4320"/>
          </w:tcPr>
          <w:p>
            <w:r>
              <w:t>Enable response compression in API Management and AKS ingress</w:t>
            </w:r>
          </w:p>
        </w:tc>
      </w:tr>
    </w:tbl>
    <w:p>
      <w:r>
        <w:rPr>
          <w:b/>
        </w:rPr>
        <w:t xml:space="preserve">Recommended Patterns: </w:t>
      </w:r>
      <w:r>
        <w:t>Cache-Aside, CQRS, Asynchronous Request-Reply, Queue-Based Load Leveling, CDN/Static Content Hosting</w:t>
      </w:r>
    </w:p>
    <w:p/>
    <w:p>
      <w:pPr>
        <w:pStyle w:val="Heading1"/>
      </w:pPr>
      <w:r>
        <w:t>4. Consolidated Recommendations &amp;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592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592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92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592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92"/>
            <w:shd w:fill="FFD966" w:val="clear"/>
          </w:tcPr>
          <w:p>
            <w:r/>
            <w:r>
              <w:rPr>
                <w:b w:val="0"/>
                <w:sz w:val="20"/>
              </w:rPr>
              <w:t>P1 — Immediate</w:t>
            </w:r>
          </w:p>
        </w:tc>
        <w:tc>
          <w:tcPr>
            <w:tcW w:type="dxa" w:w="2592"/>
            <w:shd w:fill="D6E4FF" w:val="clear"/>
          </w:tcPr>
          <w:p>
            <w:r/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592"/>
          </w:tcPr>
          <w:p>
            <w:r>
              <w:t>Enable AKS availability zones</w:t>
            </w:r>
          </w:p>
        </w:tc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D966" w:val="clear"/>
          </w:tcPr>
          <w:p>
            <w:r/>
            <w:r>
              <w:rPr>
                <w:b w:val="0"/>
                <w:sz w:val="20"/>
              </w:rPr>
              <w:t>P1 — Immediate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Cost Optimization</w:t>
            </w:r>
          </w:p>
        </w:tc>
        <w:tc>
          <w:tcPr>
            <w:tcW w:type="dxa" w:w="2592"/>
          </w:tcPr>
          <w:p>
            <w:r>
              <w:t>Enable AKS cluster autoscaler + KEDA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D966" w:val="clear"/>
          </w:tcPr>
          <w:p>
            <w:r/>
            <w:r>
              <w:rPr>
                <w:b w:val="0"/>
                <w:sz w:val="20"/>
              </w:rPr>
              <w:t>P1 — Immediate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592"/>
          </w:tcPr>
          <w:p>
            <w:r>
              <w:t>Cache Product Catalog with Redis + CDN for images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D966" w:val="clear"/>
          </w:tcPr>
          <w:p>
            <w:r/>
            <w:r>
              <w:rPr>
                <w:b w:val="0"/>
                <w:sz w:val="20"/>
              </w:rPr>
              <w:t>P1 — Immediate</w:t>
            </w:r>
          </w:p>
        </w:tc>
        <w:tc>
          <w:tcPr>
            <w:tcW w:type="dxa" w:w="2592"/>
            <w:shd w:fill="D6E4FF" w:val="clear"/>
          </w:tcPr>
          <w:p>
            <w:r/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592"/>
          </w:tcPr>
          <w:p>
            <w:r>
              <w:t>Implement Circuit Breaker on Payment service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D966" w:val="clear"/>
          </w:tcPr>
          <w:p>
            <w:r/>
            <w:r>
              <w:rPr>
                <w:b w:val="0"/>
                <w:sz w:val="20"/>
              </w:rPr>
              <w:t>P1 — Immediate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Operational Excellence</w:t>
            </w:r>
          </w:p>
        </w:tc>
        <w:tc>
          <w:tcPr>
            <w:tcW w:type="dxa" w:w="2592"/>
          </w:tcPr>
          <w:p>
            <w:r>
              <w:t>Enable end-to-end distributed tracing (OpenTelemetry)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P2 — 30 days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Cost Optimization</w:t>
            </w:r>
          </w:p>
        </w:tc>
        <w:tc>
          <w:tcPr>
            <w:tcW w:type="dxa" w:w="2592"/>
          </w:tcPr>
          <w:p>
            <w:r>
              <w:t>Purchase Azure Reservations (AKS + Cosmos DB)</w:t>
            </w:r>
          </w:p>
        </w:tc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P2 — 30 days</w:t>
            </w:r>
          </w:p>
        </w:tc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592"/>
          </w:tcPr>
          <w:p>
            <w:r>
              <w:t>Enable WAF policy on Application Gateway (OWASP 3.2)</w:t>
            </w:r>
          </w:p>
        </w:tc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P2 — 30 days</w:t>
            </w:r>
          </w:p>
        </w:tc>
        <w:tc>
          <w:tcPr>
            <w:tcW w:type="dxa" w:w="2592"/>
            <w:shd w:fill="D6E4FF" w:val="clear"/>
          </w:tcPr>
          <w:p>
            <w:r/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2592"/>
          </w:tcPr>
          <w:p>
            <w:r>
              <w:t>Enable Cosmos DB multi-region writes + DR drill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P2 — 30 days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592"/>
          </w:tcPr>
          <w:p>
            <w:r>
              <w:t>Refactor Order service to async pattern (Service Bus)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592"/>
            <w:shd w:fill="F0F0F0" w:val="clear"/>
          </w:tcPr>
          <w:p>
            <w:r/>
            <w:r>
              <w:rPr>
                <w:b w:val="0"/>
                <w:sz w:val="20"/>
              </w:rPr>
              <w:t>P3 — 90 days</w:t>
            </w:r>
          </w:p>
        </w:tc>
        <w:tc>
          <w:tcPr>
            <w:tcW w:type="dxa" w:w="2592"/>
            <w:shd w:fill="D6F5D6" w:val="clear"/>
          </w:tcPr>
          <w:p>
            <w:r/>
            <w:r>
              <w:rPr>
                <w:b w:val="0"/>
                <w:sz w:val="20"/>
              </w:rPr>
              <w:t>Cost Optimization</w:t>
            </w:r>
          </w:p>
        </w:tc>
        <w:tc>
          <w:tcPr>
            <w:tcW w:type="dxa" w:w="2592"/>
          </w:tcPr>
          <w:p>
            <w:r>
              <w:t>Blob Storage lifecycle tiering policy</w:t>
            </w:r>
          </w:p>
        </w:tc>
        <w:tc>
          <w:tcPr>
            <w:tcW w:type="dxa" w:w="2592"/>
          </w:tcPr>
          <w:p>
            <w:r>
              <w:t>Low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592"/>
            <w:shd w:fill="F0F0F0" w:val="clear"/>
          </w:tcPr>
          <w:p>
            <w:r/>
            <w:r>
              <w:rPr>
                <w:b w:val="0"/>
                <w:sz w:val="20"/>
              </w:rPr>
              <w:t>P3 — 90 days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Operational Excellence</w:t>
            </w:r>
          </w:p>
        </w:tc>
        <w:tc>
          <w:tcPr>
            <w:tcW w:type="dxa" w:w="2592"/>
          </w:tcPr>
          <w:p>
            <w:r>
              <w:t>Migrate all infra to Bicep IaC; enforce via policy</w:t>
            </w:r>
          </w:p>
        </w:tc>
        <w:tc>
          <w:tcPr>
            <w:tcW w:type="dxa" w:w="2592"/>
          </w:tcPr>
          <w:p>
            <w:r>
              <w:t>High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592"/>
            <w:shd w:fill="F0F0F0" w:val="clear"/>
          </w:tcPr>
          <w:p>
            <w:r/>
            <w:r>
              <w:rPr>
                <w:b w:val="0"/>
                <w:sz w:val="20"/>
              </w:rPr>
              <w:t>P3 — 90 days</w:t>
            </w:r>
          </w:p>
        </w:tc>
        <w:tc>
          <w:tcPr>
            <w:tcW w:type="dxa" w:w="2592"/>
            <w:shd w:fill="FFE4CC" w:val="clear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592"/>
          </w:tcPr>
          <w:p>
            <w:r>
              <w:t>Automate Key Vault secret rotation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592"/>
            <w:shd w:fill="F0F0F0" w:val="clear"/>
          </w:tcPr>
          <w:p>
            <w:r/>
            <w:r>
              <w:rPr>
                <w:b w:val="0"/>
                <w:sz w:val="20"/>
              </w:rPr>
              <w:t>P3 — 90 days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592"/>
          </w:tcPr>
          <w:p>
            <w:r>
              <w:t>Pre-event load testing with Azure Load Testing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  <w:shd w:fill="FFF3CC" w:val="clea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</w:tbl>
    <w:p/>
    <w:p>
      <w:pPr>
        <w:pStyle w:val="Heading1"/>
      </w:pPr>
      <w:r>
        <w:t>5. Architecture Decision Records (ADRs)</w:t>
      </w:r>
    </w:p>
    <w:p>
      <w:pPr>
        <w:pStyle w:val="Heading2"/>
      </w:pPr>
      <w:r>
        <w:t>ADR-001: Adopt Circuit Breaker Pattern for Payment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t>Accepted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Context</w:t>
            </w:r>
          </w:p>
        </w:tc>
        <w:tc>
          <w:tcPr>
            <w:tcW w:type="dxa" w:w="6480"/>
          </w:tcPr>
          <w:p>
            <w:r>
              <w:t>The Payment service is a synchronous dependency for checkout. A downstream payment provider outage directly causes checkout failures and thread pool exhaustion across the Order service.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6480"/>
          </w:tcPr>
          <w:p>
            <w:r>
              <w:t>Implement the Circuit Breaker pattern using the Polly .NET library with a 5-second timeout, 50% failure threshold over 10 requests to open the circuit, and a 30-second half-open probe interval. Graceful degradation: display "payment temporarily unavailable" and queue the order for retry.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Consequences</w:t>
            </w:r>
          </w:p>
        </w:tc>
        <w:tc>
          <w:tcPr>
            <w:tcW w:type="dxa" w:w="6480"/>
          </w:tcPr>
          <w:p>
            <w:r>
              <w:t>Positive: Prevents cascading failures; improves resilience score. Negative: Requires code changes to Order service; adds retry/queue infrastructure complexity.</w:t>
            </w:r>
          </w:p>
        </w:tc>
      </w:tr>
    </w:tbl>
    <w:p/>
    <w:p>
      <w:pPr>
        <w:pStyle w:val="Heading2"/>
      </w:pPr>
      <w:r>
        <w:t>ADR-002: Switch Product Catalog to Read-Through Cache with Redis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t>Accepted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Context</w:t>
            </w:r>
          </w:p>
        </w:tc>
        <w:tc>
          <w:tcPr>
            <w:tcW w:type="dxa" w:w="6480"/>
          </w:tcPr>
          <w:p>
            <w:r>
              <w:t>Product Catalog service performs N+1 queries to Cosmos DB per page render, causing high RU consumption and p95 latency of 620 ms — exceeding the 300 ms target.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6480"/>
          </w:tcPr>
          <w:p>
            <w:r>
              <w:t>Apply Cache-Aside pattern using Azure Cache for Redis (Standard C2 tier). Cache product list pages with TTL of 5 minutes; cache individual product details with TTL of 15 minutes. Invalidate cache on product update events via Event Grid.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Consequences</w:t>
            </w:r>
          </w:p>
        </w:tc>
        <w:tc>
          <w:tcPr>
            <w:tcW w:type="dxa" w:w="6480"/>
          </w:tcPr>
          <w:p>
            <w:r>
              <w:t>Positive: Reduces Cosmos DB RU consumption by ~70%; improves p95 latency to ~80 ms. Negative: Introduces eventual consistency window of up to 5 minutes for product updates; adds Redis operational overhead.</w:t>
            </w:r>
          </w:p>
        </w:tc>
      </w:tr>
    </w:tbl>
    <w:p/>
    <w:p>
      <w:pPr>
        <w:pStyle w:val="Heading2"/>
      </w:pPr>
      <w:r>
        <w:t>ADR-003: Enable AKS Cluster Autoscaler with KEDA for Cost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t>Proposed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Context</w:t>
            </w:r>
          </w:p>
        </w:tc>
        <w:tc>
          <w:tcPr>
            <w:tcW w:type="dxa" w:w="6480"/>
          </w:tcPr>
          <w:p>
            <w:r>
              <w:t>AKS node pools are statically sized at peak capacity (20 nodes), resulting in ~65% idle compute during off-peak hours (10 PM – 8 AM AEST). Monthly compute waste estimated at AUD $4,200.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6480"/>
          </w:tcPr>
          <w:p>
            <w:r>
              <w:t>Enable AKS Cluster Autoscaler (min: 5 nodes, max: 25 nodes) on user node pool. Deploy KEDA with Azure Service Bus triggers to scale Order Processor pods based on queue depth. Set scale-down delay to 10 minutes to avoid flapping during flash sales.</w:t>
            </w:r>
          </w:p>
        </w:tc>
      </w:tr>
      <w:tr>
        <w:tc>
          <w:tcPr>
            <w:tcW w:type="dxa" w:w="6480"/>
            <w:shd w:fill="D6E4FF" w:val="clear"/>
          </w:tcPr>
          <w:p>
            <w:r/>
            <w:r>
              <w:rPr>
                <w:b/>
                <w:sz w:val="20"/>
              </w:rPr>
              <w:t>Consequences</w:t>
            </w:r>
          </w:p>
        </w:tc>
        <w:tc>
          <w:tcPr>
            <w:tcW w:type="dxa" w:w="6480"/>
          </w:tcPr>
          <w:p>
            <w:r>
              <w:t>Positive: Estimated 40–50% reduction in AKS compute costs; auto-scales for peak events. Negative: Cold-start latency of ~90 seconds when scaling up from minimum; requires PodDisruptionBudgets to be defined for all services.</w:t>
            </w:r>
          </w:p>
        </w:tc>
      </w:tr>
    </w:tbl>
    <w:p/>
    <w:p>
      <w:pPr>
        <w:pStyle w:val="Heading1"/>
      </w:pPr>
      <w:r>
        <w:t>6. Performance Antipatterns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Antipattern</w:t>
            </w:r>
          </w:p>
        </w:tc>
        <w:tc>
          <w:tcPr>
            <w:tcW w:type="dxa" w:w="432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Observed In</w:t>
            </w:r>
          </w:p>
        </w:tc>
        <w:tc>
          <w:tcPr>
            <w:tcW w:type="dxa" w:w="4320"/>
            <w:shd w:fill="1F5C99" w:val="clear"/>
          </w:tcPr>
          <w:p>
            <w:r/>
            <w:r>
              <w:rPr>
                <w:b/>
                <w:color w:val="FFFFFF"/>
                <w:sz w:val="20"/>
              </w:rPr>
              <w:t>Recommended Fix</w:t>
            </w:r>
          </w:p>
        </w:tc>
      </w:tr>
      <w:tr>
        <w:tc>
          <w:tcPr>
            <w:tcW w:type="dxa" w:w="4320"/>
            <w:shd w:fill="FFE4CC" w:val="clear"/>
          </w:tcPr>
          <w:p>
            <w:r/>
            <w:r>
              <w:rPr>
                <w:b/>
                <w:sz w:val="20"/>
              </w:rPr>
              <w:t>Chatty I/O</w:t>
            </w:r>
          </w:p>
        </w:tc>
        <w:tc>
          <w:tcPr>
            <w:tcW w:type="dxa" w:w="4320"/>
          </w:tcPr>
          <w:p>
            <w:r>
              <w:t>Product Catalog — N+1 Cosmos DB queries per page</w:t>
            </w:r>
          </w:p>
        </w:tc>
        <w:tc>
          <w:tcPr>
            <w:tcW w:type="dxa" w:w="4320"/>
          </w:tcPr>
          <w:p>
            <w:r>
              <w:t>Batch queries; apply Cache-Aside with Redis</w:t>
            </w:r>
          </w:p>
        </w:tc>
      </w:tr>
      <w:tr>
        <w:tc>
          <w:tcPr>
            <w:tcW w:type="dxa" w:w="4320"/>
            <w:shd w:fill="FFE4CC" w:val="clear"/>
          </w:tcPr>
          <w:p>
            <w:r/>
            <w:r>
              <w:rPr>
                <w:b/>
                <w:sz w:val="20"/>
              </w:rPr>
              <w:t>Extraneous Fetching</w:t>
            </w:r>
          </w:p>
        </w:tc>
        <w:tc>
          <w:tcPr>
            <w:tcW w:type="dxa" w:w="4320"/>
          </w:tcPr>
          <w:p>
            <w:r>
              <w:t>Order list returns full order object including line items</w:t>
            </w:r>
          </w:p>
        </w:tc>
        <w:tc>
          <w:tcPr>
            <w:tcW w:type="dxa" w:w="4320"/>
          </w:tcPr>
          <w:p>
            <w:r>
              <w:t>Project only required fields; use CQRS read model</w:t>
            </w:r>
          </w:p>
        </w:tc>
      </w:tr>
      <w:tr>
        <w:tc>
          <w:tcPr>
            <w:tcW w:type="dxa" w:w="4320"/>
            <w:shd w:fill="FFE4CC" w:val="clear"/>
          </w:tcPr>
          <w:p>
            <w:r/>
            <w:r>
              <w:rPr>
                <w:b/>
                <w:sz w:val="20"/>
              </w:rPr>
              <w:t>Synchronous I/O</w:t>
            </w:r>
          </w:p>
        </w:tc>
        <w:tc>
          <w:tcPr>
            <w:tcW w:type="dxa" w:w="4320"/>
          </w:tcPr>
          <w:p>
            <w:r>
              <w:t>Payment call blocks Order service thread for up to 8s</w:t>
            </w:r>
          </w:p>
        </w:tc>
        <w:tc>
          <w:tcPr>
            <w:tcW w:type="dxa" w:w="4320"/>
          </w:tcPr>
          <w:p>
            <w:r>
              <w:t>Async Request-Reply via Service Bus</w:t>
            </w:r>
          </w:p>
        </w:tc>
      </w:tr>
      <w:tr>
        <w:tc>
          <w:tcPr>
            <w:tcW w:type="dxa" w:w="4320"/>
            <w:shd w:fill="FFE4CC" w:val="clear"/>
          </w:tcPr>
          <w:p>
            <w:r/>
            <w:r>
              <w:rPr>
                <w:b/>
                <w:sz w:val="20"/>
              </w:rPr>
              <w:t>No Caching</w:t>
            </w:r>
          </w:p>
        </w:tc>
        <w:tc>
          <w:tcPr>
            <w:tcW w:type="dxa" w:w="4320"/>
          </w:tcPr>
          <w:p>
            <w:r>
              <w:t>Homepage product carousel hits DB on every request</w:t>
            </w:r>
          </w:p>
        </w:tc>
        <w:tc>
          <w:tcPr>
            <w:tcW w:type="dxa" w:w="4320"/>
          </w:tcPr>
          <w:p>
            <w:r>
              <w:t>Redis cache with 5-min TTL; CDN for images</w:t>
            </w:r>
          </w:p>
        </w:tc>
      </w:tr>
      <w:tr>
        <w:tc>
          <w:tcPr>
            <w:tcW w:type="dxa" w:w="4320"/>
            <w:shd w:fill="FFE4CC" w:val="clear"/>
          </w:tcPr>
          <w:p>
            <w:r/>
            <w:r>
              <w:rPr>
                <w:b/>
                <w:sz w:val="20"/>
              </w:rPr>
              <w:t>Busy Database</w:t>
            </w:r>
          </w:p>
        </w:tc>
        <w:tc>
          <w:tcPr>
            <w:tcW w:type="dxa" w:w="4320"/>
          </w:tcPr>
          <w:p>
            <w:r>
              <w:t>Reporting queries run on primary Cosmos DB container</w:t>
            </w:r>
          </w:p>
        </w:tc>
        <w:tc>
          <w:tcPr>
            <w:tcW w:type="dxa" w:w="4320"/>
          </w:tcPr>
          <w:p>
            <w:r>
              <w:t>Separate read replica / materialized view for reports</w:t>
            </w:r>
          </w:p>
        </w:tc>
      </w:tr>
    </w:tbl>
    <w:p/>
    <w:p>
      <w:pPr>
        <w:pStyle w:val="Heading1"/>
      </w:pPr>
      <w:r>
        <w:t>7. Next Steps</w:t>
      </w:r>
    </w:p>
    <w:p>
      <w:pPr>
        <w:pStyle w:val="ListNumber"/>
      </w:pPr>
      <w:r>
        <w:t>Schedule P1 items into current sprint backlog (target: 2-week completion)</w:t>
      </w:r>
    </w:p>
    <w:p>
      <w:pPr>
        <w:pStyle w:val="ListNumber"/>
      </w:pPr>
      <w:r>
        <w:t>Assign pillar owners: Engineering Lead (Reliability + Performance), SecOps (Security), FinOps (Cost), SRE (Operational Excellence)</w:t>
      </w:r>
    </w:p>
    <w:p>
      <w:pPr>
        <w:pStyle w:val="ListNumber"/>
      </w:pPr>
      <w:r>
        <w:t>Book follow-up WAF re-assessment in 90 days to validate remediation progress</w:t>
      </w:r>
    </w:p>
    <w:p>
      <w:pPr>
        <w:pStyle w:val="ListNumber"/>
      </w:pPr>
      <w:r>
        <w:t>Conduct DR drill within 30 days — measure actual RTO/RPO against 4h/1h targets</w:t>
      </w:r>
    </w:p>
    <w:p>
      <w:pPr>
        <w:pStyle w:val="ListNumber"/>
      </w:pPr>
      <w:r>
        <w:t>Set up Azure Cost Management budgets and enable Advisor recommendations review (weekly)</w:t>
      </w:r>
    </w:p>
    <w:p>
      <w:pPr>
        <w:pStyle w:val="ListNumber"/>
      </w:pPr>
      <w:r>
        <w:t>Register all ADRs in the team wiki; track decision implementation in project board</w:t>
      </w:r>
    </w:p>
    <w:p/>
    <w:p>
      <w:pPr>
        <w:jc w:val="center"/>
      </w:pPr>
      <w:r>
        <w:rPr>
          <w:i/>
          <w:color w:val="888888"/>
          <w:sz w:val="18"/>
        </w:rPr>
        <w:t>This document was generated using the Cloud Solution Architect skill following Azure Architecture Center best practices and the Well-Architected Framework methodology.</w:t>
      </w:r>
    </w:p>
    <w:sectPr w:rsidR="00FC693F" w:rsidRPr="0006063C" w:rsidSect="00034616">
      <w:pgSz w:w="15840" w:h="122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