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before="0"/>
      </w:pPr>
      <w:r>
        <w:t xml:space="preserve"/>
      </w:r>
    </w:p>
    <w:p>
      <w:pPr>
        <w:spacing w:after="120" w:before="0"/>
        <w:jc w:val="center"/>
      </w:pPr>
      <w:r>
        <w:rPr>
          <w:rFonts w:ascii="Arial" w:cs="Arial" w:eastAsia="Arial" w:hAnsi="Arial"/>
          <w:b/>
          <w:bCs/>
          <w:color w:val="00188F"/>
          <w:sz w:val="48"/>
          <w:szCs w:val="48"/>
        </w:rPr>
        <w:t xml:space="preserve">Microsoft Corporation</w:t>
      </w:r>
    </w:p>
    <w:p>
      <w:pPr>
        <w:spacing w:after="80" w:before="0"/>
        <w:jc w:val="center"/>
      </w:pPr>
      <w:r>
        <w:rPr>
          <w:rFonts w:ascii="Arial" w:cs="Arial" w:eastAsia="Arial" w:hAnsi="Arial"/>
          <w:color w:val="0078D4"/>
          <w:sz w:val="36"/>
          <w:szCs w:val="36"/>
        </w:rPr>
        <w:t xml:space="preserve">Strategic Focus &amp; Future Plans</w:t>
      </w:r>
    </w:p>
    <w:p>
      <w:pPr>
        <w:spacing w:after="80" w:before="0"/>
        <w:jc w:val="center"/>
      </w:pPr>
      <w:r>
        <w:rPr>
          <w:rFonts w:ascii="Arial" w:cs="Arial" w:eastAsia="Arial" w:hAnsi="Arial"/>
          <w:i/>
          <w:iCs/>
          <w:color w:val="555555"/>
          <w:sz w:val="26"/>
          <w:szCs w:val="26"/>
        </w:rPr>
        <w:t xml:space="preserve">FY2025 – FY2026 Outlook</w:t>
      </w:r>
    </w:p>
    <w:p>
      <w:pPr>
        <w:spacing w:after="720" w:before="0"/>
        <w:jc w:val="center"/>
      </w:pPr>
      <w:r>
        <w:rPr>
          <w:rFonts w:ascii="Arial" w:cs="Arial" w:eastAsia="Arial" w:hAnsi="Arial"/>
          <w:color w:val="888888"/>
          <w:sz w:val="20"/>
          <w:szCs w:val="20"/>
        </w:rPr>
        <w:t xml:space="preserve">Prepared: March 2026</w:t>
      </w:r>
    </w:p>
    <w:p>
      <w:pPr>
        <w:pBdr>
          <w:bottom w:val="single" w:color="0078D4" w:sz="6" w:space="1"/>
        </w:pBdr>
        <w:spacing w:after="160" w:before="160"/>
      </w:pPr>
      <w:r>
        <w:t xml:space="preserve"/>
      </w:r>
    </w:p>
    <w:p>
      <w:pPr>
        <w:pStyle w:val="Heading1"/>
        <w:spacing w:after="160" w:before="360"/>
      </w:pPr>
      <w:r>
        <w:rPr>
          <w:rFonts w:ascii="Arial" w:cs="Arial" w:eastAsia="Arial" w:hAnsi="Arial"/>
          <w:b/>
          <w:bCs/>
          <w:color w:val="00188F"/>
          <w:sz w:val="32"/>
          <w:szCs w:val="32"/>
        </w:rPr>
        <w:t xml:space="preserve">Executive Summary</w:t>
      </w:r>
    </w:p>
    <w:p>
      <w:pPr>
        <w:spacing w:after="80" w:before="80"/>
        <w:jc w:val="both"/>
      </w:pPr>
      <w:r>
        <w:rPr>
          <w:rFonts w:ascii="Arial" w:cs="Arial" w:eastAsia="Arial" w:hAnsi="Arial"/>
          <w:sz w:val="22"/>
          <w:szCs w:val="22"/>
        </w:rPr>
        <w:t xml:space="preserve">Microsoft has repositioned itself as the definitive AI platform for enterprises and developers worldwide. Guided by its mission to empower every person and organization on the planet to achieve more, the company is aggressively embedding artificial intelligence across its entire product and cloud ecosystem — from Azure infrastructure to Microsoft 365 productivity tools and next-generation agentic services. In Q1 FY2026, total revenue reached $77.7 billion (up 18% YoY), underpinned by 26% growth in Microsoft Cloud and 40% growth in Azure, confirming that the AI-led strategy is already yielding measurable financial returns.</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00188F" w:val="clear"/>
            <w:tcMar>
              <w:top w:type="dxa" w:w="80"/>
              <w:left w:type="dxa" w:w="120"/>
              <w:bottom w:type="dxa" w:w="80"/>
              <w:right w:type="dxa" w:w="120"/>
            </w:tcMar>
          </w:tcPr>
          <w:p>
            <w:r>
              <w:rPr>
                <w:rFonts w:ascii="Arial" w:cs="Arial" w:eastAsia="Arial" w:hAnsi="Arial"/>
                <w:b/>
                <w:bCs/>
                <w:color w:val="FFFFFF"/>
                <w:sz w:val="20"/>
                <w:szCs w:val="20"/>
              </w:rPr>
              <w:t xml:space="preserve">Focus Area</w:t>
            </w:r>
          </w:p>
        </w:tc>
        <w:tc>
          <w:tcPr>
            <w:tcW w:type="dxa" w:w="6360"/>
            <w:tcBorders>
              <w:top w:val="single" w:color="CCCCCC" w:sz="1"/>
              <w:left w:val="single" w:color="CCCCCC" w:sz="1"/>
              <w:bottom w:val="single" w:color="CCCCCC" w:sz="1"/>
              <w:right w:val="single" w:color="CCCCCC" w:sz="1"/>
            </w:tcBorders>
            <w:shd w:fill="00188F" w:val="clear"/>
            <w:tcMar>
              <w:top w:type="dxa" w:w="80"/>
              <w:left w:type="dxa" w:w="120"/>
              <w:bottom w:type="dxa" w:w="80"/>
              <w:right w:type="dxa" w:w="120"/>
            </w:tcMar>
          </w:tcPr>
          <w:p>
            <w:r>
              <w:rPr>
                <w:rFonts w:ascii="Arial" w:cs="Arial" w:eastAsia="Arial" w:hAnsi="Arial"/>
                <w:b/>
                <w:bCs/>
                <w:color w:val="FFFFFF"/>
                <w:sz w:val="20"/>
                <w:szCs w:val="20"/>
              </w:rPr>
              <w:t xml:space="preserve">Key Highlights</w:t>
            </w:r>
          </w:p>
        </w:tc>
      </w:tr>
      <w:tr>
        <w:tc>
          <w:tcPr>
            <w:tcW w:type="dxa" w:w="3000"/>
            <w:tcBorders>
              <w:top w:val="single" w:color="CCCCCC" w:sz="1"/>
              <w:left w:val="single" w:color="CCCCCC" w:sz="1"/>
              <w:bottom w:val="single" w:color="CCCCCC" w:sz="1"/>
              <w:right w:val="single" w:color="CCCCCC" w:sz="1"/>
            </w:tcBorders>
            <w:shd w:fill="D0E8FA" w:val="clear"/>
            <w:tcMar>
              <w:top w:type="dxa" w:w="80"/>
              <w:left w:type="dxa" w:w="120"/>
              <w:bottom w:type="dxa" w:w="80"/>
              <w:right w:type="dxa" w:w="120"/>
            </w:tcMar>
          </w:tcPr>
          <w:p>
            <w:r>
              <w:rPr>
                <w:rFonts w:ascii="Arial" w:cs="Arial" w:eastAsia="Arial" w:hAnsi="Arial"/>
                <w:b/>
                <w:bCs/>
                <w:color w:val="00188F"/>
                <w:sz w:val="20"/>
                <w:szCs w:val="20"/>
              </w:rPr>
              <w:t xml:space="preserve">AI Integration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Copilot embedded in every major product; 100 M+ monthly active users</w:t>
            </w:r>
          </w:p>
        </w:tc>
      </w:tr>
      <w:tr>
        <w:tc>
          <w:tcPr>
            <w:tcW w:type="dxa" w:w="30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b/>
                <w:bCs/>
                <w:color w:val="00188F"/>
                <w:sz w:val="20"/>
                <w:szCs w:val="20"/>
              </w:rPr>
              <w:t xml:space="preserve">Azure &amp; Cloud</w:t>
            </w:r>
          </w:p>
        </w:tc>
        <w:tc>
          <w:tcPr>
            <w:tcW w:type="dxa" w:w="636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40% YoY growth; 400+ datacenters across 70 regions; AI-first infrastructure</w:t>
            </w:r>
          </w:p>
        </w:tc>
      </w:tr>
      <w:tr>
        <w:tc>
          <w:tcPr>
            <w:tcW w:type="dxa" w:w="3000"/>
            <w:tcBorders>
              <w:top w:val="single" w:color="CCCCCC" w:sz="1"/>
              <w:left w:val="single" w:color="CCCCCC" w:sz="1"/>
              <w:bottom w:val="single" w:color="CCCCCC" w:sz="1"/>
              <w:right w:val="single" w:color="CCCCCC" w:sz="1"/>
            </w:tcBorders>
            <w:shd w:fill="D0E8FA" w:val="clear"/>
            <w:tcMar>
              <w:top w:type="dxa" w:w="80"/>
              <w:left w:type="dxa" w:w="120"/>
              <w:bottom w:type="dxa" w:w="80"/>
              <w:right w:type="dxa" w:w="120"/>
            </w:tcMar>
          </w:tcPr>
          <w:p>
            <w:r>
              <w:rPr>
                <w:rFonts w:ascii="Arial" w:cs="Arial" w:eastAsia="Arial" w:hAnsi="Arial"/>
                <w:b/>
                <w:bCs/>
                <w:color w:val="00188F"/>
                <w:sz w:val="20"/>
                <w:szCs w:val="20"/>
              </w:rPr>
              <w:t xml:space="preserve">Agentic AI</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Azure AI Foundry, Azure Copilot, and Agent 365 for autonomous workflows</w:t>
            </w:r>
          </w:p>
        </w:tc>
      </w:tr>
      <w:tr>
        <w:tc>
          <w:tcPr>
            <w:tcW w:type="dxa" w:w="30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b/>
                <w:bCs/>
                <w:color w:val="00188F"/>
                <w:sz w:val="20"/>
                <w:szCs w:val="20"/>
              </w:rPr>
              <w:t xml:space="preserve">Security</w:t>
            </w:r>
          </w:p>
        </w:tc>
        <w:tc>
          <w:tcPr>
            <w:tcW w:type="dxa" w:w="636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AI-powered agents in Defender, Entra, Intune, and Purview</w:t>
            </w:r>
          </w:p>
        </w:tc>
      </w:tr>
      <w:tr>
        <w:tc>
          <w:tcPr>
            <w:tcW w:type="dxa" w:w="3000"/>
            <w:tcBorders>
              <w:top w:val="single" w:color="CCCCCC" w:sz="1"/>
              <w:left w:val="single" w:color="CCCCCC" w:sz="1"/>
              <w:bottom w:val="single" w:color="CCCCCC" w:sz="1"/>
              <w:right w:val="single" w:color="CCCCCC" w:sz="1"/>
            </w:tcBorders>
            <w:shd w:fill="D0E8FA" w:val="clear"/>
            <w:tcMar>
              <w:top w:type="dxa" w:w="80"/>
              <w:left w:type="dxa" w:w="120"/>
              <w:bottom w:type="dxa" w:w="80"/>
              <w:right w:type="dxa" w:w="120"/>
            </w:tcMar>
          </w:tcPr>
          <w:p>
            <w:r>
              <w:rPr>
                <w:rFonts w:ascii="Arial" w:cs="Arial" w:eastAsia="Arial" w:hAnsi="Arial"/>
                <w:b/>
                <w:bCs/>
                <w:color w:val="00188F"/>
                <w:sz w:val="20"/>
                <w:szCs w:val="20"/>
              </w:rPr>
              <w:t xml:space="preserve">Capital Investment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$34.9 B capex in Q1 FY2026; $17.5 B in India; C$7.5 B in Canada</w:t>
            </w:r>
          </w:p>
        </w:tc>
      </w:tr>
      <w:tr>
        <w:tc>
          <w:tcPr>
            <w:tcW w:type="dxa" w:w="30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b/>
                <w:bCs/>
                <w:color w:val="00188F"/>
                <w:sz w:val="20"/>
                <w:szCs w:val="20"/>
              </w:rPr>
              <w:t xml:space="preserve">Gaming</w:t>
            </w:r>
          </w:p>
        </w:tc>
        <w:tc>
          <w:tcPr>
            <w:tcW w:type="dxa" w:w="636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Xbox + Activision Blizzard integration; Game Pass expansion</w:t>
            </w:r>
          </w:p>
        </w:tc>
      </w:tr>
    </w:tbl>
    <w:p>
      <w:r>
        <w:br w:type="page"/>
      </w:r>
    </w:p>
    <w:p>
      <w:pPr>
        <w:pStyle w:val="Heading1"/>
        <w:spacing w:after="160" w:before="360"/>
      </w:pPr>
      <w:r>
        <w:rPr>
          <w:rFonts w:ascii="Arial" w:cs="Arial" w:eastAsia="Arial" w:hAnsi="Arial"/>
          <w:b/>
          <w:bCs/>
          <w:color w:val="00188F"/>
          <w:sz w:val="32"/>
          <w:szCs w:val="32"/>
        </w:rPr>
        <w:t xml:space="preserve">1. Artificial Intelligence at the Core</w:t>
      </w:r>
    </w:p>
    <w:p>
      <w:pPr>
        <w:spacing w:after="80" w:before="80"/>
        <w:jc w:val="both"/>
      </w:pPr>
      <w:r>
        <w:rPr>
          <w:rFonts w:ascii="Arial" w:cs="Arial" w:eastAsia="Arial" w:hAnsi="Arial"/>
          <w:sz w:val="22"/>
          <w:szCs w:val="22"/>
        </w:rPr>
        <w:t xml:space="preserve">Microsoft’s 2026 product roadmap places AI as a foundational layer — not an optional add-on — across cloud, productivity, and security platforms. The company’s partnership with OpenAI remains a cornerstone of this strategy, enabling rapid deployment of frontier models through Azure OpenAI Service.</w:t>
      </w:r>
    </w:p>
    <w:p>
      <w:pPr>
        <w:pStyle w:val="Heading2"/>
        <w:spacing w:after="120" w:before="280"/>
      </w:pPr>
      <w:r>
        <w:rPr>
          <w:rFonts w:ascii="Arial" w:cs="Arial" w:eastAsia="Arial" w:hAnsi="Arial"/>
          <w:b/>
          <w:bCs/>
          <w:color w:val="0078D4"/>
          <w:sz w:val="26"/>
          <w:szCs w:val="26"/>
        </w:rPr>
        <w:t xml:space="preserve">1.1  Microsoft Copilot Expansion</w:t>
      </w:r>
    </w:p>
    <w:p>
      <w:pPr>
        <w:spacing w:after="80" w:before="80"/>
        <w:jc w:val="both"/>
      </w:pPr>
      <w:r>
        <w:rPr>
          <w:rFonts w:ascii="Arial" w:cs="Arial" w:eastAsia="Arial" w:hAnsi="Arial"/>
          <w:sz w:val="22"/>
          <w:szCs w:val="22"/>
        </w:rPr>
        <w:t xml:space="preserve">Copilot is now integrated across Word, Excel, PowerPoint, Outlook, OneNote, Teams, and the broader Microsoft 365 suite. In 2025, Microsoft surpassed 100 million monthly active commercial and consumer Copilot users.</w:t>
      </w:r>
    </w:p>
    <w:p>
      <w:pPr>
        <w:pStyle w:val="ListParagraph"/>
        <w:numPr>
          <w:ilvl w:val="0"/>
          <w:numId w:val="2"/>
        </w:numPr>
        <w:spacing w:after="40" w:before="40"/>
      </w:pPr>
      <w:r>
        <w:rPr>
          <w:rFonts w:ascii="Arial" w:cs="Arial" w:eastAsia="Arial" w:hAnsi="Arial"/>
          <w:sz w:val="22"/>
          <w:szCs w:val="22"/>
        </w:rPr>
        <w:t xml:space="preserve">Copilot Chat with Agent Mode enables iterative document, spreadsheet, and presentation creation.</w:t>
      </w:r>
    </w:p>
    <w:p>
      <w:pPr>
        <w:pStyle w:val="ListParagraph"/>
        <w:numPr>
          <w:ilvl w:val="0"/>
          <w:numId w:val="2"/>
        </w:numPr>
        <w:spacing w:after="40" w:before="40"/>
      </w:pPr>
      <w:r>
        <w:rPr>
          <w:rFonts w:ascii="Arial" w:cs="Arial" w:eastAsia="Arial" w:hAnsi="Arial"/>
          <w:sz w:val="22"/>
          <w:szCs w:val="22"/>
        </w:rPr>
        <w:t xml:space="preserve">Role-specific agents — Analyst and Researcher — are embedded into a single unified experience.</w:t>
      </w:r>
    </w:p>
    <w:p>
      <w:pPr>
        <w:pStyle w:val="ListParagraph"/>
        <w:numPr>
          <w:ilvl w:val="0"/>
          <w:numId w:val="2"/>
        </w:numPr>
        <w:spacing w:after="40" w:before="40"/>
      </w:pPr>
      <w:r>
        <w:rPr>
          <w:rFonts w:ascii="Arial" w:cs="Arial" w:eastAsia="Arial" w:hAnsi="Arial"/>
          <w:sz w:val="22"/>
          <w:szCs w:val="22"/>
        </w:rPr>
        <w:t xml:space="preserve">90% of Fortune 500 companies are active Copilot customers, with strong seat repurchase rates.</w:t>
      </w:r>
    </w:p>
    <w:p>
      <w:pPr>
        <w:pStyle w:val="ListParagraph"/>
        <w:numPr>
          <w:ilvl w:val="0"/>
          <w:numId w:val="2"/>
        </w:numPr>
        <w:spacing w:after="40" w:before="40"/>
      </w:pPr>
      <w:r>
        <w:rPr>
          <w:rFonts w:ascii="Arial" w:cs="Arial" w:eastAsia="Arial" w:hAnsi="Arial"/>
          <w:sz w:val="22"/>
          <w:szCs w:val="22"/>
        </w:rPr>
        <w:t xml:space="preserve">Microsoft 365 Copilot now combines chat, search, create, and notebooks in one surface.</w:t>
      </w:r>
    </w:p>
    <w:p>
      <w:pPr>
        <w:pStyle w:val="Heading2"/>
        <w:spacing w:after="120" w:before="280"/>
      </w:pPr>
      <w:r>
        <w:rPr>
          <w:rFonts w:ascii="Arial" w:cs="Arial" w:eastAsia="Arial" w:hAnsi="Arial"/>
          <w:b/>
          <w:bCs/>
          <w:color w:val="0078D4"/>
          <w:sz w:val="26"/>
          <w:szCs w:val="26"/>
        </w:rPr>
        <w:t xml:space="preserve">1.2  AI Infrastructure Investments</w:t>
      </w:r>
    </w:p>
    <w:p>
      <w:pPr>
        <w:spacing w:after="80" w:before="80"/>
        <w:jc w:val="both"/>
      </w:pPr>
      <w:r>
        <w:rPr>
          <w:rFonts w:ascii="Arial" w:cs="Arial" w:eastAsia="Arial" w:hAnsi="Arial"/>
          <w:sz w:val="22"/>
          <w:szCs w:val="22"/>
        </w:rPr>
        <w:t xml:space="preserve">To meet surging enterprise demand, Microsoft is investing at an unprecedented pace in AI-ready datacenter capacity.</w:t>
      </w:r>
    </w:p>
    <w:p>
      <w:pPr>
        <w:pStyle w:val="ListParagraph"/>
        <w:numPr>
          <w:ilvl w:val="0"/>
          <w:numId w:val="2"/>
        </w:numPr>
        <w:spacing w:after="40" w:before="40"/>
      </w:pPr>
      <w:r>
        <w:rPr>
          <w:rFonts w:ascii="Arial" w:cs="Arial" w:eastAsia="Arial" w:hAnsi="Arial"/>
          <w:sz w:val="22"/>
          <w:szCs w:val="22"/>
        </w:rPr>
        <w:t xml:space="preserve">Capital expenditures reached $34.9 billion in Q1 FY2026, a 74% year-on-year increase.</w:t>
      </w:r>
    </w:p>
    <w:p>
      <w:pPr>
        <w:pStyle w:val="ListParagraph"/>
        <w:numPr>
          <w:ilvl w:val="0"/>
          <w:numId w:val="2"/>
        </w:numPr>
        <w:spacing w:after="40" w:before="40"/>
      </w:pPr>
      <w:r>
        <w:rPr>
          <w:rFonts w:ascii="Arial" w:cs="Arial" w:eastAsia="Arial" w:hAnsi="Arial"/>
          <w:sz w:val="22"/>
          <w:szCs w:val="22"/>
        </w:rPr>
        <w:t xml:space="preserve">Fairwater, launched September 2025, is the largest AI datacenter ever built by Microsoft, featuring high-density liquid cooling and a flat GPU network architecture linking hundreds of thousands of NVIDIA GPUs.</w:t>
      </w:r>
    </w:p>
    <w:p>
      <w:pPr>
        <w:pStyle w:val="ListParagraph"/>
        <w:numPr>
          <w:ilvl w:val="0"/>
          <w:numId w:val="2"/>
        </w:numPr>
        <w:spacing w:after="40" w:before="40"/>
      </w:pPr>
      <w:r>
        <w:rPr>
          <w:rFonts w:ascii="Arial" w:cs="Arial" w:eastAsia="Arial" w:hAnsi="Arial"/>
          <w:sz w:val="22"/>
          <w:szCs w:val="22"/>
        </w:rPr>
        <w:t xml:space="preserve">All Azure regions are now AI-first and liquid-cooling capable.</w:t>
      </w:r>
    </w:p>
    <w:p>
      <w:pPr>
        <w:pStyle w:val="ListParagraph"/>
        <w:numPr>
          <w:ilvl w:val="0"/>
          <w:numId w:val="2"/>
        </w:numPr>
        <w:spacing w:after="40" w:before="40"/>
      </w:pPr>
      <w:r>
        <w:rPr>
          <w:rFonts w:ascii="Arial" w:cs="Arial" w:eastAsia="Arial" w:hAnsi="Arial"/>
          <w:sz w:val="22"/>
          <w:szCs w:val="22"/>
        </w:rPr>
        <w:t xml:space="preserve">Microsoft is the first cloud provider to deploy NVIDIA GB300 GPUs at scale, following GB200 leadership.</w:t>
      </w:r>
    </w:p>
    <w:p>
      <w:pPr>
        <w:pStyle w:val="ListParagraph"/>
        <w:numPr>
          <w:ilvl w:val="0"/>
          <w:numId w:val="2"/>
        </w:numPr>
        <w:spacing w:after="40" w:before="40"/>
      </w:pPr>
      <w:r>
        <w:rPr>
          <w:rFonts w:ascii="Arial" w:cs="Arial" w:eastAsia="Arial" w:hAnsi="Arial"/>
          <w:sz w:val="22"/>
          <w:szCs w:val="22"/>
        </w:rPr>
        <w:t xml:space="preserve">A dedicated AI WAN backbone connects the global AI superfactory footprint.</w:t>
      </w:r>
    </w:p>
    <w:p>
      <w:pPr>
        <w:pBdr>
          <w:bottom w:val="single" w:color="0078D4" w:sz="6" w:space="1"/>
        </w:pBdr>
        <w:spacing w:after="160" w:before="160"/>
      </w:pPr>
      <w:r>
        <w:t xml:space="preserve"/>
      </w:r>
    </w:p>
    <w:p>
      <w:pPr>
        <w:pStyle w:val="Heading1"/>
        <w:spacing w:after="160" w:before="360"/>
      </w:pPr>
      <w:r>
        <w:rPr>
          <w:rFonts w:ascii="Arial" w:cs="Arial" w:eastAsia="Arial" w:hAnsi="Arial"/>
          <w:b/>
          <w:bCs/>
          <w:color w:val="00188F"/>
          <w:sz w:val="32"/>
          <w:szCs w:val="32"/>
        </w:rPr>
        <w:t xml:space="preserve">2. Azure: The Engine of Growth</w:t>
      </w:r>
    </w:p>
    <w:p>
      <w:pPr>
        <w:spacing w:after="80" w:before="80"/>
        <w:jc w:val="both"/>
      </w:pPr>
      <w:r>
        <w:rPr>
          <w:rFonts w:ascii="Arial" w:cs="Arial" w:eastAsia="Arial" w:hAnsi="Arial"/>
          <w:sz w:val="22"/>
          <w:szCs w:val="22"/>
        </w:rPr>
        <w:t xml:space="preserve">Azure serves as the backbone of Microsoft’s AI strategy, offering a flywheel effect as enterprises migrate workloads and embed AI into core operations. With more than 400 datacenters across 70 regions — more than any other cloud provider — Azure’s global footprint is unmatched.</w:t>
      </w:r>
    </w:p>
    <w:p>
      <w:pPr>
        <w:pStyle w:val="ListParagraph"/>
        <w:numPr>
          <w:ilvl w:val="0"/>
          <w:numId w:val="2"/>
        </w:numPr>
        <w:spacing w:after="40" w:before="40"/>
      </w:pPr>
      <w:r>
        <w:rPr>
          <w:rFonts w:ascii="Arial" w:cs="Arial" w:eastAsia="Arial" w:hAnsi="Arial"/>
          <w:sz w:val="22"/>
          <w:szCs w:val="22"/>
        </w:rPr>
        <w:t xml:space="preserve">Azure and other cloud services grew 40% YoY in Q1 FY2026.</w:t>
      </w:r>
    </w:p>
    <w:p>
      <w:pPr>
        <w:pStyle w:val="ListParagraph"/>
        <w:numPr>
          <w:ilvl w:val="0"/>
          <w:numId w:val="2"/>
        </w:numPr>
        <w:spacing w:after="40" w:before="40"/>
      </w:pPr>
      <w:r>
        <w:rPr>
          <w:rFonts w:ascii="Arial" w:cs="Arial" w:eastAsia="Arial" w:hAnsi="Arial"/>
          <w:sz w:val="22"/>
          <w:szCs w:val="22"/>
        </w:rPr>
        <w:t xml:space="preserve">Microsoft Cloud revenue reached $49.1 billion in Q1 FY2026, up 26% YoY.</w:t>
      </w:r>
    </w:p>
    <w:p>
      <w:pPr>
        <w:pStyle w:val="ListParagraph"/>
        <w:numPr>
          <w:ilvl w:val="0"/>
          <w:numId w:val="2"/>
        </w:numPr>
        <w:spacing w:after="40" w:before="40"/>
      </w:pPr>
      <w:r>
        <w:rPr>
          <w:rFonts w:ascii="Arial" w:cs="Arial" w:eastAsia="Arial" w:hAnsi="Arial"/>
          <w:sz w:val="22"/>
          <w:szCs w:val="22"/>
        </w:rPr>
        <w:t xml:space="preserve">Azure OpenAI Service enables businesses to deploy frontier LLMs within a governed, enterprise-grade environment.</w:t>
      </w:r>
    </w:p>
    <w:p>
      <w:pPr>
        <w:pStyle w:val="ListParagraph"/>
        <w:numPr>
          <w:ilvl w:val="0"/>
          <w:numId w:val="2"/>
        </w:numPr>
        <w:spacing w:after="40" w:before="40"/>
      </w:pPr>
      <w:r>
        <w:rPr>
          <w:rFonts w:ascii="Arial" w:cs="Arial" w:eastAsia="Arial" w:hAnsi="Arial"/>
          <w:sz w:val="22"/>
          <w:szCs w:val="22"/>
        </w:rPr>
        <w:t xml:space="preserve">Added over two gigawatts of new datacenter capacity in a single year.</w:t>
      </w:r>
    </w:p>
    <w:p>
      <w:pPr>
        <w:pStyle w:val="Heading2"/>
        <w:spacing w:after="120" w:before="280"/>
      </w:pPr>
      <w:r>
        <w:rPr>
          <w:rFonts w:ascii="Arial" w:cs="Arial" w:eastAsia="Arial" w:hAnsi="Arial"/>
          <w:b/>
          <w:bCs/>
          <w:color w:val="0078D4"/>
          <w:sz w:val="26"/>
          <w:szCs w:val="26"/>
        </w:rPr>
        <w:t xml:space="preserve">2.1  Agentic AI on Azure</w:t>
      </w:r>
    </w:p>
    <w:p>
      <w:pPr>
        <w:spacing w:after="80" w:before="80"/>
        <w:jc w:val="both"/>
      </w:pPr>
      <w:r>
        <w:rPr>
          <w:rFonts w:ascii="Arial" w:cs="Arial" w:eastAsia="Arial" w:hAnsi="Arial"/>
          <w:sz w:val="22"/>
          <w:szCs w:val="22"/>
        </w:rPr>
        <w:t xml:space="preserve">Microsoft Ignite 2025 announced the vision for making agentic AI a standard part of how Azure customers build and operate applications. Three key platforms drive this vision:</w:t>
      </w:r>
    </w:p>
    <w:p>
      <w:pPr>
        <w:pStyle w:val="ListParagraph"/>
        <w:numPr>
          <w:ilvl w:val="0"/>
          <w:numId w:val="2"/>
        </w:numPr>
        <w:spacing w:after="40" w:before="40"/>
      </w:pPr>
      <w:r>
        <w:rPr>
          <w:rFonts w:ascii="Arial" w:cs="Arial" w:eastAsia="Arial" w:hAnsi="Arial"/>
          <w:sz w:val="22"/>
          <w:szCs w:val="22"/>
        </w:rPr>
        <w:t xml:space="preserve">Azure AI Foundry: A comprehensive platform for building, deploying, and managing intelligent AI agents for workflow automation, customer service, and research.</w:t>
      </w:r>
    </w:p>
    <w:p>
      <w:pPr>
        <w:pStyle w:val="ListParagraph"/>
        <w:numPr>
          <w:ilvl w:val="0"/>
          <w:numId w:val="2"/>
        </w:numPr>
        <w:spacing w:after="40" w:before="40"/>
      </w:pPr>
      <w:r>
        <w:rPr>
          <w:rFonts w:ascii="Arial" w:cs="Arial" w:eastAsia="Arial" w:hAnsi="Arial"/>
          <w:sz w:val="22"/>
          <w:szCs w:val="22"/>
        </w:rPr>
        <w:t xml:space="preserve">Azure Copilot: A new agentic interface that orchestrates specialised agents across the cloud management lifecycle — available in chat, the Azure console, and the command line.</w:t>
      </w:r>
    </w:p>
    <w:p>
      <w:pPr>
        <w:pStyle w:val="ListParagraph"/>
        <w:numPr>
          <w:ilvl w:val="0"/>
          <w:numId w:val="2"/>
        </w:numPr>
        <w:spacing w:after="40" w:before="40"/>
      </w:pPr>
      <w:r>
        <w:rPr>
          <w:rFonts w:ascii="Arial" w:cs="Arial" w:eastAsia="Arial" w:hAnsi="Arial"/>
          <w:sz w:val="22"/>
          <w:szCs w:val="22"/>
        </w:rPr>
        <w:t xml:space="preserve">Agent 365: A unified control plane extending enterprise management and security to partner-developed agents, integrating with Microsoft Entra, Purview, and Defender.</w:t>
      </w:r>
    </w:p>
    <w:p>
      <w:r>
        <w:br w:type="page"/>
      </w:r>
    </w:p>
    <w:p>
      <w:pPr>
        <w:pStyle w:val="Heading1"/>
        <w:spacing w:after="160" w:before="360"/>
      </w:pPr>
      <w:r>
        <w:rPr>
          <w:rFonts w:ascii="Arial" w:cs="Arial" w:eastAsia="Arial" w:hAnsi="Arial"/>
          <w:b/>
          <w:bCs/>
          <w:color w:val="00188F"/>
          <w:sz w:val="32"/>
          <w:szCs w:val="32"/>
        </w:rPr>
        <w:t xml:space="preserve">3. Security: AI-Powered Cyber Defence</w:t>
      </w:r>
    </w:p>
    <w:p>
      <w:pPr>
        <w:spacing w:after="80" w:before="80"/>
        <w:jc w:val="both"/>
      </w:pPr>
      <w:r>
        <w:rPr>
          <w:rFonts w:ascii="Arial" w:cs="Arial" w:eastAsia="Arial" w:hAnsi="Arial"/>
          <w:sz w:val="22"/>
          <w:szCs w:val="22"/>
        </w:rPr>
        <w:t xml:space="preserve">Microsoft’s Security Copilot initiative embeds AI agents directly into its security product suite, making advanced threat detection and response capabilities accessible at scale.</w:t>
      </w:r>
    </w:p>
    <w:p>
      <w:pPr>
        <w:pStyle w:val="ListParagraph"/>
        <w:numPr>
          <w:ilvl w:val="0"/>
          <w:numId w:val="2"/>
        </w:numPr>
        <w:spacing w:after="40" w:before="40"/>
      </w:pPr>
      <w:r>
        <w:rPr>
          <w:rFonts w:ascii="Arial" w:cs="Arial" w:eastAsia="Arial" w:hAnsi="Arial"/>
          <w:sz w:val="22"/>
          <w:szCs w:val="22"/>
        </w:rPr>
        <w:t xml:space="preserve">Security pilot agents integrated into Defender, Entra, Intune, and Purview.</w:t>
      </w:r>
    </w:p>
    <w:p>
      <w:pPr>
        <w:pStyle w:val="ListParagraph"/>
        <w:numPr>
          <w:ilvl w:val="0"/>
          <w:numId w:val="2"/>
        </w:numPr>
        <w:spacing w:after="40" w:before="40"/>
      </w:pPr>
      <w:r>
        <w:rPr>
          <w:rFonts w:ascii="Arial" w:cs="Arial" w:eastAsia="Arial" w:hAnsi="Arial"/>
          <w:sz w:val="22"/>
          <w:szCs w:val="22"/>
        </w:rPr>
        <w:t xml:space="preserve">All agent activities logged into Microsoft Sentinel and Purview audit logs, providing a full audit trail for compliance.</w:t>
      </w:r>
    </w:p>
    <w:p>
      <w:pPr>
        <w:pStyle w:val="ListParagraph"/>
        <w:numPr>
          <w:ilvl w:val="0"/>
          <w:numId w:val="2"/>
        </w:numPr>
        <w:spacing w:after="40" w:before="40"/>
      </w:pPr>
      <w:r>
        <w:rPr>
          <w:rFonts w:ascii="Arial" w:cs="Arial" w:eastAsia="Arial" w:hAnsi="Arial"/>
          <w:sz w:val="22"/>
          <w:szCs w:val="22"/>
        </w:rPr>
        <w:t xml:space="preserve">Agent 365 enforces identity, permissions, and data protection policies across both Microsoft and partner-built agents.</w:t>
      </w:r>
    </w:p>
    <w:p>
      <w:pPr>
        <w:pStyle w:val="ListParagraph"/>
        <w:numPr>
          <w:ilvl w:val="0"/>
          <w:numId w:val="2"/>
        </w:numPr>
        <w:spacing w:after="40" w:before="40"/>
      </w:pPr>
      <w:r>
        <w:rPr>
          <w:rFonts w:ascii="Arial" w:cs="Arial" w:eastAsia="Arial" w:hAnsi="Arial"/>
          <w:sz w:val="22"/>
          <w:szCs w:val="22"/>
        </w:rPr>
        <w:t xml:space="preserve">Focus on making security capabilities available across a broader range of subscription tiers.</w:t>
      </w:r>
    </w:p>
    <w:p>
      <w:pPr>
        <w:pBdr>
          <w:bottom w:val="single" w:color="0078D4" w:sz="6" w:space="1"/>
        </w:pBdr>
        <w:spacing w:after="160" w:before="160"/>
      </w:pPr>
      <w:r>
        <w:t xml:space="preserve"/>
      </w:r>
    </w:p>
    <w:p>
      <w:pPr>
        <w:pStyle w:val="Heading1"/>
        <w:spacing w:after="160" w:before="360"/>
      </w:pPr>
      <w:r>
        <w:rPr>
          <w:rFonts w:ascii="Arial" w:cs="Arial" w:eastAsia="Arial" w:hAnsi="Arial"/>
          <w:b/>
          <w:bCs/>
          <w:color w:val="00188F"/>
          <w:sz w:val="32"/>
          <w:szCs w:val="32"/>
        </w:rPr>
        <w:t xml:space="preserve">4. Gaming: Xbox &amp; Activision Blizzard</w:t>
      </w:r>
    </w:p>
    <w:p>
      <w:pPr>
        <w:spacing w:after="80" w:before="80"/>
        <w:jc w:val="both"/>
      </w:pPr>
      <w:r>
        <w:rPr>
          <w:rFonts w:ascii="Arial" w:cs="Arial" w:eastAsia="Arial" w:hAnsi="Arial"/>
          <w:sz w:val="22"/>
          <w:szCs w:val="22"/>
        </w:rPr>
        <w:t xml:space="preserve">Following the landmark $68.7 billion acquisition of Activision Blizzard in October 2023, Microsoft is integrating one of the world’s largest gaming portfolios into the Xbox ecosystem.</w:t>
      </w:r>
    </w:p>
    <w:p>
      <w:pPr>
        <w:pStyle w:val="ListParagraph"/>
        <w:numPr>
          <w:ilvl w:val="0"/>
          <w:numId w:val="2"/>
        </w:numPr>
        <w:spacing w:after="40" w:before="40"/>
      </w:pPr>
      <w:r>
        <w:rPr>
          <w:rFonts w:ascii="Arial" w:cs="Arial" w:eastAsia="Arial" w:hAnsi="Arial"/>
          <w:sz w:val="22"/>
          <w:szCs w:val="22"/>
        </w:rPr>
        <w:t xml:space="preserve">Game Pass expansion: adding Activision Blizzard titles including Call of Duty, World of Warcraft, and Diablo to Game Pass.</w:t>
      </w:r>
    </w:p>
    <w:p>
      <w:pPr>
        <w:pStyle w:val="ListParagraph"/>
        <w:numPr>
          <w:ilvl w:val="0"/>
          <w:numId w:val="2"/>
        </w:numPr>
        <w:spacing w:after="40" w:before="40"/>
      </w:pPr>
      <w:r>
        <w:rPr>
          <w:rFonts w:ascii="Arial" w:cs="Arial" w:eastAsia="Arial" w:hAnsi="Arial"/>
          <w:sz w:val="22"/>
          <w:szCs w:val="22"/>
        </w:rPr>
        <w:t xml:space="preserve">Cloud gaming (Xbox Cloud Gaming) extending access to console-quality experiences across mobile, browser, and smart TVs.</w:t>
      </w:r>
    </w:p>
    <w:p>
      <w:pPr>
        <w:pStyle w:val="ListParagraph"/>
        <w:numPr>
          <w:ilvl w:val="0"/>
          <w:numId w:val="2"/>
        </w:numPr>
        <w:spacing w:after="40" w:before="40"/>
      </w:pPr>
      <w:r>
        <w:rPr>
          <w:rFonts w:ascii="Arial" w:cs="Arial" w:eastAsia="Arial" w:hAnsi="Arial"/>
          <w:sz w:val="22"/>
          <w:szCs w:val="22"/>
        </w:rPr>
        <w:t xml:space="preserve">AI-assisted game development tools to accelerate content creation for first-party studios.</w:t>
      </w:r>
    </w:p>
    <w:p>
      <w:pPr>
        <w:pStyle w:val="ListParagraph"/>
        <w:numPr>
          <w:ilvl w:val="0"/>
          <w:numId w:val="2"/>
        </w:numPr>
        <w:spacing w:after="40" w:before="40"/>
      </w:pPr>
      <w:r>
        <w:rPr>
          <w:rFonts w:ascii="Arial" w:cs="Arial" w:eastAsia="Arial" w:hAnsi="Arial"/>
          <w:sz w:val="22"/>
          <w:szCs w:val="22"/>
        </w:rPr>
        <w:t xml:space="preserve">Cross-platform strategy reinforcing revenue diversification beyond traditional console hardware.</w:t>
      </w:r>
    </w:p>
    <w:p>
      <w:pPr>
        <w:pBdr>
          <w:bottom w:val="single" w:color="0078D4" w:sz="6" w:space="1"/>
        </w:pBdr>
        <w:spacing w:after="160" w:before="160"/>
      </w:pPr>
      <w:r>
        <w:t xml:space="preserve"/>
      </w:r>
    </w:p>
    <w:p>
      <w:pPr>
        <w:pStyle w:val="Heading1"/>
        <w:spacing w:after="160" w:before="360"/>
      </w:pPr>
      <w:r>
        <w:rPr>
          <w:rFonts w:ascii="Arial" w:cs="Arial" w:eastAsia="Arial" w:hAnsi="Arial"/>
          <w:b/>
          <w:bCs/>
          <w:color w:val="00188F"/>
          <w:sz w:val="32"/>
          <w:szCs w:val="32"/>
        </w:rPr>
        <w:t xml:space="preserve">5. Global Infrastructure Investment</w:t>
      </w:r>
    </w:p>
    <w:p>
      <w:pPr>
        <w:spacing w:after="80" w:before="80"/>
        <w:jc w:val="both"/>
      </w:pPr>
      <w:r>
        <w:rPr>
          <w:rFonts w:ascii="Arial" w:cs="Arial" w:eastAsia="Arial" w:hAnsi="Arial"/>
          <w:sz w:val="22"/>
          <w:szCs w:val="22"/>
        </w:rPr>
        <w:t xml:space="preserve">Microsoft is committing tens of billions of dollars to build AI and cloud capacity in strategically important markets.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20"/>
        <w:gridCol w:w="2820"/>
        <w:gridCol w:w="2820"/>
      </w:tblGrid>
      <w:tr>
        <w:tc>
          <w:tcPr>
            <w:tcW w:type="dxa" w:w="3720"/>
            <w:tcBorders>
              <w:top w:val="single" w:color="CCCCCC" w:sz="1"/>
              <w:left w:val="single" w:color="CCCCCC" w:sz="1"/>
              <w:bottom w:val="single" w:color="CCCCCC" w:sz="1"/>
              <w:right w:val="single" w:color="CCCCCC" w:sz="1"/>
            </w:tcBorders>
            <w:shd w:fill="0078D4"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820"/>
            <w:tcBorders>
              <w:top w:val="single" w:color="CCCCCC" w:sz="1"/>
              <w:left w:val="single" w:color="CCCCCC" w:sz="1"/>
              <w:bottom w:val="single" w:color="CCCCCC" w:sz="1"/>
              <w:right w:val="single" w:color="CCCCCC" w:sz="1"/>
            </w:tcBorders>
            <w:shd w:fill="0078D4" w:val="clear"/>
            <w:tcMar>
              <w:top w:type="dxa" w:w="80"/>
              <w:left w:type="dxa" w:w="120"/>
              <w:bottom w:type="dxa" w:w="80"/>
              <w:right w:type="dxa" w:w="120"/>
            </w:tcMar>
          </w:tcPr>
          <w:p>
            <w:r>
              <w:rPr>
                <w:rFonts w:ascii="Arial" w:cs="Arial" w:eastAsia="Arial" w:hAnsi="Arial"/>
                <w:b/>
                <w:bCs/>
                <w:color w:val="FFFFFF"/>
                <w:sz w:val="20"/>
                <w:szCs w:val="20"/>
              </w:rPr>
              <w:t xml:space="preserve">Q1 FY2026 Result</w:t>
            </w:r>
          </w:p>
        </w:tc>
        <w:tc>
          <w:tcPr>
            <w:tcW w:type="dxa" w:w="2820"/>
            <w:tcBorders>
              <w:top w:val="single" w:color="CCCCCC" w:sz="1"/>
              <w:left w:val="single" w:color="CCCCCC" w:sz="1"/>
              <w:bottom w:val="single" w:color="CCCCCC" w:sz="1"/>
              <w:right w:val="single" w:color="CCCCCC" w:sz="1"/>
            </w:tcBorders>
            <w:shd w:fill="0078D4" w:val="clear"/>
            <w:tcMar>
              <w:top w:type="dxa" w:w="80"/>
              <w:left w:type="dxa" w:w="120"/>
              <w:bottom w:type="dxa" w:w="80"/>
              <w:right w:type="dxa" w:w="120"/>
            </w:tcMar>
          </w:tcPr>
          <w:p>
            <w:r>
              <w:rPr>
                <w:rFonts w:ascii="Arial" w:cs="Arial" w:eastAsia="Arial" w:hAnsi="Arial"/>
                <w:b/>
                <w:bCs/>
                <w:color w:val="FFFFFF"/>
                <w:sz w:val="20"/>
                <w:szCs w:val="20"/>
              </w:rPr>
              <w:t xml:space="preserve">YoY Growth</w:t>
            </w:r>
          </w:p>
        </w:tc>
      </w:tr>
      <w:tr>
        <w:tc>
          <w:tcPr>
            <w:tcW w:type="dxa" w:w="3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Total Revenue (Q1 FY2026)</w:t>
            </w:r>
          </w:p>
        </w:tc>
        <w:tc>
          <w:tcPr>
            <w:tcW w:type="dxa" w:w="2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$77.7 billion</w:t>
            </w:r>
          </w:p>
        </w:tc>
        <w:tc>
          <w:tcPr>
            <w:tcW w:type="dxa" w:w="2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+18% YoY</w:t>
            </w:r>
          </w:p>
        </w:tc>
      </w:tr>
      <w:tr>
        <w:tc>
          <w:tcPr>
            <w:tcW w:type="dxa" w:w="372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Microsoft Cloud Revenue</w:t>
            </w:r>
          </w:p>
        </w:tc>
        <w:tc>
          <w:tcPr>
            <w:tcW w:type="dxa" w:w="282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$49.1 billion</w:t>
            </w:r>
          </w:p>
        </w:tc>
        <w:tc>
          <w:tcPr>
            <w:tcW w:type="dxa" w:w="282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+26% YoY</w:t>
            </w:r>
          </w:p>
        </w:tc>
      </w:tr>
      <w:tr>
        <w:tc>
          <w:tcPr>
            <w:tcW w:type="dxa" w:w="3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Azure &amp; Cloud Services Growth</w:t>
            </w:r>
          </w:p>
        </w:tc>
        <w:tc>
          <w:tcPr>
            <w:tcW w:type="dxa" w:w="2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w:t>
            </w:r>
          </w:p>
        </w:tc>
        <w:tc>
          <w:tcPr>
            <w:tcW w:type="dxa" w:w="2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+40% YoY</w:t>
            </w:r>
          </w:p>
        </w:tc>
      </w:tr>
      <w:tr>
        <w:tc>
          <w:tcPr>
            <w:tcW w:type="dxa" w:w="372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Capital Expenditures (Q1 FY2026)</w:t>
            </w:r>
          </w:p>
        </w:tc>
        <w:tc>
          <w:tcPr>
            <w:tcW w:type="dxa" w:w="282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$34.9 billion</w:t>
            </w:r>
          </w:p>
        </w:tc>
        <w:tc>
          <w:tcPr>
            <w:tcW w:type="dxa" w:w="282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+74% YoY</w:t>
            </w:r>
          </w:p>
        </w:tc>
      </w:tr>
      <w:tr>
        <w:tc>
          <w:tcPr>
            <w:tcW w:type="dxa" w:w="3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Copilot Monthly Active Users</w:t>
            </w:r>
          </w:p>
        </w:tc>
        <w:tc>
          <w:tcPr>
            <w:tcW w:type="dxa" w:w="2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 M+</w:t>
            </w:r>
          </w:p>
        </w:tc>
        <w:tc>
          <w:tcPr>
            <w:tcW w:type="dxa" w:w="2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Commercial + Consumer</w:t>
            </w:r>
          </w:p>
        </w:tc>
      </w:tr>
      <w:tr>
        <w:tc>
          <w:tcPr>
            <w:tcW w:type="dxa" w:w="372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Fortune 500 Copilot Adoption</w:t>
            </w:r>
          </w:p>
        </w:tc>
        <w:tc>
          <w:tcPr>
            <w:tcW w:type="dxa" w:w="282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90%</w:t>
            </w:r>
          </w:p>
        </w:tc>
        <w:tc>
          <w:tcPr>
            <w:tcW w:type="dxa" w:w="282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Enterprise penetration</w:t>
            </w:r>
          </w:p>
        </w:tc>
      </w:tr>
      <w:tr>
        <w:tc>
          <w:tcPr>
            <w:tcW w:type="dxa" w:w="3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India Infrastructure Investment</w:t>
            </w:r>
          </w:p>
        </w:tc>
        <w:tc>
          <w:tcPr>
            <w:tcW w:type="dxa" w:w="2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$17.5 billion</w:t>
            </w:r>
          </w:p>
        </w:tc>
        <w:tc>
          <w:tcPr>
            <w:tcW w:type="dxa" w:w="2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Multi-year commitment</w:t>
            </w:r>
          </w:p>
        </w:tc>
      </w:tr>
      <w:tr>
        <w:tc>
          <w:tcPr>
            <w:tcW w:type="dxa" w:w="372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Canada Infrastructure Investment</w:t>
            </w:r>
          </w:p>
        </w:tc>
        <w:tc>
          <w:tcPr>
            <w:tcW w:type="dxa" w:w="282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C$7.5 billion</w:t>
            </w:r>
          </w:p>
        </w:tc>
        <w:tc>
          <w:tcPr>
            <w:tcW w:type="dxa" w:w="282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Multi-year commitment</w:t>
            </w:r>
          </w:p>
        </w:tc>
      </w:tr>
      <w:tr>
        <w:tc>
          <w:tcPr>
            <w:tcW w:type="dxa" w:w="3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Global Datacenters</w:t>
            </w:r>
          </w:p>
        </w:tc>
        <w:tc>
          <w:tcPr>
            <w:tcW w:type="dxa" w:w="2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400+</w:t>
            </w:r>
          </w:p>
        </w:tc>
        <w:tc>
          <w:tcPr>
            <w:tcW w:type="dxa" w:w="2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70 regions worldwide</w:t>
            </w:r>
          </w:p>
        </w:tc>
      </w:tr>
    </w:tbl>
    <w:p>
      <w:r>
        <w:br w:type="page"/>
      </w:r>
    </w:p>
    <w:p>
      <w:pPr>
        <w:pStyle w:val="Heading1"/>
        <w:spacing w:after="160" w:before="360"/>
      </w:pPr>
      <w:r>
        <w:rPr>
          <w:rFonts w:ascii="Arial" w:cs="Arial" w:eastAsia="Arial" w:hAnsi="Arial"/>
          <w:b/>
          <w:bCs/>
          <w:color w:val="00188F"/>
          <w:sz w:val="32"/>
          <w:szCs w:val="32"/>
        </w:rPr>
        <w:t xml:space="preserve">6. Strategic Outlook</w:t>
      </w:r>
    </w:p>
    <w:p>
      <w:pPr>
        <w:spacing w:after="80" w:before="80"/>
        <w:jc w:val="both"/>
      </w:pPr>
      <w:r>
        <w:rPr>
          <w:rFonts w:ascii="Arial" w:cs="Arial" w:eastAsia="Arial" w:hAnsi="Arial"/>
          <w:sz w:val="22"/>
          <w:szCs w:val="22"/>
        </w:rPr>
        <w:t xml:space="preserve">Analysts project that Azure and Copilot together could add approximately $25 billion in incremental revenue by the close of FY2026. Microsoft’s compounding advantages — its deep enterprise relationships, the OpenAI partnership, global cloud infrastructure, and an integrated security-to-productivity stack — position it as the single vendor best placed to capture the enterprise AI opportunity.</w:t>
      </w:r>
    </w:p>
    <w:p>
      <w:pPr>
        <w:pStyle w:val="Heading2"/>
        <w:spacing w:after="120" w:before="280"/>
      </w:pPr>
      <w:r>
        <w:rPr>
          <w:rFonts w:ascii="Arial" w:cs="Arial" w:eastAsia="Arial" w:hAnsi="Arial"/>
          <w:b/>
          <w:bCs/>
          <w:color w:val="0078D4"/>
          <w:sz w:val="26"/>
          <w:szCs w:val="26"/>
        </w:rPr>
        <w:t xml:space="preserve">6.1  Near-Term Priorities (FY2026)</w:t>
      </w:r>
    </w:p>
    <w:p>
      <w:pPr>
        <w:pStyle w:val="ListParagraph"/>
        <w:numPr>
          <w:ilvl w:val="0"/>
          <w:numId w:val="2"/>
        </w:numPr>
        <w:spacing w:after="40" w:before="40"/>
      </w:pPr>
      <w:r>
        <w:rPr>
          <w:rFonts w:ascii="Arial" w:cs="Arial" w:eastAsia="Arial" w:hAnsi="Arial"/>
          <w:sz w:val="22"/>
          <w:szCs w:val="22"/>
        </w:rPr>
        <w:t xml:space="preserve">Deepen Copilot penetration across SMB and regulated industries (financial services, healthcare, government).</w:t>
      </w:r>
    </w:p>
    <w:p>
      <w:pPr>
        <w:pStyle w:val="ListParagraph"/>
        <w:numPr>
          <w:ilvl w:val="0"/>
          <w:numId w:val="2"/>
        </w:numPr>
        <w:spacing w:after="40" w:before="40"/>
      </w:pPr>
      <w:r>
        <w:rPr>
          <w:rFonts w:ascii="Arial" w:cs="Arial" w:eastAsia="Arial" w:hAnsi="Arial"/>
          <w:sz w:val="22"/>
          <w:szCs w:val="22"/>
        </w:rPr>
        <w:t xml:space="preserve">Expand Azure AI Foundry’s agent marketplace and developer tooling.</w:t>
      </w:r>
    </w:p>
    <w:p>
      <w:pPr>
        <w:pStyle w:val="ListParagraph"/>
        <w:numPr>
          <w:ilvl w:val="0"/>
          <w:numId w:val="2"/>
        </w:numPr>
        <w:spacing w:after="40" w:before="40"/>
      </w:pPr>
      <w:r>
        <w:rPr>
          <w:rFonts w:ascii="Arial" w:cs="Arial" w:eastAsia="Arial" w:hAnsi="Arial"/>
          <w:sz w:val="22"/>
          <w:szCs w:val="22"/>
        </w:rPr>
        <w:t xml:space="preserve">Complete Fairwater-class AI datacenter rollout across priority regions.</w:t>
      </w:r>
    </w:p>
    <w:p>
      <w:pPr>
        <w:pStyle w:val="ListParagraph"/>
        <w:numPr>
          <w:ilvl w:val="0"/>
          <w:numId w:val="2"/>
        </w:numPr>
        <w:spacing w:after="40" w:before="40"/>
      </w:pPr>
      <w:r>
        <w:rPr>
          <w:rFonts w:ascii="Arial" w:cs="Arial" w:eastAsia="Arial" w:hAnsi="Arial"/>
          <w:sz w:val="22"/>
          <w:szCs w:val="22"/>
        </w:rPr>
        <w:t xml:space="preserve">Accelerate Game Pass subscriber growth via Activision Blizzard content calendar.</w:t>
      </w:r>
    </w:p>
    <w:p>
      <w:pPr>
        <w:pStyle w:val="ListParagraph"/>
        <w:numPr>
          <w:ilvl w:val="0"/>
          <w:numId w:val="2"/>
        </w:numPr>
        <w:spacing w:after="40" w:before="40"/>
      </w:pPr>
      <w:r>
        <w:rPr>
          <w:rFonts w:ascii="Arial" w:cs="Arial" w:eastAsia="Arial" w:hAnsi="Arial"/>
          <w:sz w:val="22"/>
          <w:szCs w:val="22"/>
        </w:rPr>
        <w:t xml:space="preserve">Strengthen Zero Trust security posture with AI-native threat intelligence.</w:t>
      </w:r>
    </w:p>
    <w:p>
      <w:pPr>
        <w:pStyle w:val="Heading2"/>
        <w:spacing w:after="120" w:before="280"/>
      </w:pPr>
      <w:r>
        <w:rPr>
          <w:rFonts w:ascii="Arial" w:cs="Arial" w:eastAsia="Arial" w:hAnsi="Arial"/>
          <w:b/>
          <w:bCs/>
          <w:color w:val="0078D4"/>
          <w:sz w:val="26"/>
          <w:szCs w:val="26"/>
        </w:rPr>
        <w:t xml:space="preserve">6.2  Medium-Term Priorities (FY2027–FY2028)</w:t>
      </w:r>
    </w:p>
    <w:p>
      <w:pPr>
        <w:pStyle w:val="ListParagraph"/>
        <w:numPr>
          <w:ilvl w:val="0"/>
          <w:numId w:val="2"/>
        </w:numPr>
        <w:spacing w:after="40" w:before="40"/>
      </w:pPr>
      <w:r>
        <w:rPr>
          <w:rFonts w:ascii="Arial" w:cs="Arial" w:eastAsia="Arial" w:hAnsi="Arial"/>
          <w:sz w:val="22"/>
          <w:szCs w:val="22"/>
        </w:rPr>
        <w:t xml:space="preserve">Scale autonomous agent capabilities to end-to-end business process automation.</w:t>
      </w:r>
    </w:p>
    <w:p>
      <w:pPr>
        <w:pStyle w:val="ListParagraph"/>
        <w:numPr>
          <w:ilvl w:val="0"/>
          <w:numId w:val="2"/>
        </w:numPr>
        <w:spacing w:after="40" w:before="40"/>
      </w:pPr>
      <w:r>
        <w:rPr>
          <w:rFonts w:ascii="Arial" w:cs="Arial" w:eastAsia="Arial" w:hAnsi="Arial"/>
          <w:sz w:val="22"/>
          <w:szCs w:val="22"/>
        </w:rPr>
        <w:t xml:space="preserve">Extend AI to the edge via Azure Edge Zones and intelligent device fleets (Windows, Surface, HoloLens).</w:t>
      </w:r>
    </w:p>
    <w:p>
      <w:pPr>
        <w:pStyle w:val="ListParagraph"/>
        <w:numPr>
          <w:ilvl w:val="0"/>
          <w:numId w:val="2"/>
        </w:numPr>
        <w:spacing w:after="40" w:before="40"/>
      </w:pPr>
      <w:r>
        <w:rPr>
          <w:rFonts w:ascii="Arial" w:cs="Arial" w:eastAsia="Arial" w:hAnsi="Arial"/>
          <w:sz w:val="22"/>
          <w:szCs w:val="22"/>
        </w:rPr>
        <w:t xml:space="preserve">Advance quantum computing research in partnership with academic and government institutions.</w:t>
      </w:r>
    </w:p>
    <w:p>
      <w:pPr>
        <w:pStyle w:val="ListParagraph"/>
        <w:numPr>
          <w:ilvl w:val="0"/>
          <w:numId w:val="2"/>
        </w:numPr>
        <w:spacing w:after="40" w:before="40"/>
      </w:pPr>
      <w:r>
        <w:rPr>
          <w:rFonts w:ascii="Arial" w:cs="Arial" w:eastAsia="Arial" w:hAnsi="Arial"/>
          <w:sz w:val="22"/>
          <w:szCs w:val="22"/>
        </w:rPr>
        <w:t xml:space="preserve">Drive sustainable datacentre operations — targeting 100% renewable energy by 2025 and carbon negativity by 2030.</w:t>
      </w:r>
    </w:p>
    <w:p>
      <w:pPr>
        <w:pStyle w:val="ListParagraph"/>
        <w:numPr>
          <w:ilvl w:val="0"/>
          <w:numId w:val="2"/>
        </w:numPr>
        <w:spacing w:after="40" w:before="40"/>
      </w:pPr>
      <w:r>
        <w:rPr>
          <w:rFonts w:ascii="Arial" w:cs="Arial" w:eastAsia="Arial" w:hAnsi="Arial"/>
          <w:sz w:val="22"/>
          <w:szCs w:val="22"/>
        </w:rPr>
        <w:t xml:space="preserve">Expand sovereign cloud offerings for governments requiring data residency compliance.</w:t>
      </w:r>
    </w:p>
    <w:p>
      <w:pPr>
        <w:pBdr>
          <w:bottom w:val="single" w:color="0078D4" w:sz="6" w:space="1"/>
        </w:pBdr>
        <w:spacing w:after="160" w:before="160"/>
      </w:pPr>
      <w:r>
        <w:t xml:space="preserve"/>
      </w:r>
    </w:p>
    <w:p>
      <w:pPr>
        <w:pStyle w:val="Heading1"/>
        <w:spacing w:after="160" w:before="360"/>
      </w:pPr>
      <w:r>
        <w:rPr>
          <w:rFonts w:ascii="Arial" w:cs="Arial" w:eastAsia="Arial" w:hAnsi="Arial"/>
          <w:b/>
          <w:bCs/>
          <w:color w:val="00188F"/>
          <w:sz w:val="32"/>
          <w:szCs w:val="32"/>
        </w:rPr>
        <w:t xml:space="preserve">Conclusion</w:t>
      </w:r>
    </w:p>
    <w:p>
      <w:pPr>
        <w:spacing w:after="80" w:before="80"/>
        <w:jc w:val="both"/>
      </w:pPr>
      <w:r>
        <w:rPr>
          <w:rFonts w:ascii="Arial" w:cs="Arial" w:eastAsia="Arial" w:hAnsi="Arial"/>
          <w:sz w:val="22"/>
          <w:szCs w:val="22"/>
        </w:rPr>
        <w:t xml:space="preserve">Microsoft’s trajectory is unmistakably clear: the company is building the world’s most comprehensive AI platform by coupling frontier model access through OpenAI, enterprise-grade Azure infrastructure, and deeply integrated Copilot experiences across productivity and security. With record capital investment, rapid revenue growth, and dominant enterprise adoption, Microsoft is not merely participating in the AI era — it is defining it.</w:t>
      </w:r>
    </w:p>
    <w:p>
      <w:pPr>
        <w:spacing w:after="0" w:before="240"/>
      </w:pPr>
      <w:r>
        <w:t xml:space="preserve"/>
      </w:r>
    </w:p>
    <w:p>
      <w:pPr>
        <w:spacing w:after="80" w:before="80"/>
        <w:jc w:val="both"/>
      </w:pPr>
      <w:r>
        <w:rPr>
          <w:rFonts w:ascii="Arial" w:cs="Arial" w:eastAsia="Arial" w:hAnsi="Arial"/>
          <w:i/>
          <w:iCs/>
          <w:color w:val="888888"/>
          <w:sz w:val="18"/>
          <w:szCs w:val="18"/>
        </w:rPr>
        <w:t xml:space="preserve">Sources: Microsoft Q1 FY2026 Earnings Release, Microsoft Ignite 2025 Announcements, Futurum Research, TechRepublic, Stellium Consulting AI &amp; Microsoft 2026 Report.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78D4" w:sz="6" w:space="1"/>
      </w:pBdr>
      <w:tabs>
        <w:tab w:val="right" w:pos="9360"/>
      </w:tabs>
    </w:pPr>
    <w:r>
      <w:rPr>
        <w:rFonts w:ascii="Arial" w:cs="Arial" w:eastAsia="Arial" w:hAnsi="Arial"/>
        <w:color w:val="888888"/>
        <w:sz w:val="16"/>
        <w:szCs w:val="16"/>
      </w:rPr>
      <w:t xml:space="preserve">Confidential – March 2026	</w:t>
    </w: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78D4" w:sz="6" w:space="1"/>
      </w:pBdr>
      <w:tabs>
        <w:tab w:val="right" w:pos="9360"/>
      </w:tabs>
    </w:pPr>
    <w:r>
      <w:rPr>
        <w:rFonts w:ascii="Arial" w:cs="Arial" w:eastAsia="Arial" w:hAnsi="Arial"/>
        <w:b/>
        <w:bCs/>
        <w:color w:val="00188F"/>
        <w:sz w:val="18"/>
        <w:szCs w:val="18"/>
      </w:rPr>
      <w:t xml:space="preserve">Microsoft Corporation</w:t>
    </w:r>
    <w:r>
      <w:rPr>
        <w:rFonts w:ascii="Arial" w:cs="Arial" w:eastAsia="Arial" w:hAnsi="Arial"/>
        <w:sz w:val="18"/>
        <w:szCs w:val="18"/>
      </w:rPr>
      <w:t xml:space="preserve">	</w:t>
    </w:r>
    <w:r>
      <w:rPr>
        <w:rFonts w:ascii="Arial" w:cs="Arial" w:eastAsia="Arial" w:hAnsi="Arial"/>
        <w:color w:val="666666"/>
        <w:sz w:val="18"/>
        <w:szCs w:val="18"/>
      </w:rPr>
      <w:t xml:space="preserve">Strategic Focus &amp; Future Plans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0188F"/>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0078D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2026-03-05T03:09:54.557Z</dcterms:created>
  <dcterms:modified xsi:type="dcterms:W3CDTF">2026-03-05T03:09:54.558Z</dcterms:modified>
</cp:coreProperties>
</file>

<file path=docProps/custom.xml><?xml version="1.0" encoding="utf-8"?>
<Properties xmlns="http://schemas.openxmlformats.org/officeDocument/2006/custom-properties" xmlns:vt="http://schemas.openxmlformats.org/officeDocument/2006/docPropsVTypes"/>
</file>