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F3864"/>
          <w:sz w:val="44"/>
        </w:rPr>
        <w:t>Eric Chen</w:t>
      </w:r>
    </w:p>
    <w:p>
      <w:pPr>
        <w:spacing w:before="0" w:after="80"/>
        <w:jc w:val="center"/>
      </w:pPr>
      <w:r>
        <w:rPr>
          <w:rFonts w:ascii="Calibri" w:hAnsi="Calibri"/>
          <w:b w:val="0"/>
          <w:color w:val="000000"/>
          <w:sz w:val="20"/>
        </w:rPr>
        <w:t>0414 621 509</w:t>
      </w:r>
      <w:r>
        <w:rPr>
          <w:rFonts w:ascii="Calibri" w:hAnsi="Calibri"/>
          <w:b w:val="0"/>
          <w:color w:val="000000"/>
          <w:sz w:val="20"/>
        </w:rPr>
        <w:t xml:space="preserve">  |  </w:t>
      </w:r>
      <w:hyperlink r:id="rId9">
        <w:r>
          <w:rPr>
            <w:rFonts w:ascii="Calibri" w:hAnsi="Calibri"/>
            <w:sz w:val="20"/>
            <w:szCs w:val="20"/>
            <w:color w:val="0563C1"/>
            <w:u w:val="single"/>
          </w:rPr>
          <w:t xml:space="preserve">sapetech@hotmail.com</w:t>
        </w:r>
      </w:hyperlink>
      <w:r>
        <w:rPr>
          <w:rFonts w:ascii="Calibri" w:hAnsi="Calibri"/>
          <w:b w:val="0"/>
          <w:color w:val="000000"/>
          <w:sz w:val="20"/>
        </w:rPr>
        <w:t xml:space="preserve">  |  </w:t>
      </w:r>
      <w:r>
        <w:rPr>
          <w:rFonts w:ascii="Calibri" w:hAnsi="Calibri"/>
          <w:b w:val="0"/>
          <w:color w:val="000000"/>
          <w:sz w:val="20"/>
        </w:rPr>
        <w:t>Sydney, Australia</w:t>
      </w:r>
    </w:p>
    <w:p>
      <w:pPr>
        <w:spacing w:before="120" w:after="20"/>
        <w:jc w:val="left"/>
        <w:pBdr>
          <w:bottom w:val="single" w:sz="12" w:space="1" w:color="1F3864"/>
        </w:pBdr>
      </w:pPr>
      <w:r>
        <w:rPr>
          <w:rFonts w:ascii="Calibri" w:hAnsi="Calibri"/>
          <w:b/>
          <w:color w:val="1F3864"/>
          <w:sz w:val="22"/>
        </w:rPr>
        <w:t>SUMMARY</w:t>
      </w:r>
    </w:p>
    <w:p>
      <w:pPr>
        <w:spacing w:before="0" w:after="20"/>
      </w:pPr>
      <w:r>
        <w:rPr>
          <w:rFonts w:ascii="Calibri" w:hAnsi="Calibri"/>
          <w:b w:val="0"/>
          <w:color w:val="000000"/>
          <w:sz w:val="20"/>
        </w:rPr>
        <w:t>Senior technical program leader with 18+ years owning complex, customer-facing engineering programs across Microsoft Azure, SAP on Azure, and AI-powered enterprise solutions. Defines success metrics, sequences delivery plans, and aligns Engineering, Product, and Support around shared outcomes for the most strategic customers in ANZ. Recent focus: shipping AI-assisted operational tooling (Copilot Studio, Azure OpenAI, RAG, agentic workflows) and governing AI-assisted engineering practices end-to-end — from problem definition through production delivery and adoption — in high-ambiguity, autonomous environments.</w:t>
      </w:r>
    </w:p>
    <w:p>
      <w:pPr>
        <w:spacing w:before="120" w:after="20"/>
        <w:jc w:val="left"/>
        <w:pBdr>
          <w:bottom w:val="single" w:sz="12" w:space="1" w:color="1F3864"/>
        </w:pBdr>
      </w:pPr>
      <w:r>
        <w:rPr>
          <w:rFonts w:ascii="Calibri" w:hAnsi="Calibri"/>
          <w:b/>
          <w:color w:val="1F3864"/>
          <w:sz w:val="22"/>
        </w:rPr>
        <w:t>SKILLS</w:t>
      </w:r>
    </w:p>
    <w:p>
      <w:pPr>
        <w:spacing w:before="0" w:after="40"/>
      </w:pPr>
      <w:r>
        <w:rPr>
          <w:rFonts w:ascii="Calibri" w:hAnsi="Calibri"/>
          <w:b/>
          <w:color w:val="000000"/>
          <w:sz w:val="20"/>
        </w:rPr>
        <w:t xml:space="preserve">Core: </w:t>
      </w:r>
      <w:r>
        <w:rPr>
          <w:rFonts w:ascii="Calibri" w:hAnsi="Calibri"/>
          <w:b w:val="0"/>
          <w:color w:val="000000"/>
          <w:sz w:val="20"/>
        </w:rPr>
        <w:t>Technical Program Management · End-to-End Program Delivery · Cross-functional Engineering Leadership · Customer Engagement &amp; Stakeholder Influence · Cloud Architecture · AI/ML Solution Delivery · Delivery Plans &amp; Success Metrics</w:t>
      </w:r>
    </w:p>
    <w:p>
      <w:pPr>
        <w:spacing w:before="0" w:after="40"/>
      </w:pPr>
      <w:r>
        <w:rPr>
          <w:rFonts w:ascii="Calibri" w:hAnsi="Calibri"/>
          <w:b/>
          <w:color w:val="000000"/>
          <w:sz w:val="20"/>
        </w:rPr>
        <w:t xml:space="preserve">Tools: </w:t>
      </w:r>
      <w:r>
        <w:rPr>
          <w:rFonts w:ascii="Calibri" w:hAnsi="Calibri"/>
          <w:b w:val="0"/>
          <w:color w:val="000000"/>
          <w:sz w:val="20"/>
        </w:rPr>
        <w:t>Copilot Studio · Azure OpenAI Service · LangChain · LlamaIndex · Flowise · n8n · MCP · Semantic Kernel · Power Automate · Claude Code · Cursor</w:t>
      </w:r>
    </w:p>
    <w:p>
      <w:pPr>
        <w:spacing w:before="0" w:after="40"/>
      </w:pPr>
      <w:r>
        <w:rPr>
          <w:rFonts w:ascii="Calibri" w:hAnsi="Calibri"/>
          <w:b/>
          <w:color w:val="000000"/>
          <w:sz w:val="20"/>
        </w:rPr>
        <w:t xml:space="preserve">Methods: </w:t>
      </w:r>
      <w:r>
        <w:rPr>
          <w:rFonts w:ascii="Calibri" w:hAnsi="Calibri"/>
          <w:b w:val="0"/>
          <w:color w:val="000000"/>
          <w:sz w:val="20"/>
        </w:rPr>
        <w:t>Agentic Workflows · Retrieval-Augmented Generation (RAG) · Prompt Engineering · RCA &amp; Postmortems · Service Improvement Programs · Production Reliability</w:t>
      </w:r>
    </w:p>
    <w:p>
      <w:pPr>
        <w:spacing w:before="0" w:after="40"/>
      </w:pPr>
      <w:r>
        <w:rPr>
          <w:rFonts w:ascii="Calibri" w:hAnsi="Calibri"/>
          <w:b/>
          <w:color w:val="000000"/>
          <w:sz w:val="20"/>
        </w:rPr>
        <w:t xml:space="preserve">Domains: </w:t>
      </w:r>
      <w:r>
        <w:rPr>
          <w:rFonts w:ascii="Calibri" w:hAnsi="Calibri"/>
          <w:b w:val="0"/>
          <w:color w:val="000000"/>
          <w:sz w:val="20"/>
        </w:rPr>
        <w:t>Microsoft Azure · SAP on Azure (ECC / S/4HANA) · Dynamics 365 · Enterprise SaaS · Mission-Critical Workloads</w:t>
      </w:r>
    </w:p>
    <w:p>
      <w:pPr>
        <w:spacing w:before="120" w:after="20"/>
        <w:jc w:val="left"/>
        <w:pBdr>
          <w:bottom w:val="single" w:sz="12" w:space="1" w:color="1F3864"/>
        </w:pBdr>
      </w:pPr>
      <w:r>
        <w:rPr>
          <w:rFonts w:ascii="Calibri" w:hAnsi="Calibri"/>
          <w:b/>
          <w:color w:val="1F3864"/>
          <w:sz w:val="22"/>
        </w:rPr>
        <w:t>EXPERIENCE</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type="dxa" w:w="6854"/>
            <w:tcMar>
              <w:top w:w="0" w:type="dxa"/>
              <w:bottom w:w="0" w:type="dxa"/>
              <w:start w:w="0" w:type="dxa"/>
              <w:end w:w="0" w:type="dxa"/>
            </w:tcMar>
          </w:tcPr>
          <w:p>
            <w:pPr>
              <w:spacing w:before="0" w:after="0"/>
              <w:jc w:val="left"/>
            </w:pPr>
            <w:r>
              <w:rPr>
                <w:rFonts w:ascii="Calibri" w:hAnsi="Calibri"/>
                <w:b/>
                <w:color w:val="000000"/>
                <w:sz w:val="20"/>
              </w:rPr>
              <w:t>Lead Customer Advocate</w:t>
            </w:r>
          </w:p>
          <w:p>
            <w:pPr>
              <w:spacing w:before="0" w:after="0"/>
              <w:jc w:val="left"/>
            </w:pPr>
            <w:r>
              <w:rPr>
                <w:rFonts w:ascii="Calibri" w:hAnsi="Calibri"/>
                <w:b w:val="0"/>
                <w:i/>
                <w:color w:val="000000"/>
                <w:sz w:val="20"/>
              </w:rPr>
              <w:t>OpenText, Sydney, Australia</w:t>
            </w:r>
          </w:p>
        </w:tc>
        <w:tc>
          <w:tcPr>
            <w:tcW w:type="dxa" w:w="3226"/>
            <w:tcMar>
              <w:top w:w="0" w:type="dxa"/>
              <w:bottom w:w="0" w:type="dxa"/>
              <w:start w:w="0" w:type="dxa"/>
              <w:end w:w="0" w:type="dxa"/>
            </w:tcMar>
          </w:tcPr>
          <w:p>
            <w:pPr>
              <w:spacing w:before="0" w:after="0"/>
              <w:jc w:val="right"/>
            </w:pPr>
            <w:r>
              <w:rPr>
                <w:rFonts w:ascii="Calibri" w:hAnsi="Calibri"/>
                <w:b w:val="0"/>
                <w:color w:val="000000"/>
                <w:sz w:val="20"/>
              </w:rPr>
              <w:t>Sep 2025 – Present</w:t>
            </w:r>
          </w:p>
        </w:tc>
      </w:tr>
    </w:tbl>
    <w:p>
      <w:pPr>
        <w:pStyle w:val="ListBullet"/>
        <w:spacing w:before="0" w:after="20"/>
        <w:ind w:left="360" w:hanging="216"/>
        <w:jc w:val="left"/>
      </w:pPr>
      <w:r>
        <w:rPr>
          <w:rFonts w:ascii="Calibri" w:hAnsi="Calibri"/>
          <w:color w:val="000000"/>
          <w:sz w:val="20"/>
        </w:rPr>
        <w:t>Own the end-to-end escalation program for major customer incidents in the Mission Control Centre, defining success criteria, sequencing engineering and support workstreams, and driving production resolution within committed SLAs.</w:t>
      </w:r>
    </w:p>
    <w:p>
      <w:pPr>
        <w:pStyle w:val="ListBullet"/>
        <w:spacing w:before="0" w:after="20"/>
        <w:ind w:left="360" w:hanging="216"/>
        <w:jc w:val="left"/>
      </w:pPr>
      <w:r>
        <w:rPr>
          <w:rFonts w:ascii="Calibri" w:hAnsi="Calibri"/>
          <w:color w:val="000000"/>
          <w:sz w:val="20"/>
        </w:rPr>
        <w:t>Run the customer-facing communication track during high-severity outages, aligning enterprise stakeholders across multiple parallel programs and shifting priorities.</w:t>
      </w:r>
    </w:p>
    <w:p>
      <w:pPr>
        <w:pStyle w:val="ListBullet"/>
        <w:spacing w:before="0" w:after="20"/>
        <w:ind w:left="360" w:hanging="216"/>
        <w:jc w:val="left"/>
      </w:pPr>
      <w:r>
        <w:rPr>
          <w:rFonts w:ascii="Calibri" w:hAnsi="Calibri"/>
          <w:color w:val="000000"/>
          <w:sz w:val="20"/>
        </w:rPr>
        <w:t>Coordinate cross-functional teams and account leaders to remove roadblocks, broker decisions, and shorten time-to-resolution on complex multi-team programs.</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type="dxa" w:w="6854"/>
            <w:tcMar>
              <w:top w:w="0" w:type="dxa"/>
              <w:bottom w:w="0" w:type="dxa"/>
              <w:start w:w="0" w:type="dxa"/>
              <w:end w:w="0" w:type="dxa"/>
            </w:tcMar>
          </w:tcPr>
          <w:p>
            <w:pPr>
              <w:spacing w:before="60" w:after="0"/>
              <w:jc w:val="left"/>
            </w:pPr>
            <w:r>
              <w:rPr>
                <w:rFonts w:ascii="Calibri" w:hAnsi="Calibri"/>
                <w:b/>
                <w:color w:val="000000"/>
                <w:sz w:val="20"/>
              </w:rPr>
              <w:t>Senior Customer Reliability Engineer</w:t>
            </w:r>
          </w:p>
          <w:p>
            <w:pPr>
              <w:spacing w:before="0" w:after="0"/>
              <w:jc w:val="left"/>
            </w:pPr>
            <w:r>
              <w:rPr>
                <w:rFonts w:ascii="Calibri" w:hAnsi="Calibri"/>
                <w:b w:val="0"/>
                <w:i/>
                <w:color w:val="000000"/>
                <w:sz w:val="20"/>
              </w:rPr>
              <w:t>Microsoft Australia, Sydney, Australia</w:t>
            </w:r>
          </w:p>
        </w:tc>
        <w:tc>
          <w:tcPr>
            <w:tcW w:type="dxa" w:w="3226"/>
            <w:tcMar>
              <w:top w:w="0" w:type="dxa"/>
              <w:bottom w:w="0" w:type="dxa"/>
              <w:start w:w="0" w:type="dxa"/>
              <w:end w:w="0" w:type="dxa"/>
            </w:tcMar>
          </w:tcPr>
          <w:p>
            <w:pPr>
              <w:spacing w:before="60" w:after="0"/>
              <w:jc w:val="right"/>
            </w:pPr>
            <w:r>
              <w:rPr>
                <w:rFonts w:ascii="Calibri" w:hAnsi="Calibri"/>
                <w:b w:val="0"/>
                <w:color w:val="000000"/>
                <w:sz w:val="20"/>
              </w:rPr>
              <w:t>2021 – Jun 2025</w:t>
            </w:r>
          </w:p>
        </w:tc>
      </w:tr>
    </w:tbl>
    <w:p>
      <w:pPr>
        <w:pStyle w:val="ListBullet"/>
        <w:spacing w:before="0" w:after="20"/>
        <w:ind w:left="360" w:hanging="216"/>
        <w:jc w:val="left"/>
      </w:pPr>
      <w:r>
        <w:rPr>
          <w:rFonts w:ascii="Calibri" w:hAnsi="Calibri"/>
          <w:color w:val="000000"/>
          <w:sz w:val="20"/>
        </w:rPr>
        <w:t>Owned end-to-end program delivery and escalation management for Woolworths, the largest Azure customer in ANZ, partnering with Engineering, Product, and Support to land mission-critical reliability outcomes across SAP and Dynamics 365 workloads.</w:t>
      </w:r>
    </w:p>
    <w:p>
      <w:pPr>
        <w:pStyle w:val="ListBullet"/>
        <w:spacing w:before="0" w:after="20"/>
        <w:ind w:left="360" w:hanging="216"/>
        <w:jc w:val="left"/>
      </w:pPr>
      <w:r>
        <w:rPr>
          <w:rFonts w:ascii="Calibri" w:hAnsi="Calibri"/>
          <w:color w:val="000000"/>
          <w:sz w:val="20"/>
        </w:rPr>
        <w:t>Led the technical program to design and ship an AI-assisted Copilot in Copilot Studio for incident triage and enterprise knowledge retrieval, partnering with Microsoft CSU to integrate Power Automate, Azure OpenAI, Semantic Kernel, and SAP ECC connectors from problem definition through production adoption.</w:t>
      </w:r>
    </w:p>
    <w:p>
      <w:pPr>
        <w:pStyle w:val="ListBullet"/>
        <w:spacing w:before="0" w:after="20"/>
        <w:ind w:left="360" w:hanging="216"/>
        <w:jc w:val="left"/>
      </w:pPr>
      <w:r>
        <w:rPr>
          <w:rFonts w:ascii="Calibri" w:hAnsi="Calibri"/>
          <w:color w:val="000000"/>
          <w:sz w:val="20"/>
        </w:rPr>
        <w:t>Defined the delivery plan and validated AI-assisted use cases for a RAG knowledge solution on Azure OpenAI Service and LlamaIndex, accelerating retrieval over operational runbooks for support engineers handling complex Azure and SAP issues.</w:t>
      </w:r>
    </w:p>
    <w:p>
      <w:pPr>
        <w:pStyle w:val="ListBullet"/>
        <w:spacing w:before="0" w:after="20"/>
        <w:ind w:left="360" w:hanging="216"/>
        <w:jc w:val="left"/>
      </w:pPr>
      <w:r>
        <w:rPr>
          <w:rFonts w:ascii="Calibri" w:hAnsi="Calibri"/>
          <w:color w:val="000000"/>
          <w:sz w:val="20"/>
        </w:rPr>
        <w:t>Shaped the engineering practice for agentic workflows using LangChain, Flowise, and n8n with MCP and Zapier integrations, governing AI-assisted automation patterns for repeatable operational scenarios.</w:t>
      </w:r>
    </w:p>
    <w:p>
      <w:pPr>
        <w:pStyle w:val="ListBullet"/>
        <w:spacing w:before="0" w:after="20"/>
        <w:ind w:left="360" w:hanging="216"/>
        <w:jc w:val="left"/>
      </w:pPr>
      <w:r>
        <w:rPr>
          <w:rFonts w:ascii="Calibri" w:hAnsi="Calibri"/>
          <w:color w:val="000000"/>
          <w:sz w:val="20"/>
        </w:rPr>
        <w:t>Acted as program lead and incident owner during Sev 1/2 Azure and Dynamics 365 outages, driving RCA, postmortems, and engineering follow-through to close long-term mitigations across cross-functional teams.</w:t>
      </w:r>
    </w:p>
    <w:p>
      <w:pPr>
        <w:pStyle w:val="ListBullet"/>
        <w:spacing w:before="0" w:after="20"/>
        <w:ind w:left="360" w:hanging="216"/>
        <w:jc w:val="left"/>
      </w:pPr>
      <w:r>
        <w:rPr>
          <w:rFonts w:ascii="Calibri" w:hAnsi="Calibri"/>
          <w:color w:val="000000"/>
          <w:sz w:val="20"/>
        </w:rPr>
        <w:t>Ran a recurring service improvement program with Woolworths, defining success metrics, presenting reliability progress to customer executives, and influencing Microsoft product teams to deliver feedback-driven platform changes.</w:t>
      </w:r>
    </w:p>
    <w:p>
      <w:pPr>
        <w:pStyle w:val="ListBullet"/>
        <w:spacing w:before="0" w:after="20"/>
        <w:ind w:left="360" w:hanging="216"/>
        <w:jc w:val="left"/>
      </w:pPr>
      <w:r>
        <w:rPr>
          <w:rFonts w:ascii="Calibri" w:hAnsi="Calibri"/>
          <w:color w:val="000000"/>
          <w:sz w:val="20"/>
        </w:rPr>
        <w:t>Provided program leadership on SAP-on-Azure delivery for top-tier enterprises (BHP, Rio Tinto, Petronas, Indorama Ventures, T-Systems), partnering with Microsoft architects and SAP PG to sequence long-term stability fixes.</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type="dxa" w:w="6854"/>
            <w:tcMar>
              <w:top w:w="0" w:type="dxa"/>
              <w:bottom w:w="0" w:type="dxa"/>
              <w:start w:w="0" w:type="dxa"/>
              <w:end w:w="0" w:type="dxa"/>
            </w:tcMar>
          </w:tcPr>
          <w:p>
            <w:pPr>
              <w:spacing w:before="60" w:after="0"/>
              <w:jc w:val="left"/>
            </w:pPr>
            <w:r>
              <w:rPr>
                <w:rFonts w:ascii="Calibri" w:hAnsi="Calibri"/>
                <w:b/>
                <w:color w:val="000000"/>
                <w:sz w:val="20"/>
              </w:rPr>
              <w:t>Senior SAP Test Analyst</w:t>
            </w:r>
          </w:p>
          <w:p>
            <w:pPr>
              <w:spacing w:before="0" w:after="0"/>
              <w:jc w:val="left"/>
            </w:pPr>
            <w:r>
              <w:rPr>
                <w:rFonts w:ascii="Calibri" w:hAnsi="Calibri"/>
                <w:b w:val="0"/>
                <w:i/>
                <w:color w:val="000000"/>
                <w:sz w:val="20"/>
              </w:rPr>
              <w:t>Harvey Norman, Sydney, Australia</w:t>
            </w:r>
          </w:p>
        </w:tc>
        <w:tc>
          <w:tcPr>
            <w:tcW w:type="dxa" w:w="3226"/>
            <w:tcMar>
              <w:top w:w="0" w:type="dxa"/>
              <w:bottom w:w="0" w:type="dxa"/>
              <w:start w:w="0" w:type="dxa"/>
              <w:end w:w="0" w:type="dxa"/>
            </w:tcMar>
          </w:tcPr>
          <w:p>
            <w:pPr>
              <w:spacing w:before="60" w:after="0"/>
              <w:jc w:val="right"/>
            </w:pPr>
            <w:r>
              <w:rPr>
                <w:rFonts w:ascii="Calibri" w:hAnsi="Calibri"/>
                <w:b w:val="0"/>
                <w:color w:val="000000"/>
                <w:sz w:val="20"/>
              </w:rPr>
              <w:t>2019 – 2021</w:t>
            </w:r>
          </w:p>
        </w:tc>
      </w:tr>
    </w:tbl>
    <w:p>
      <w:pPr>
        <w:pStyle w:val="ListBullet"/>
        <w:spacing w:before="0" w:after="20"/>
        <w:ind w:left="360" w:hanging="216"/>
        <w:jc w:val="left"/>
      </w:pPr>
      <w:r>
        <w:rPr>
          <w:rFonts w:ascii="Calibri" w:hAnsi="Calibri"/>
          <w:color w:val="000000"/>
          <w:sz w:val="20"/>
        </w:rPr>
        <w:t>Led the test program for SAP BOBJ reporting, ECC business processes, and integration scenarios, partnering with developers and business users from requirements through defect closure.</w:t>
      </w:r>
    </w:p>
    <w:p>
      <w:pPr>
        <w:pStyle w:val="ListBullet"/>
        <w:spacing w:before="0" w:after="20"/>
        <w:ind w:left="360" w:hanging="216"/>
        <w:jc w:val="left"/>
      </w:pPr>
      <w:r>
        <w:rPr>
          <w:rFonts w:ascii="Calibri" w:hAnsi="Calibri"/>
          <w:color w:val="000000"/>
          <w:sz w:val="20"/>
        </w:rPr>
        <w:t>Drove defect triage and root cause analysis across multi-team environments, accelerating SAP releases through structured test reporting and coverage tracking.</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type="dxa" w:w="6854"/>
            <w:tcMar>
              <w:top w:w="0" w:type="dxa"/>
              <w:bottom w:w="0" w:type="dxa"/>
              <w:start w:w="0" w:type="dxa"/>
              <w:end w:w="0" w:type="dxa"/>
            </w:tcMar>
          </w:tcPr>
          <w:p>
            <w:pPr>
              <w:spacing w:before="60" w:after="0"/>
              <w:jc w:val="left"/>
            </w:pPr>
            <w:r>
              <w:rPr>
                <w:rFonts w:ascii="Calibri" w:hAnsi="Calibri"/>
                <w:b/>
                <w:color w:val="000000"/>
                <w:sz w:val="20"/>
              </w:rPr>
              <w:t>SAP Test Analyst (Contractor)</w:t>
            </w:r>
          </w:p>
          <w:p>
            <w:pPr>
              <w:spacing w:before="0" w:after="0"/>
              <w:jc w:val="left"/>
            </w:pPr>
            <w:r>
              <w:rPr>
                <w:rFonts w:ascii="Calibri" w:hAnsi="Calibri"/>
                <w:b w:val="0"/>
                <w:i/>
                <w:color w:val="000000"/>
                <w:sz w:val="20"/>
              </w:rPr>
              <w:t>GrainCorp, Sydney, Australia</w:t>
            </w:r>
          </w:p>
        </w:tc>
        <w:tc>
          <w:tcPr>
            <w:tcW w:type="dxa" w:w="3226"/>
            <w:tcMar>
              <w:top w:w="0" w:type="dxa"/>
              <w:bottom w:w="0" w:type="dxa"/>
              <w:start w:w="0" w:type="dxa"/>
              <w:end w:w="0" w:type="dxa"/>
            </w:tcMar>
          </w:tcPr>
          <w:p>
            <w:pPr>
              <w:spacing w:before="60" w:after="0"/>
              <w:jc w:val="right"/>
            </w:pPr>
            <w:r>
              <w:rPr>
                <w:rFonts w:ascii="Calibri" w:hAnsi="Calibri"/>
                <w:b w:val="0"/>
                <w:color w:val="000000"/>
                <w:sz w:val="20"/>
              </w:rPr>
              <w:t>2017 – 2019</w:t>
            </w:r>
          </w:p>
        </w:tc>
      </w:tr>
    </w:tbl>
    <w:p>
      <w:pPr>
        <w:pStyle w:val="ListBullet"/>
        <w:spacing w:before="0" w:after="20"/>
        <w:ind w:left="360" w:hanging="216"/>
        <w:jc w:val="left"/>
      </w:pPr>
      <w:r>
        <w:rPr>
          <w:rFonts w:ascii="Calibri" w:hAnsi="Calibri"/>
          <w:color w:val="000000"/>
          <w:sz w:val="20"/>
        </w:rPr>
        <w:t>Owned the end-to-end test delivery program for SAP BW/BPC, SD/MM, and FI modules, including PI/PO and BRF+ integration testing using QTP, LoadRunner, and Quality Center.</w:t>
      </w:r>
    </w:p>
    <w:p>
      <w:pPr>
        <w:pStyle w:val="ListBullet"/>
        <w:spacing w:before="0" w:after="20"/>
        <w:ind w:left="360" w:hanging="216"/>
        <w:jc w:val="left"/>
      </w:pPr>
      <w:r>
        <w:rPr>
          <w:rFonts w:ascii="Calibri" w:hAnsi="Calibri"/>
          <w:color w:val="000000"/>
          <w:sz w:val="20"/>
        </w:rPr>
        <w:t>Built test plans, traceability matrices, and risk analyses to govern release quality across complex SAP landscapes.</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type="dxa" w:w="6854"/>
            <w:tcMar>
              <w:top w:w="0" w:type="dxa"/>
              <w:bottom w:w="0" w:type="dxa"/>
              <w:start w:w="0" w:type="dxa"/>
              <w:end w:w="0" w:type="dxa"/>
            </w:tcMar>
          </w:tcPr>
          <w:p>
            <w:pPr>
              <w:spacing w:before="60" w:after="0"/>
              <w:jc w:val="left"/>
            </w:pPr>
            <w:r>
              <w:rPr>
                <w:rFonts w:ascii="Calibri" w:hAnsi="Calibri"/>
                <w:b/>
                <w:color w:val="000000"/>
                <w:sz w:val="20"/>
              </w:rPr>
              <w:t>SAP UI5 Consultant (Contractor)</w:t>
            </w:r>
          </w:p>
          <w:p>
            <w:pPr>
              <w:spacing w:before="0" w:after="0"/>
              <w:jc w:val="left"/>
            </w:pPr>
            <w:r>
              <w:rPr>
                <w:rFonts w:ascii="Calibri" w:hAnsi="Calibri"/>
                <w:b w:val="0"/>
                <w:i/>
                <w:color w:val="000000"/>
                <w:sz w:val="20"/>
              </w:rPr>
              <w:t>Department of Human Services, Australia</w:t>
            </w:r>
          </w:p>
        </w:tc>
        <w:tc>
          <w:tcPr>
            <w:tcW w:type="dxa" w:w="3226"/>
            <w:tcMar>
              <w:top w:w="0" w:type="dxa"/>
              <w:bottom w:w="0" w:type="dxa"/>
              <w:start w:w="0" w:type="dxa"/>
              <w:end w:w="0" w:type="dxa"/>
            </w:tcMar>
          </w:tcPr>
          <w:p>
            <w:pPr>
              <w:spacing w:before="60" w:after="0"/>
              <w:jc w:val="right"/>
            </w:pPr>
            <w:r>
              <w:rPr>
                <w:rFonts w:ascii="Calibri" w:hAnsi="Calibri"/>
                <w:b w:val="0"/>
                <w:color w:val="000000"/>
                <w:sz w:val="20"/>
              </w:rPr>
              <w:t>2016 – 2017</w:t>
            </w:r>
          </w:p>
        </w:tc>
      </w:tr>
    </w:tbl>
    <w:p>
      <w:pPr>
        <w:pStyle w:val="ListBullet"/>
        <w:spacing w:before="0" w:after="20"/>
        <w:ind w:left="360" w:hanging="216"/>
        <w:jc w:val="left"/>
      </w:pPr>
      <w:r>
        <w:rPr>
          <w:rFonts w:ascii="Calibri" w:hAnsi="Calibri"/>
          <w:color w:val="000000"/>
          <w:sz w:val="20"/>
        </w:rPr>
        <w:t>Rebuilt CRM WebUI applications and extended the DHS UI5 framework, integrating OData services with SAP Fiori apps and configuring the Fiori launchpad for enterprise rollout.</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type="dxa" w:w="6854"/>
            <w:tcMar>
              <w:top w:w="0" w:type="dxa"/>
              <w:bottom w:w="0" w:type="dxa"/>
              <w:start w:w="0" w:type="dxa"/>
              <w:end w:w="0" w:type="dxa"/>
            </w:tcMar>
          </w:tcPr>
          <w:p>
            <w:pPr>
              <w:spacing w:before="60" w:after="0"/>
              <w:jc w:val="left"/>
            </w:pPr>
            <w:r>
              <w:rPr>
                <w:rFonts w:ascii="Calibri" w:hAnsi="Calibri"/>
                <w:b/>
                <w:color w:val="000000"/>
                <w:sz w:val="20"/>
              </w:rPr>
              <w:t>SAP Service Manager</w:t>
            </w:r>
          </w:p>
          <w:p>
            <w:pPr>
              <w:spacing w:before="0" w:after="0"/>
              <w:jc w:val="left"/>
            </w:pPr>
            <w:r>
              <w:rPr>
                <w:rFonts w:ascii="Calibri" w:hAnsi="Calibri"/>
                <w:b w:val="0"/>
                <w:i/>
                <w:color w:val="000000"/>
                <w:sz w:val="20"/>
              </w:rPr>
              <w:t>Commonwealth Bank, Sydney, Australia</w:t>
            </w:r>
          </w:p>
        </w:tc>
        <w:tc>
          <w:tcPr>
            <w:tcW w:type="dxa" w:w="3226"/>
            <w:tcMar>
              <w:top w:w="0" w:type="dxa"/>
              <w:bottom w:w="0" w:type="dxa"/>
              <w:start w:w="0" w:type="dxa"/>
              <w:end w:w="0" w:type="dxa"/>
            </w:tcMar>
          </w:tcPr>
          <w:p>
            <w:pPr>
              <w:spacing w:before="60" w:after="0"/>
              <w:jc w:val="right"/>
            </w:pPr>
            <w:r>
              <w:rPr>
                <w:rFonts w:ascii="Calibri" w:hAnsi="Calibri"/>
                <w:b w:val="0"/>
                <w:color w:val="000000"/>
                <w:sz w:val="20"/>
              </w:rPr>
              <w:t>2012 – 2016</w:t>
            </w:r>
          </w:p>
        </w:tc>
      </w:tr>
    </w:tbl>
    <w:p>
      <w:pPr>
        <w:pStyle w:val="ListBullet"/>
        <w:spacing w:before="0" w:after="20"/>
        <w:ind w:left="360" w:hanging="216"/>
        <w:jc w:val="left"/>
      </w:pPr>
      <w:r>
        <w:rPr>
          <w:rFonts w:ascii="Calibri" w:hAnsi="Calibri"/>
          <w:color w:val="000000"/>
          <w:sz w:val="20"/>
        </w:rPr>
        <w:t>Led the delivery program for enterprise SAP Banking and CRM-on-HANA services, providing technical leadership, incident resolution, and change governance across functional and developer teams.</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type="dxa" w:w="6854"/>
            <w:tcMar>
              <w:top w:w="0" w:type="dxa"/>
              <w:bottom w:w="0" w:type="dxa"/>
              <w:start w:w="0" w:type="dxa"/>
              <w:end w:w="0" w:type="dxa"/>
            </w:tcMar>
          </w:tcPr>
          <w:p>
            <w:pPr>
              <w:spacing w:before="60" w:after="0"/>
              <w:jc w:val="left"/>
            </w:pPr>
            <w:r>
              <w:rPr>
                <w:rFonts w:ascii="Calibri" w:hAnsi="Calibri"/>
                <w:b/>
                <w:color w:val="000000"/>
                <w:sz w:val="20"/>
              </w:rPr>
              <w:t>CRM / Banking Consultant</w:t>
            </w:r>
          </w:p>
          <w:p>
            <w:pPr>
              <w:spacing w:before="0" w:after="0"/>
              <w:jc w:val="left"/>
            </w:pPr>
            <w:r>
              <w:rPr>
                <w:rFonts w:ascii="Calibri" w:hAnsi="Calibri"/>
                <w:b w:val="0"/>
                <w:i/>
                <w:color w:val="000000"/>
                <w:sz w:val="20"/>
              </w:rPr>
              <w:t>SAP Australia, Sydney, Australia</w:t>
            </w:r>
          </w:p>
        </w:tc>
        <w:tc>
          <w:tcPr>
            <w:tcW w:type="dxa" w:w="3226"/>
            <w:tcMar>
              <w:top w:w="0" w:type="dxa"/>
              <w:bottom w:w="0" w:type="dxa"/>
              <w:start w:w="0" w:type="dxa"/>
              <w:end w:w="0" w:type="dxa"/>
            </w:tcMar>
          </w:tcPr>
          <w:p>
            <w:pPr>
              <w:spacing w:before="60" w:after="0"/>
              <w:jc w:val="right"/>
            </w:pPr>
            <w:r>
              <w:rPr>
                <w:rFonts w:ascii="Calibri" w:hAnsi="Calibri"/>
                <w:b w:val="0"/>
                <w:color w:val="000000"/>
                <w:sz w:val="20"/>
              </w:rPr>
              <w:t>2008 – 2012</w:t>
            </w:r>
          </w:p>
        </w:tc>
      </w:tr>
    </w:tbl>
    <w:p>
      <w:pPr>
        <w:pStyle w:val="ListBullet"/>
        <w:spacing w:before="0" w:after="20"/>
        <w:ind w:left="360" w:hanging="216"/>
        <w:jc w:val="left"/>
      </w:pPr>
      <w:r>
        <w:rPr>
          <w:rFonts w:ascii="Calibri" w:hAnsi="Calibri"/>
          <w:color w:val="000000"/>
          <w:sz w:val="20"/>
        </w:rPr>
        <w:t>Served as SAP MaxAttention single point of contact and delivery lead for Commonwealth Bank, owning critical issue resolution, performance tuning, and architecture reviews across CRM and ECC, sequencing escalations to SAP global teams when needed.</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type="dxa" w:w="6854"/>
            <w:tcMar>
              <w:top w:w="0" w:type="dxa"/>
              <w:bottom w:w="0" w:type="dxa"/>
              <w:start w:w="0" w:type="dxa"/>
              <w:end w:w="0" w:type="dxa"/>
            </w:tcMar>
          </w:tcPr>
          <w:p>
            <w:pPr>
              <w:spacing w:before="60" w:after="0"/>
              <w:jc w:val="left"/>
            </w:pPr>
            <w:r>
              <w:rPr>
                <w:rFonts w:ascii="Calibri" w:hAnsi="Calibri"/>
                <w:b/>
                <w:color w:val="000000"/>
                <w:sz w:val="20"/>
              </w:rPr>
              <w:t>Support Consultant (Germany Rotation)</w:t>
            </w:r>
          </w:p>
          <w:p>
            <w:pPr>
              <w:spacing w:before="0" w:after="0"/>
              <w:jc w:val="left"/>
            </w:pPr>
            <w:r>
              <w:rPr>
                <w:rFonts w:ascii="Calibri" w:hAnsi="Calibri"/>
                <w:b w:val="0"/>
                <w:i/>
                <w:color w:val="000000"/>
                <w:sz w:val="20"/>
              </w:rPr>
              <w:t>SAP China, China / Germany</w:t>
            </w:r>
          </w:p>
        </w:tc>
        <w:tc>
          <w:tcPr>
            <w:tcW w:type="dxa" w:w="3226"/>
            <w:tcMar>
              <w:top w:w="0" w:type="dxa"/>
              <w:bottom w:w="0" w:type="dxa"/>
              <w:start w:w="0" w:type="dxa"/>
              <w:end w:w="0" w:type="dxa"/>
            </w:tcMar>
          </w:tcPr>
          <w:p>
            <w:pPr>
              <w:spacing w:before="60" w:after="0"/>
              <w:jc w:val="right"/>
            </w:pPr>
            <w:r>
              <w:rPr>
                <w:rFonts w:ascii="Calibri" w:hAnsi="Calibri"/>
                <w:b w:val="0"/>
                <w:color w:val="000000"/>
                <w:sz w:val="20"/>
              </w:rPr>
              <w:t>2006 – 2008</w:t>
            </w:r>
          </w:p>
        </w:tc>
      </w:tr>
    </w:tbl>
    <w:p>
      <w:pPr>
        <w:pStyle w:val="ListBullet"/>
        <w:spacing w:before="0" w:after="20"/>
        <w:ind w:left="360" w:hanging="216"/>
        <w:jc w:val="left"/>
      </w:pPr>
      <w:r>
        <w:rPr>
          <w:rFonts w:ascii="Calibri" w:hAnsi="Calibri"/>
          <w:color w:val="000000"/>
          <w:sz w:val="20"/>
        </w:rPr>
        <w:t>Delivered global remote support for SAP CRM and ECC across EMEA, APAC, and North America, resolving critical performance, integration, and upgrade issues for international enterprise clients.</w:t>
      </w:r>
    </w:p>
    <w:p>
      <w:pPr>
        <w:spacing w:before="120" w:after="20"/>
        <w:jc w:val="left"/>
        <w:pBdr>
          <w:bottom w:val="single" w:sz="12" w:space="1" w:color="1F3864"/>
        </w:pBdr>
      </w:pPr>
      <w:r>
        <w:rPr>
          <w:rFonts w:ascii="Calibri" w:hAnsi="Calibri"/>
          <w:b/>
          <w:color w:val="1F3864"/>
          <w:sz w:val="22"/>
        </w:rPr>
        <w:t>EDUCATION</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type="dxa" w:w="6854"/>
            <w:tcMar>
              <w:top w:w="0" w:type="dxa"/>
              <w:bottom w:w="0" w:type="dxa"/>
              <w:start w:w="0" w:type="dxa"/>
              <w:end w:w="0" w:type="dxa"/>
            </w:tcMar>
          </w:tcPr>
          <w:p>
            <w:pPr>
              <w:spacing w:before="0" w:after="0"/>
              <w:jc w:val="left"/>
            </w:pPr>
            <w:r>
              <w:rPr>
                <w:rFonts w:ascii="Calibri" w:hAnsi="Calibri"/>
                <w:b/>
                <w:color w:val="000000"/>
                <w:sz w:val="20"/>
              </w:rPr>
              <w:t>University of Newcastle</w:t>
            </w:r>
          </w:p>
          <w:p>
            <w:pPr>
              <w:spacing w:before="0" w:after="0"/>
              <w:jc w:val="left"/>
            </w:pPr>
            <w:r>
              <w:rPr>
                <w:rFonts w:ascii="Calibri" w:hAnsi="Calibri"/>
                <w:b w:val="0"/>
                <w:i/>
                <w:color w:val="000000"/>
                <w:sz w:val="20"/>
              </w:rPr>
              <w:t>Master of Information Technology (Software Engineering)</w:t>
            </w:r>
          </w:p>
        </w:tc>
        <w:tc>
          <w:tcPr>
            <w:tcW w:type="dxa" w:w="3226"/>
            <w:tcMar>
              <w:top w:w="0" w:type="dxa"/>
              <w:bottom w:w="0" w:type="dxa"/>
              <w:start w:w="0" w:type="dxa"/>
              <w:end w:w="0" w:type="dxa"/>
            </w:tcMar>
          </w:tcPr>
          <w:p>
            <w:pPr>
              <w:spacing w:before="0" w:after="0"/>
              <w:jc w:val="right"/>
            </w:pPr>
          </w:p>
          <w:p>
            <w:pPr>
              <w:spacing w:before="0" w:after="0"/>
              <w:jc w:val="right"/>
            </w:pPr>
            <w:r>
              <w:rPr>
                <w:rFonts w:ascii="Calibri" w:hAnsi="Calibri"/>
                <w:color w:val="000000"/>
                <w:sz w:val="20"/>
              </w:rPr>
              <w:t>Australia</w:t>
            </w:r>
          </w:p>
        </w:tc>
      </w:tr>
    </w:tbl>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apetech@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