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53D"/>
          <w:sz w:val="44"/>
        </w:rPr>
        <w:t>AI论文自动化生产平台</w:t>
        <w:br/>
        <w:t>UI/UX v1.2.2 工作流布局与任务导航校正说明</w:t>
      </w:r>
    </w:p>
    <w:p>
      <w:pPr>
        <w:jc w:val="center"/>
      </w:pPr>
      <w:r>
        <w:rPr>
          <w:color w:val="5657D9"/>
        </w:rPr>
        <w:t>Spectrum Ledger｜研发交付校正包｜2026-07-15</w:t>
      </w:r>
    </w:p>
    <w:p/>
    <w:p>
      <w:pPr>
        <w:pStyle w:val="Heading1"/>
      </w:pPr>
      <w:r>
        <w:t>1. 本次校正结论</w:t>
      </w:r>
    </w:p>
    <w:p>
      <w:r>
        <w:t>v1.2.2 在不改变既有视觉主题、双通道颜色、15 个页面范围、信息密度、ApprovalBar 层级和 v1.2.1 五条交互闭环的前提下，重建工作流展示与任务内导航。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286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交付结果</w:t>
            </w:r>
          </w:p>
        </w:tc>
        <w:tc>
          <w:tcPr>
            <w:tcW w:type="dxa" w:w="3286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验收口径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工作流画布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数据驱动只读 DAG；HTML 节点层与 SVG 连线层分离。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节点只出现一次，位于所属阶段内，边端点吸附端口。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失效表达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目录影响后，原位置切换 INVALIDATED；无底部重复节点面板。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章节折叠组显示“5 个节点已失效”；质量闸门和交付包原位失效。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任务导航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九项 TaskSubNavigation 统一复用；面包屑可返回。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切换、后退、前进、刷新、深链接均保持任务上下文。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验收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静态契约 + 7 条真实浏览器交互测试。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既有四条闭环与新增画布/导航测试全部通过。</w:t>
            </w:r>
          </w:p>
        </w:tc>
      </w:tr>
    </w:tbl>
    <w:p/>
    <w:p>
      <w:pPr>
        <w:pStyle w:val="Heading1"/>
      </w:pPr>
      <w:r>
        <w:t>2. 工作流画布实施规格</w:t>
      </w:r>
    </w:p>
    <w:p>
      <w:r>
        <w:t>画布采用独立世界坐标：阶段最小宽度 232px，节点宽度 180px，左右保留 26px 安全空间。V1.0 只读，支持横向滚动、空白区拖动、60%—160% 缩放和适配画布，但不支持用户修改节点位置。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929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实现契约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WorkflowNode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绑定 node_id、display_name_cn、technical_id、stage_id、runtime_status、position、input_ports、output_ports。中文名称主显示，技术 ID 为次级信息。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阶段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启动、准备、规划、生产、工程、质量、交付；每列 232px，不允许节点跨列。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边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SVG path 从 source:out 到 target:in；普通、INVALIDATED、BLOCKED 使用实线/虚线/点线并保持不同语义。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颜色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领域顶边保持长期语义；例如 engineering_verify 始终工程绿 #16825D，运行状态仅通过紫色 Badge 表达。</w:t>
            </w:r>
          </w:p>
        </w:tc>
      </w:tr>
    </w:tbl>
    <w:p/>
    <w:p>
      <w:pPr>
        <w:pStyle w:val="Heading1"/>
      </w:pPr>
      <w:r>
        <w:t>3. INVALIDATED 原位切换</w:t>
      </w:r>
    </w:p>
    <w:p>
      <w:r>
        <w:t>确认目录影响后，section_generate_ch3 至 section_generate_ch7、quality_gate_final 与 DeliveryPackage v3 在原 DAG 位置进入 INVALIDATED。领域顶边保留，叠加灰紫斜纹、中文失效状态和“目录 v4 影响”原因；受影响依赖边切换为失效线型。</w:t>
      </w:r>
    </w:p>
    <w:p>
      <w:r>
        <w:t>章节生成以折叠组承载：折叠时显示“章节生成 / 5 个节点已失效”；展开后显示五个章节节点。任一时刻，同一 node_id 在 DOM 中只存在一个实例。</w:t>
      </w:r>
    </w:p>
    <w:p>
      <w:pPr>
        <w:pStyle w:val="Heading1"/>
      </w:pPr>
      <w:r>
        <w:t>4. TaskSubNavigation 与 URL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统一入口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总览、工作流、项目与材料、资料与证据、目录、内容、工程验证、质量、交付。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1280px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二级导航横向滚动，质量和交付入口不隐藏。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路由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/tasks/task-001/{page}，并在 Query 中保留 taskId、node、attempt、claim、source、version、issue、package 等上下文。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点击使用 pushState/replaceState；popstate 还原页面与选中节点；刷新和复制深链接可恢复。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面包屑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b w:val="0"/>
                <w:sz w:val="18"/>
              </w:rPr>
              <w:t>“论文任务”返回任务列表；任务名返回总览；任意任务页可切回工作流。</w:t>
            </w:r>
          </w:p>
        </w:tc>
      </w:tr>
    </w:tbl>
    <w:p/>
    <w:p>
      <w:pPr>
        <w:pStyle w:val="Heading1"/>
      </w:pPr>
      <w:r>
        <w:t>5. 自动化测试结果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86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86"/>
            <w:vAlign w:val="center"/>
            <w:shd w:fill="1B2639"/>
          </w:tcPr>
          <w:p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目录确认后原位 INVALIDATED、无重复结果面板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DeadLetter 恢复创建独立 QUEUED NodeRun 并保留来源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质量复检从 RUNNING 至 quality_gate_final SUCCEEDED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终稿审批定位 v3，批准后启用正式下载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节点位于阶段内，所有 SVG 边端点落于端口容差内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章节组展开和折叠无重复 NodeRun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九项任务导航、后退/前进/刷新/深链接状态正确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/>
    <w:p>
      <w:pPr>
        <w:pStyle w:val="Heading1"/>
      </w:pPr>
      <w:r>
        <w:t>6. 交付物与限制</w:t>
      </w:r>
    </w:p>
    <w:p>
      <w:r>
        <w:t>代码仓库提交范围仅包括可复现 HTML 原型、静态契约测试、浏览器交互测试、校正说明和 handoff.md。原始资料库、交接素材、第三方 skill 和含敏感上下文的工作目录不上传。</w:t>
      </w:r>
    </w:p>
    <w:p>
      <w:r>
        <w:t>已进行浏览器级交互验证和 1440px 工作流画面检查。DOCX 结构与文本检查会执行；当前环境如无 LibreOffice，则 DOCX 的像素级渲染检查将被明确记录为未执行，而非伪报通过。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AI论文自动化生产平台 · UI/UX v1.2.2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