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硬件选型</w:t>
      </w:r>
    </w:p>
    <w:p>
      <w:r>
        <w:t>项目约束：主控必须使用 STM32F103C8T6；温湿度模块采用 DHT11；无线模块采用 ESP8266-01S；显示屏为 0.96 英寸 OLED，驱动芯片 SSD1306；RTC模块采用 DS3231；供电电压为 3.3V。</w:t>
      </w:r>
    </w:p>
    <w:p>
      <w:pPr>
        <w:pStyle w:val="Heading1"/>
      </w:pPr>
      <w:r>
        <w:t>软件环境</w:t>
      </w:r>
    </w:p>
    <w:p>
      <w:r>
        <w:t>服务框架采用 FastAPI，数据库采用 PostgreSQL。</w:t>
      </w:r>
    </w:p>
    <w:sectPr>
      <w:pgSz w:w="11906" w:h="16838"/>
    </w:sectPr>
  </w:body>
</w:document>
</file>