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4390">
      <w:pPr>
        <w:spacing w:line="266" w:lineRule="auto"/>
        <w:rPr>
          <w:rFonts w:ascii="Arial"/>
          <w:sz w:val="21"/>
        </w:rPr>
      </w:pPr>
    </w:p>
    <w:p w14:paraId="6012DE84">
      <w:pPr>
        <w:spacing w:line="1590" w:lineRule="exact"/>
        <w:ind w:firstLine="4668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1764030</wp:posOffset>
            </wp:positionH>
            <wp:positionV relativeFrom="paragraph">
              <wp:posOffset>50800</wp:posOffset>
            </wp:positionV>
            <wp:extent cx="996950" cy="9588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177800</wp:posOffset>
            </wp:positionV>
            <wp:extent cx="1301750" cy="8318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4088130</wp:posOffset>
            </wp:positionH>
            <wp:positionV relativeFrom="paragraph">
              <wp:posOffset>190500</wp:posOffset>
            </wp:positionV>
            <wp:extent cx="819785" cy="8191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95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drawing>
          <wp:inline distT="0" distB="0" distL="0" distR="0">
            <wp:extent cx="1009650" cy="10096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1A90">
      <w:pPr>
        <w:spacing w:line="283" w:lineRule="auto"/>
        <w:rPr>
          <w:rFonts w:ascii="Arial"/>
          <w:sz w:val="21"/>
        </w:rPr>
      </w:pPr>
    </w:p>
    <w:p w14:paraId="22C40815">
      <w:pPr>
        <w:spacing w:line="283" w:lineRule="auto"/>
        <w:rPr>
          <w:rFonts w:ascii="Arial"/>
          <w:sz w:val="21"/>
        </w:rPr>
      </w:pPr>
    </w:p>
    <w:p w14:paraId="59E9D0EB">
      <w:pPr>
        <w:spacing w:line="284" w:lineRule="auto"/>
        <w:rPr>
          <w:rFonts w:ascii="Arial"/>
          <w:sz w:val="21"/>
        </w:rPr>
      </w:pPr>
    </w:p>
    <w:p w14:paraId="6FE1E5DB">
      <w:pPr>
        <w:spacing w:before="119" w:line="217" w:lineRule="auto"/>
        <w:ind w:left="1914"/>
        <w:rPr>
          <w:rFonts w:ascii="华文新魏" w:hAnsi="华文新魏" w:eastAsia="华文新魏" w:cs="华文新魏"/>
          <w:sz w:val="36"/>
          <w:szCs w:val="36"/>
        </w:rPr>
      </w:pPr>
      <w:r>
        <w:rPr>
          <w:rFonts w:ascii="华文新魏" w:hAnsi="华文新魏" w:eastAsia="华文新魏" w:cs="华文新魏"/>
          <w:b/>
          <w:bCs/>
          <w:spacing w:val="-10"/>
          <w:sz w:val="36"/>
          <w:szCs w:val="36"/>
        </w:rPr>
        <w:t>中国研究生创新实践系列大赛</w:t>
      </w:r>
    </w:p>
    <w:p w14:paraId="1120526B">
      <w:pPr>
        <w:spacing w:before="153" w:line="221" w:lineRule="auto"/>
        <w:ind w:left="1024"/>
        <w:rPr>
          <w:rFonts w:ascii="华文新魏" w:hAnsi="华文新魏" w:eastAsia="华文新魏" w:cs="华文新魏"/>
          <w:sz w:val="44"/>
          <w:szCs w:val="44"/>
        </w:rPr>
      </w:pPr>
      <w:r>
        <w:rPr>
          <w:rFonts w:ascii="华文新魏" w:hAnsi="华文新魏" w:eastAsia="华文新魏" w:cs="华文新魏"/>
          <w:b/>
          <w:bCs/>
          <w:spacing w:val="-7"/>
          <w:sz w:val="44"/>
          <w:szCs w:val="44"/>
        </w:rPr>
        <w:t>“华为杯”第二十三届中国研究生</w:t>
      </w:r>
    </w:p>
    <w:p w14:paraId="62901310">
      <w:pPr>
        <w:spacing w:before="85" w:line="218" w:lineRule="auto"/>
        <w:ind w:left="2890"/>
        <w:rPr>
          <w:rFonts w:ascii="华文新魏" w:hAnsi="华文新魏" w:eastAsia="华文新魏" w:cs="华文新魏"/>
          <w:sz w:val="44"/>
          <w:szCs w:val="44"/>
        </w:rPr>
      </w:pPr>
      <w:r>
        <w:rPr>
          <w:rFonts w:ascii="华文新魏" w:hAnsi="华文新魏" w:eastAsia="华文新魏" w:cs="华文新魏"/>
          <w:b/>
          <w:bCs/>
          <w:spacing w:val="-9"/>
          <w:sz w:val="44"/>
          <w:szCs w:val="44"/>
        </w:rPr>
        <w:t>数学建模竞赛</w:t>
      </w:r>
    </w:p>
    <w:p w14:paraId="6BDC3371">
      <w:pPr>
        <w:spacing w:line="254" w:lineRule="auto"/>
        <w:rPr>
          <w:rFonts w:ascii="Arial"/>
          <w:sz w:val="21"/>
        </w:rPr>
      </w:pPr>
    </w:p>
    <w:p w14:paraId="19C5531F">
      <w:pPr>
        <w:spacing w:line="254" w:lineRule="auto"/>
        <w:rPr>
          <w:rFonts w:ascii="Arial"/>
          <w:sz w:val="21"/>
        </w:rPr>
      </w:pPr>
    </w:p>
    <w:p w14:paraId="46A1A277">
      <w:pPr>
        <w:spacing w:line="254" w:lineRule="auto"/>
        <w:rPr>
          <w:rFonts w:ascii="Arial"/>
          <w:sz w:val="21"/>
        </w:rPr>
      </w:pPr>
    </w:p>
    <w:p w14:paraId="2F60156E">
      <w:pPr>
        <w:spacing w:line="255" w:lineRule="auto"/>
        <w:rPr>
          <w:rFonts w:ascii="Arial"/>
          <w:sz w:val="21"/>
        </w:rPr>
      </w:pPr>
    </w:p>
    <w:p w14:paraId="74C96ED6">
      <w:pPr>
        <w:spacing w:line="255" w:lineRule="auto"/>
        <w:rPr>
          <w:rFonts w:ascii="Arial"/>
          <w:sz w:val="21"/>
        </w:rPr>
      </w:pPr>
    </w:p>
    <w:p w14:paraId="4FDBD2CA">
      <w:pPr>
        <w:spacing w:before="118" w:line="220" w:lineRule="auto"/>
        <w:ind w:left="131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b/>
          <w:bCs/>
          <w:spacing w:val="-15"/>
          <w:sz w:val="36"/>
          <w:szCs w:val="36"/>
        </w:rPr>
        <w:t>学</w:t>
      </w:r>
      <w:r>
        <w:rPr>
          <w:rFonts w:ascii="宋体" w:hAnsi="宋体" w:eastAsia="宋体" w:cs="宋体"/>
          <w:spacing w:val="6"/>
          <w:sz w:val="36"/>
          <w:szCs w:val="36"/>
        </w:rPr>
        <w:t xml:space="preserve">    </w:t>
      </w:r>
      <w:r>
        <w:rPr>
          <w:rFonts w:ascii="宋体" w:hAnsi="宋体" w:eastAsia="宋体" w:cs="宋体"/>
          <w:b/>
          <w:bCs/>
          <w:spacing w:val="-15"/>
          <w:sz w:val="36"/>
          <w:szCs w:val="36"/>
        </w:rPr>
        <w:t>校</w:t>
      </w:r>
      <w:r>
        <w:rPr>
          <w:rFonts w:hint="eastAsia" w:ascii="宋体" w:hAnsi="宋体" w:eastAsia="宋体" w:cs="宋体"/>
          <w:b/>
          <w:bCs/>
          <w:spacing w:val="-15"/>
          <w:sz w:val="36"/>
          <w:szCs w:val="36"/>
          <w:lang w:val="en-US" w:eastAsia="zh-CN"/>
        </w:rPr>
        <w:t xml:space="preserve">  上海应用技术大学</w:t>
      </w:r>
    </w:p>
    <w:p w14:paraId="124AE1E5">
      <w:pPr>
        <w:spacing w:line="70" w:lineRule="exact"/>
      </w:pPr>
    </w:p>
    <w:tbl>
      <w:tblPr>
        <w:tblStyle w:val="10"/>
        <w:tblW w:w="836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1"/>
        <w:gridCol w:w="6526"/>
      </w:tblGrid>
      <w:tr w14:paraId="5E79E6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367" w:type="dxa"/>
            <w:gridSpan w:val="2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2B5916C5">
            <w:pPr>
              <w:spacing w:line="260" w:lineRule="auto"/>
              <w:rPr>
                <w:rFonts w:ascii="Arial"/>
                <w:sz w:val="21"/>
              </w:rPr>
            </w:pPr>
          </w:p>
          <w:p w14:paraId="1B35578A">
            <w:pPr>
              <w:spacing w:line="260" w:lineRule="auto"/>
              <w:rPr>
                <w:rFonts w:ascii="Arial"/>
                <w:sz w:val="21"/>
              </w:rPr>
            </w:pPr>
          </w:p>
          <w:p w14:paraId="6BB942EC">
            <w:pPr>
              <w:spacing w:before="117" w:line="220" w:lineRule="auto"/>
              <w:ind w:left="216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36"/>
                <w:szCs w:val="36"/>
              </w:rPr>
              <w:t>参赛队号</w:t>
            </w:r>
            <w:r>
              <w:rPr>
                <w:rFonts w:hint="eastAsia" w:ascii="宋体" w:hAnsi="宋体" w:eastAsia="宋体" w:cs="宋体"/>
                <w:b/>
                <w:bCs/>
                <w:spacing w:val="-6"/>
                <w:sz w:val="36"/>
                <w:szCs w:val="36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pacing w:val="-6"/>
                <w:sz w:val="36"/>
                <w:szCs w:val="36"/>
              </w:rPr>
              <w:t>26102590033</w:t>
            </w:r>
          </w:p>
        </w:tc>
      </w:tr>
      <w:tr w14:paraId="67F757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41" w:type="dxa"/>
            <w:vMerge w:val="restart"/>
            <w:tcBorders>
              <w:top w:val="single" w:color="000000" w:sz="12" w:space="0"/>
              <w:bottom w:val="nil"/>
            </w:tcBorders>
            <w:vAlign w:val="top"/>
          </w:tcPr>
          <w:p w14:paraId="1D8C7F9E">
            <w:pPr>
              <w:spacing w:line="327" w:lineRule="auto"/>
              <w:rPr>
                <w:rFonts w:ascii="Arial"/>
                <w:sz w:val="21"/>
              </w:rPr>
            </w:pPr>
          </w:p>
          <w:p w14:paraId="5890B7E9">
            <w:pPr>
              <w:spacing w:line="328" w:lineRule="auto"/>
              <w:rPr>
                <w:rFonts w:ascii="Arial"/>
                <w:sz w:val="21"/>
              </w:rPr>
            </w:pPr>
          </w:p>
          <w:p w14:paraId="09587425">
            <w:pPr>
              <w:spacing w:before="117" w:line="220" w:lineRule="auto"/>
              <w:ind w:left="242"/>
              <w:rPr>
                <w:rFonts w:ascii="宋体" w:hAnsi="宋体" w:eastAsia="宋体" w:cs="宋体"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36"/>
                <w:szCs w:val="36"/>
              </w:rPr>
              <w:t>队员姓名</w:t>
            </w:r>
          </w:p>
        </w:tc>
        <w:tc>
          <w:tcPr>
            <w:tcW w:w="6526" w:type="dxa"/>
            <w:tcBorders>
              <w:top w:val="single" w:color="000000" w:sz="12" w:space="0"/>
              <w:bottom w:val="single" w:color="000000" w:sz="8" w:space="0"/>
            </w:tcBorders>
            <w:vAlign w:val="top"/>
          </w:tcPr>
          <w:p w14:paraId="0E68D7DE">
            <w:pPr>
              <w:spacing w:before="155" w:line="454" w:lineRule="exact"/>
              <w:ind w:left="136"/>
              <w:rPr>
                <w:rFonts w:hint="default" w:ascii="Calibri" w:hAnsi="Calibri" w:eastAsia="宋体" w:cs="Calibri"/>
                <w:sz w:val="36"/>
                <w:szCs w:val="36"/>
                <w:lang w:val="en-US" w:eastAsia="zh-CN"/>
              </w:rPr>
            </w:pPr>
            <w:r>
              <w:rPr>
                <w:rFonts w:ascii="Calibri" w:hAnsi="Calibri" w:eastAsia="Calibri" w:cs="Calibri"/>
                <w:b/>
                <w:bCs/>
                <w:spacing w:val="-10"/>
                <w:position w:val="2"/>
                <w:sz w:val="36"/>
                <w:szCs w:val="36"/>
              </w:rPr>
              <w:t>1.</w:t>
            </w:r>
            <w:r>
              <w:rPr>
                <w:rFonts w:hint="eastAsia" w:ascii="Calibri" w:hAnsi="Calibri" w:eastAsia="宋体" w:cs="Calibri"/>
                <w:b/>
                <w:bCs/>
                <w:spacing w:val="-10"/>
                <w:position w:val="2"/>
                <w:sz w:val="36"/>
                <w:szCs w:val="36"/>
                <w:lang w:val="en-US" w:eastAsia="zh-CN"/>
              </w:rPr>
              <w:t>赵跃宇</w:t>
            </w:r>
          </w:p>
        </w:tc>
      </w:tr>
      <w:tr w14:paraId="42E04E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841" w:type="dxa"/>
            <w:vMerge w:val="continue"/>
            <w:tcBorders>
              <w:top w:val="nil"/>
              <w:bottom w:val="nil"/>
            </w:tcBorders>
            <w:vAlign w:val="top"/>
          </w:tcPr>
          <w:p w14:paraId="416B501B">
            <w:pPr>
              <w:rPr>
                <w:rFonts w:ascii="Arial"/>
                <w:sz w:val="21"/>
              </w:rPr>
            </w:pPr>
          </w:p>
        </w:tc>
        <w:tc>
          <w:tcPr>
            <w:tcW w:w="6526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7DA65527">
            <w:pPr>
              <w:spacing w:before="168" w:line="238" w:lineRule="auto"/>
              <w:ind w:left="125"/>
              <w:rPr>
                <w:rFonts w:hint="default" w:ascii="Calibri" w:hAnsi="Calibri" w:eastAsia="宋体" w:cs="Calibri"/>
                <w:sz w:val="36"/>
                <w:szCs w:val="36"/>
                <w:lang w:val="en-US" w:eastAsia="zh-CN"/>
              </w:rPr>
            </w:pPr>
            <w:r>
              <w:rPr>
                <w:rFonts w:ascii="Calibri" w:hAnsi="Calibri" w:eastAsia="Calibri" w:cs="Calibri"/>
                <w:b/>
                <w:bCs/>
                <w:spacing w:val="2"/>
                <w:sz w:val="36"/>
                <w:szCs w:val="36"/>
              </w:rPr>
              <w:t>2.</w:t>
            </w:r>
            <w:r>
              <w:rPr>
                <w:rFonts w:hint="eastAsia" w:ascii="Calibri" w:hAnsi="Calibri" w:eastAsia="宋体" w:cs="Calibri"/>
                <w:b/>
                <w:bCs/>
                <w:spacing w:val="2"/>
                <w:sz w:val="36"/>
                <w:szCs w:val="36"/>
                <w:lang w:val="en-US" w:eastAsia="zh-CN"/>
              </w:rPr>
              <w:t>陈俊翰</w:t>
            </w:r>
          </w:p>
        </w:tc>
      </w:tr>
      <w:tr w14:paraId="5B52F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1841" w:type="dxa"/>
            <w:vMerge w:val="continue"/>
            <w:tcBorders>
              <w:top w:val="nil"/>
              <w:bottom w:val="single" w:color="000000" w:sz="12" w:space="0"/>
            </w:tcBorders>
            <w:vAlign w:val="top"/>
          </w:tcPr>
          <w:p w14:paraId="501EB01A">
            <w:pPr>
              <w:rPr>
                <w:rFonts w:ascii="Arial"/>
                <w:sz w:val="21"/>
              </w:rPr>
            </w:pPr>
          </w:p>
        </w:tc>
        <w:tc>
          <w:tcPr>
            <w:tcW w:w="6526" w:type="dxa"/>
            <w:tcBorders>
              <w:top w:val="single" w:color="000000" w:sz="8" w:space="0"/>
              <w:bottom w:val="single" w:color="000000" w:sz="12" w:space="0"/>
            </w:tcBorders>
            <w:vAlign w:val="top"/>
          </w:tcPr>
          <w:p w14:paraId="48F2B6C8">
            <w:pPr>
              <w:spacing w:before="173" w:line="453" w:lineRule="exact"/>
              <w:ind w:left="125"/>
              <w:rPr>
                <w:rFonts w:hint="default" w:ascii="Calibri" w:hAnsi="Calibri" w:eastAsia="宋体" w:cs="Calibri"/>
                <w:sz w:val="36"/>
                <w:szCs w:val="36"/>
                <w:lang w:val="en-US" w:eastAsia="zh-CN"/>
              </w:rPr>
            </w:pPr>
            <w:r>
              <w:rPr>
                <w:rFonts w:ascii="Calibri" w:hAnsi="Calibri" w:eastAsia="Calibri" w:cs="Calibri"/>
                <w:b/>
                <w:bCs/>
                <w:spacing w:val="-6"/>
                <w:position w:val="2"/>
                <w:sz w:val="36"/>
                <w:szCs w:val="36"/>
              </w:rPr>
              <w:t>3.</w:t>
            </w:r>
            <w:r>
              <w:rPr>
                <w:rFonts w:hint="eastAsia" w:ascii="Calibri" w:hAnsi="Calibri" w:eastAsia="宋体" w:cs="Calibri"/>
                <w:b/>
                <w:bCs/>
                <w:spacing w:val="-6"/>
                <w:position w:val="2"/>
                <w:sz w:val="36"/>
                <w:szCs w:val="36"/>
                <w:lang w:val="en-US" w:eastAsia="zh-CN"/>
              </w:rPr>
              <w:t>智昊毅</w:t>
            </w:r>
          </w:p>
        </w:tc>
      </w:tr>
    </w:tbl>
    <w:p w14:paraId="5690B882">
      <w:pPr>
        <w:rPr>
          <w:rFonts w:ascii="Arial"/>
          <w:sz w:val="21"/>
        </w:rPr>
      </w:pPr>
    </w:p>
    <w:p w14:paraId="6CC3C6C7"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10" w:h="16840"/>
          <w:pgMar w:top="1431" w:right="1761" w:bottom="1145" w:left="1781" w:header="0" w:footer="944" w:gutter="0"/>
          <w:pgNumType w:fmt="decimal" w:start="1"/>
          <w:cols w:space="720" w:num="1"/>
        </w:sectPr>
      </w:pPr>
    </w:p>
    <w:p w14:paraId="41D338DC">
      <w:pPr>
        <w:spacing w:line="299" w:lineRule="auto"/>
        <w:rPr>
          <w:rFonts w:ascii="Arial"/>
          <w:sz w:val="21"/>
        </w:rPr>
      </w:pPr>
    </w:p>
    <w:p w14:paraId="70784551">
      <w:pPr>
        <w:spacing w:line="299" w:lineRule="auto"/>
        <w:rPr>
          <w:rFonts w:ascii="Arial"/>
          <w:sz w:val="21"/>
        </w:rPr>
      </w:pPr>
    </w:p>
    <w:p w14:paraId="275C43EB">
      <w:pPr>
        <w:spacing w:line="300" w:lineRule="auto"/>
        <w:rPr>
          <w:rFonts w:ascii="Arial"/>
          <w:sz w:val="21"/>
        </w:rPr>
      </w:pPr>
    </w:p>
    <w:p w14:paraId="14A55CDB">
      <w:pPr>
        <w:spacing w:before="119" w:line="217" w:lineRule="auto"/>
        <w:ind w:left="2409"/>
        <w:rPr>
          <w:rFonts w:ascii="华文新魏" w:hAnsi="华文新魏" w:eastAsia="华文新魏" w:cs="华文新魏"/>
          <w:sz w:val="36"/>
          <w:szCs w:val="36"/>
        </w:rPr>
      </w:pPr>
      <w:r>
        <w:rPr>
          <w:rFonts w:ascii="华文新魏" w:hAnsi="华文新魏" w:eastAsia="华文新魏" w:cs="华文新魏"/>
          <w:b/>
          <w:bCs/>
          <w:spacing w:val="-10"/>
          <w:sz w:val="36"/>
          <w:szCs w:val="36"/>
        </w:rPr>
        <w:t>中国研究生创新实践系列大赛</w:t>
      </w:r>
    </w:p>
    <w:p w14:paraId="0C8BC0C1">
      <w:pPr>
        <w:spacing w:before="143" w:line="221" w:lineRule="auto"/>
        <w:ind w:left="1518"/>
        <w:rPr>
          <w:rFonts w:ascii="华文新魏" w:hAnsi="华文新魏" w:eastAsia="华文新魏" w:cs="华文新魏"/>
          <w:sz w:val="44"/>
          <w:szCs w:val="44"/>
        </w:rPr>
      </w:pPr>
      <w:r>
        <w:rPr>
          <w:rFonts w:ascii="华文新魏" w:hAnsi="华文新魏" w:eastAsia="华文新魏" w:cs="华文新魏"/>
          <w:b/>
          <w:bCs/>
          <w:spacing w:val="-7"/>
          <w:sz w:val="44"/>
          <w:szCs w:val="44"/>
        </w:rPr>
        <w:t>“华为杯”第二十三届中国研究生</w:t>
      </w:r>
    </w:p>
    <w:p w14:paraId="7A2430B2">
      <w:pPr>
        <w:spacing w:before="84" w:line="218" w:lineRule="auto"/>
        <w:ind w:left="3385"/>
        <w:rPr>
          <w:rFonts w:ascii="华文新魏" w:hAnsi="华文新魏" w:eastAsia="华文新魏" w:cs="华文新魏"/>
          <w:sz w:val="44"/>
          <w:szCs w:val="44"/>
        </w:rPr>
      </w:pPr>
      <w:r>
        <w:rPr>
          <w:rFonts w:ascii="华文新魏" w:hAnsi="华文新魏" w:eastAsia="华文新魏" w:cs="华文新魏"/>
          <w:b/>
          <w:bCs/>
          <w:spacing w:val="-9"/>
          <w:sz w:val="44"/>
          <w:szCs w:val="44"/>
        </w:rPr>
        <w:t>数学建模竞赛</w:t>
      </w:r>
    </w:p>
    <w:p w14:paraId="18BF8430">
      <w:pPr>
        <w:spacing w:line="344" w:lineRule="auto"/>
        <w:rPr>
          <w:rFonts w:ascii="Arial"/>
          <w:sz w:val="21"/>
        </w:rPr>
      </w:pPr>
    </w:p>
    <w:p w14:paraId="4B425674">
      <w:pPr>
        <w:spacing w:line="345" w:lineRule="auto"/>
        <w:rPr>
          <w:rFonts w:ascii="Arial"/>
          <w:sz w:val="21"/>
        </w:rPr>
      </w:pPr>
    </w:p>
    <w:p w14:paraId="780EC328">
      <w:pPr>
        <w:spacing w:before="117" w:line="203" w:lineRule="auto"/>
        <w:ind w:left="2"/>
        <w:rPr>
          <w:rFonts w:ascii="黑体" w:hAnsi="黑体" w:eastAsia="黑体" w:cs="黑体"/>
          <w:sz w:val="32"/>
          <w:szCs w:val="32"/>
        </w:rPr>
      </w:pPr>
      <w:r>
        <w:rPr>
          <w:rFonts w:ascii="隶书" w:hAnsi="隶书" w:eastAsia="隶书" w:cs="隶书"/>
          <w:spacing w:val="-3"/>
          <w:sz w:val="36"/>
          <w:szCs w:val="36"/>
        </w:rPr>
        <w:t>题</w:t>
      </w:r>
      <w:r>
        <w:rPr>
          <w:rFonts w:ascii="隶书" w:hAnsi="隶书" w:eastAsia="隶书" w:cs="隶书"/>
          <w:spacing w:val="83"/>
          <w:sz w:val="36"/>
          <w:szCs w:val="36"/>
        </w:rPr>
        <w:t xml:space="preserve"> </w:t>
      </w:r>
      <w:r>
        <w:rPr>
          <w:rFonts w:ascii="隶书" w:hAnsi="隶书" w:eastAsia="隶书" w:cs="隶书"/>
          <w:spacing w:val="-3"/>
          <w:sz w:val="36"/>
          <w:szCs w:val="36"/>
        </w:rPr>
        <w:t xml:space="preserve">目：  </w:t>
      </w:r>
      <w:r>
        <w:rPr>
          <w:rFonts w:ascii="黑体" w:hAnsi="黑体" w:eastAsia="黑体" w:cs="黑体"/>
          <w:spacing w:val="-3"/>
          <w:sz w:val="32"/>
          <w:szCs w:val="32"/>
          <w:u w:val="single" w:color="auto"/>
        </w:rPr>
        <w:t xml:space="preserve"> 算力约束下大语言模型的质量评价与稳健</w:t>
      </w:r>
      <w:r>
        <w:rPr>
          <w:rFonts w:ascii="黑体" w:hAnsi="黑体" w:eastAsia="黑体" w:cs="黑体"/>
          <w:sz w:val="32"/>
          <w:szCs w:val="32"/>
          <w:u w:val="single" w:color="auto"/>
        </w:rPr>
        <w:t xml:space="preserve"> </w:t>
      </w:r>
    </w:p>
    <w:p w14:paraId="5D9846B2">
      <w:pPr>
        <w:spacing w:before="20" w:line="221" w:lineRule="auto"/>
        <w:ind w:left="4058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5"/>
          <w:sz w:val="32"/>
          <w:szCs w:val="32"/>
        </w:rPr>
        <w:t>资源配置</w:t>
      </w:r>
    </w:p>
    <w:p w14:paraId="17C7A4A0">
      <w:pPr>
        <w:spacing w:line="262" w:lineRule="auto"/>
        <w:rPr>
          <w:rFonts w:ascii="Arial"/>
          <w:sz w:val="21"/>
        </w:rPr>
      </w:pPr>
    </w:p>
    <w:p w14:paraId="32D52A7A">
      <w:pPr>
        <w:spacing w:line="262" w:lineRule="auto"/>
        <w:rPr>
          <w:rFonts w:ascii="Arial"/>
          <w:sz w:val="21"/>
        </w:rPr>
      </w:pPr>
    </w:p>
    <w:p w14:paraId="6E435EF5">
      <w:pPr>
        <w:spacing w:line="262" w:lineRule="auto"/>
        <w:rPr>
          <w:rFonts w:ascii="Arial"/>
          <w:sz w:val="21"/>
        </w:rPr>
      </w:pPr>
    </w:p>
    <w:p w14:paraId="473C5D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7" w:line="288" w:lineRule="auto"/>
        <w:ind w:left="4059"/>
        <w:textAlignment w:val="baseline"/>
        <w:rPr>
          <w:rFonts w:ascii="隶书" w:hAnsi="隶书" w:eastAsia="隶书" w:cs="隶书"/>
          <w:spacing w:val="-15"/>
          <w:sz w:val="36"/>
          <w:szCs w:val="36"/>
        </w:rPr>
      </w:pPr>
      <w:r>
        <w:rPr>
          <w:rFonts w:ascii="隶书" w:hAnsi="隶书" w:eastAsia="隶书" w:cs="隶书"/>
          <w:spacing w:val="-15"/>
          <w:sz w:val="36"/>
          <w:szCs w:val="36"/>
        </w:rPr>
        <w:t>摘</w:t>
      </w:r>
      <w:r>
        <w:rPr>
          <w:rFonts w:ascii="隶书" w:hAnsi="隶书" w:eastAsia="隶书" w:cs="隶书"/>
          <w:spacing w:val="9"/>
          <w:sz w:val="36"/>
          <w:szCs w:val="36"/>
        </w:rPr>
        <w:t xml:space="preserve"> </w:t>
      </w:r>
      <w:r>
        <w:rPr>
          <w:rFonts w:ascii="隶书" w:hAnsi="隶书" w:eastAsia="隶书" w:cs="隶书"/>
          <w:spacing w:val="-15"/>
          <w:sz w:val="36"/>
          <w:szCs w:val="36"/>
        </w:rPr>
        <w:t>要：</w:t>
      </w:r>
    </w:p>
    <w:p w14:paraId="37437C52">
      <w:pPr>
        <w:pStyle w:val="3"/>
        <w:keepNext w:val="0"/>
        <w:keepLines w:val="0"/>
        <w:pageBreakBefore w:val="0"/>
        <w:widowControl/>
        <w:kinsoku w:val="0"/>
        <w:overflowPunct/>
        <w:topLinePunct w:val="0"/>
        <w:autoSpaceDE w:val="0"/>
        <w:autoSpaceDN w:val="0"/>
        <w:bidi w:val="0"/>
        <w:adjustRightInd w:val="0"/>
        <w:snapToGrid w:val="0"/>
        <w:ind w:firstLine="500" w:firstLineChars="0"/>
        <w:textAlignment w:val="baseline"/>
      </w:pPr>
      <w:r>
        <w:rPr>
          <w:rFonts w:hint="default"/>
        </w:rPr>
        <w:t>固定算力下，参数、数据、质量与配比互相挤占。本文建立质量评价、广义标度律</w:t>
      </w:r>
      <w:r>
        <w:rPr>
          <w:rFonts w:hint="eastAsia"/>
          <w:lang w:val="en-US" w:eastAsia="zh-CN"/>
        </w:rPr>
        <w:t>和</w:t>
      </w:r>
      <w:r>
        <w:rPr>
          <w:rFonts w:hint="default"/>
        </w:rPr>
        <w:t>算力配置与能力前沿模型，并以同规模、跨族、外推和留家族检验限定结论。</w:t>
      </w:r>
    </w:p>
    <w:p w14:paraId="23AF6353">
      <w:pPr>
        <w:pStyle w:val="3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ind w:firstLine="499" w:firstLineChars="0"/>
        <w:textAlignment w:val="baseline"/>
        <w:rPr>
          <w:rFonts w:hint="eastAsia" w:eastAsia="宋体"/>
          <w:lang w:val="en-US" w:eastAsia="zh-CN"/>
        </w:rPr>
      </w:pPr>
      <w:r>
        <w:rPr>
          <w:rFonts w:hint="default"/>
        </w:rPr>
        <w:t>针对问题一，统一全量指标方向，熵权合成质量分，定义“内容价值—文本卫生”冲突并向短板靠拢；扩展集冲突比例接近抽样集。17域配比用岭回归拟合1M损失，同规模检验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 w:hAnsi="Cambria Math"/>
          <w:i w:val="0"/>
          <w:lang w:val="en-US" w:eastAsia="zh-CN"/>
        </w:rPr>
        <w:t>=0.33</w:t>
      </w:r>
      <w:r>
        <w:rPr>
          <w:rFonts w:hint="default"/>
        </w:rPr>
        <w:t>、Spearman=0.62，跨规模排序相关下降，10B/70B外推不稳定。单域≤30%时最优配比约为数学、Hacker News、Ubuntu IRC各30%、古腾堡10%</w:t>
      </w:r>
      <w:r>
        <w:rPr>
          <w:rFonts w:hint="eastAsia" w:ascii="宋体" w:hAnsi="宋体" w:eastAsia="宋体" w:cs="宋体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lang w:val="en-US" w:eastAsia="zh-CN"/>
              </w:rPr>
              <m:t>ref</m:t>
            </m:r>
            <m:ctrlPr>
              <w:rPr>
                <w:rFonts w:hint="eastAsia" w:ascii="Cambria Math" w:hAnsi="Cambria Math" w:eastAsia="宋体" w:cs="宋体"/>
                <w:i/>
              </w:rPr>
            </m:ctrlPr>
          </m:sub>
        </m:sSub>
      </m:oMath>
      <w:r>
        <w:rPr>
          <w:rFonts w:hint="default" w:ascii="Cambria Math" w:hAnsi="Cambria Math"/>
          <w:i/>
        </w:rPr>
        <w:t>=</w:t>
      </w:r>
      <w:r>
        <w:rPr>
          <w:rFonts w:hint="eastAsia" w:ascii="宋体" w:hAnsi="宋体" w:eastAsia="宋体" w:cs="宋体"/>
          <w:i/>
        </w:rPr>
        <w:t>0.333</w:t>
      </w:r>
      <w:r>
        <w:rPr>
          <w:rFonts w:hint="eastAsia"/>
          <w:lang w:eastAsia="zh-CN"/>
        </w:rPr>
        <w:t>。</w:t>
      </w:r>
    </w:p>
    <w:p w14:paraId="4BE5B234">
      <w:pPr>
        <w:pStyle w:val="3"/>
        <w:keepNext w:val="0"/>
        <w:keepLines w:val="0"/>
        <w:pageBreakBefore w:val="0"/>
        <w:widowControl/>
        <w:kinsoku w:val="0"/>
        <w:overflowPunct/>
        <w:topLinePunct w:val="0"/>
        <w:autoSpaceDE w:val="0"/>
        <w:autoSpaceDN w:val="0"/>
        <w:bidi w:val="0"/>
        <w:adjustRightInd w:val="0"/>
        <w:snapToGrid w:val="0"/>
        <w:ind w:firstLine="500" w:firstLineChars="0"/>
        <w:textAlignment w:val="baseline"/>
        <w:rPr>
          <w:rFonts w:hint="default"/>
        </w:rPr>
      </w:pPr>
      <w:r>
        <w:rPr>
          <w:rFonts w:hint="default"/>
        </w:rPr>
        <w:t>针对问题二，在Pythia轨迹拟合经典双项幂律，跨族与文献检验尚可，半合成轨迹失效。加入质量后Q=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i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lang w:val="en-US" w:eastAsia="zh-CN"/>
              </w:rPr>
              <m:t>ref</m:t>
            </m:r>
            <m:ctrlPr>
              <w:rPr>
                <w:rFonts w:hint="eastAsia" w:ascii="Cambria Math" w:hAnsi="Cambria Math" w:eastAsia="宋体" w:cs="宋体"/>
                <w:i/>
              </w:rPr>
            </m:ctrlPr>
          </m:sub>
        </m:sSub>
      </m:oMath>
      <w:r>
        <w:rPr>
          <w:rFonts w:hint="default"/>
        </w:rPr>
        <w:t>退回经典式，质量指数约0.29；6.9B/300B处质量提高0.1约等价参数增至1.37倍。</w:t>
      </w:r>
    </w:p>
    <w:p w14:paraId="5A6E4DE2">
      <w:pPr>
        <w:pStyle w:val="3"/>
        <w:bidi w:val="0"/>
        <w:ind w:firstLine="500" w:firstLineChars="0"/>
        <w:rPr>
          <w:rFonts w:hint="default"/>
        </w:rPr>
      </w:pPr>
      <w:r>
        <w:rPr>
          <w:rFonts w:hint="default"/>
        </w:rPr>
        <w:t>针对问题三，配比固定为问题一结果，上下文取真实出现值，临界长度30000。三档预算下出现结构性转移：低预算质量花费18%–27%，偏向质量优先；到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24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default"/>
        </w:rPr>
        <w:t>降至1%以下，转为规模优先；窗口超30000后注意力吃掉过半预算，最优参数量下降。</w:t>
      </w:r>
    </w:p>
    <w:p w14:paraId="33A6F968">
      <w:pPr>
        <w:pStyle w:val="3"/>
        <w:bidi w:val="0"/>
        <w:ind w:firstLine="500" w:firstLineChars="0"/>
        <w:rPr>
          <w:spacing w:val="1"/>
        </w:rPr>
      </w:pPr>
      <w:r>
        <w:rPr>
          <w:rFonts w:hint="default"/>
        </w:rPr>
        <w:t>针对问题四，以六维均分度量能力，按提交日期和可复现许可证筛选。对话/微调模型中规模贡献约30%、非规模约70%。以2025年开源最高分47.2为起点，12/24个月基线前沿约57.4/67.6，算力放缓时约54.2/61.2，区间约±15分；Loss—分数映射分层误差大，逐任务显示模型内部任务差异明显。</w:t>
      </w:r>
    </w:p>
    <w:p w14:paraId="24B3FCFE">
      <w:pPr>
        <w:pStyle w:val="3"/>
        <w:spacing w:before="276" w:line="180" w:lineRule="auto"/>
      </w:pPr>
      <w:r>
        <w:rPr>
          <w:rFonts w:ascii="隶书" w:hAnsi="隶书" w:eastAsia="隶书" w:cs="隶书"/>
          <w:sz w:val="36"/>
          <w:szCs w:val="36"/>
        </w:rPr>
        <w:t>关键词：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质量评价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冲突消解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领域配比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广义标度律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算力约束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结构性转移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能力前沿</w:t>
      </w:r>
    </w:p>
    <w:p w14:paraId="6CF70429">
      <w:pPr>
        <w:spacing w:line="180" w:lineRule="auto"/>
        <w:sectPr>
          <w:headerReference r:id="rId6" w:type="default"/>
          <w:footerReference r:id="rId7" w:type="default"/>
          <w:pgSz w:w="11910" w:h="16840"/>
          <w:pgMar w:top="1431" w:right="1272" w:bottom="1143" w:left="1286" w:header="0" w:footer="981" w:gutter="0"/>
          <w:pgNumType w:fmt="decimal" w:start="1"/>
          <w:cols w:space="720" w:num="1"/>
        </w:sectPr>
      </w:pPr>
    </w:p>
    <w:p w14:paraId="37C5C9FA">
      <w:pPr>
        <w:spacing w:before="269" w:line="219" w:lineRule="auto"/>
        <w:ind w:left="3240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1    </w:t>
      </w:r>
      <w:r>
        <w:rPr>
          <w:rFonts w:ascii="黑体" w:hAnsi="黑体" w:eastAsia="黑体" w:cs="黑体"/>
          <w:spacing w:val="-3"/>
          <w:sz w:val="28"/>
          <w:szCs w:val="28"/>
        </w:rPr>
        <w:t>研究问题与证据路线</w:t>
      </w:r>
    </w:p>
    <w:p w14:paraId="21959FD3">
      <w:pPr>
        <w:pStyle w:val="3"/>
        <w:spacing w:before="169" w:line="239" w:lineRule="auto"/>
        <w:ind w:left="8" w:right="120" w:firstLine="483"/>
        <w:jc w:val="both"/>
      </w:pPr>
      <w:r>
        <w:rPr>
          <w:rFonts w:hint="eastAsia"/>
          <w:spacing w:val="1"/>
        </w:rPr>
        <w:t>固定算力下，参数规模N、数据量D、数据质量Q与领域配比p共同挤占预算。基础训练开销近似为6ND，质量提升需要额外处理成本，上下文窗口又引入注意力与缓存开销。因此，资源配置不能仅由单一回归模型的拟合误差决定，还必须检验预算可行性、跨尺度稳定性与多领域均衡</w:t>
      </w:r>
      <w:r>
        <w:rPr>
          <w:spacing w:val="-1"/>
        </w:rPr>
        <w:t>。经典训练成本近似与规模配置思想参见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-1"/>
        </w:rPr>
        <w:fldChar w:fldCharType="end"/>
      </w:r>
      <w:r>
        <w:rPr>
          <w:rFonts w:ascii="Times New Roman" w:hAnsi="Times New Roman" w:eastAsia="Times New Roman" w:cs="Times New Roman"/>
          <w:spacing w:val="-1"/>
        </w:rPr>
        <w:t>]</w:t>
      </w:r>
      <w:r>
        <w:rPr>
          <w:spacing w:val="-1"/>
        </w:rPr>
        <w:t>。</w:t>
      </w:r>
    </w:p>
    <w:p w14:paraId="2E548C12">
      <w:pPr>
        <w:pStyle w:val="3"/>
        <w:spacing w:before="5" w:line="239" w:lineRule="auto"/>
        <w:ind w:left="11" w:right="120" w:firstLine="479"/>
        <w:jc w:val="both"/>
      </w:pPr>
      <w:r>
        <w:rPr>
          <w:rFonts w:hint="eastAsia"/>
        </w:rPr>
        <w:t>本文将四问组织为连续但可审计的分析链。问题一输出统一尺度的质量分、冲突消解规则、17域配比回归与参照质量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；问题二在Pythia真实轨迹上估计经典标度参数，引入质量修正，并检验跨族、文献与半合成来源；问题三以问题一配比为固定输入，在给定算力预算下配置N,D,Q，比较三种质量成本函数并识别结构性转移；问题四以六维均分度量能力，按提交日期与可复现许可证筛选，分离规模与非规模贡献，建立Loss—分数分层桥接并预测未来前沿。各层数据按证据层级使用，半合成、估算与外推结果不升级为下一层的真实观测</w:t>
      </w:r>
      <w:r>
        <w:rPr>
          <w:spacing w:val="-1"/>
        </w:rPr>
        <w:t>。原始问题及数据说明见赛题附件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[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1"/>
        </w:rPr>
        <w:fldChar w:fldCharType="end"/>
      </w:r>
      <w:r>
        <w:rPr>
          <w:rFonts w:ascii="Times New Roman" w:hAnsi="Times New Roman" w:eastAsia="Times New Roman" w:cs="Times New Roman"/>
          <w:spacing w:val="-1"/>
        </w:rPr>
        <w:t>]</w:t>
      </w:r>
      <w:r>
        <w:rPr>
          <w:spacing w:val="-1"/>
        </w:rPr>
        <w:t>。</w:t>
      </w:r>
    </w:p>
    <w:p w14:paraId="46EA9083">
      <w:pPr>
        <w:spacing w:before="226" w:line="4312" w:lineRule="exact"/>
      </w:pPr>
      <w:r>
        <w:rPr>
          <w:position w:val="-86"/>
        </w:rPr>
        <w:drawing>
          <wp:inline distT="0" distB="0" distL="0" distR="0">
            <wp:extent cx="5941060" cy="2738120"/>
            <wp:effectExtent l="0" t="0" r="2540" b="5080"/>
            <wp:docPr id="10" name="IM 10" descr="C:/Users/HP/Downloads/b2fc57f6-53ee-4f7e-8fff-a88f621fb330.pngb2fc57f6-53ee-4f7e-8fff-a88f621fb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 descr="C:/Users/HP/Downloads/b2fc57f6-53ee-4f7e-8fff-a88f621fb330.pngb2fc57f6-53ee-4f7e-8fff-a88f621fb330"/>
                    <pic:cNvPicPr/>
                  </pic:nvPicPr>
                  <pic:blipFill>
                    <a:blip r:embed="rId19"/>
                    <a:srcRect t="86" b="8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F965">
      <w:pPr>
        <w:pStyle w:val="3"/>
        <w:spacing w:before="132" w:line="219" w:lineRule="auto"/>
        <w:ind w:left="378"/>
        <w:jc w:val="center"/>
      </w:pPr>
      <w:r>
        <w:rPr>
          <w:spacing w:val="-2"/>
        </w:rPr>
        <w:t>图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    </w:t>
      </w:r>
      <w:r>
        <w:rPr>
          <w:spacing w:val="-2"/>
        </w:rPr>
        <w:t>四问之间的证据与计算关系。</w:t>
      </w:r>
    </w:p>
    <w:p w14:paraId="230266E5">
      <w:pPr>
        <w:spacing w:line="427" w:lineRule="auto"/>
        <w:rPr>
          <w:rFonts w:ascii="Arial"/>
          <w:sz w:val="21"/>
        </w:rPr>
      </w:pPr>
    </w:p>
    <w:p w14:paraId="3E813554">
      <w:pPr>
        <w:pStyle w:val="3"/>
        <w:spacing w:before="78" w:line="219" w:lineRule="auto"/>
        <w:ind w:left="15"/>
        <w:outlineLvl w:val="1"/>
      </w:pPr>
      <w:r>
        <w:rPr>
          <w:rFonts w:ascii="Times New Roman" w:hAnsi="Times New Roman" w:eastAsia="Times New Roman" w:cs="Times New Roman"/>
          <w:b/>
          <w:bCs/>
          <w:spacing w:val="-3"/>
        </w:rPr>
        <w:t xml:space="preserve">1.1    </w:t>
      </w:r>
      <w:r>
        <w:rPr>
          <w:rFonts w:hint="eastAsia"/>
          <w:b/>
          <w:bCs/>
          <w:spacing w:val="-3"/>
        </w:rPr>
        <w:t>证据层级与结论边界</w:t>
      </w:r>
    </w:p>
    <w:p w14:paraId="7CF91F0C">
      <w:pPr>
        <w:pStyle w:val="3"/>
        <w:spacing w:before="106" w:line="241" w:lineRule="auto"/>
        <w:ind w:left="8" w:right="120" w:firstLine="479"/>
        <w:jc w:val="both"/>
        <w:rPr>
          <w:spacing w:val="-3"/>
        </w:rPr>
      </w:pPr>
      <w:r>
        <w:rPr>
          <w:rFonts w:hint="eastAsia"/>
          <w:spacing w:val="5"/>
        </w:rPr>
        <w:t>本文将同规模检验、跨族检验、文献点检验、外推检验与留家族检验区分为不同证据层级。问题一的同规模检验</w:t>
      </w:r>
      <m:oMath>
        <m:sSup>
          <m:sSupPr>
            <m:ctrlPr>
              <w:rPr>
                <w:rFonts w:ascii="Cambria Math" w:hAnsi="Cambria Math"/>
                <w:i/>
                <w:spacing w:val="5"/>
              </w:rPr>
            </m:ctrlPr>
          </m:sSupPr>
          <m:e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pacing w:val="5"/>
              </w:rPr>
            </m:ctrlPr>
          </m:e>
          <m:sup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pacing w:val="5"/>
              </w:rPr>
            </m:ctrlPr>
          </m:sup>
        </m:sSup>
      </m:oMath>
      <w:r>
        <w:rPr>
          <w:rFonts w:hint="eastAsia"/>
          <w:spacing w:val="5"/>
        </w:rPr>
        <w:t>=0.33、Spearman=0.62，可作为配比内插依据；60M与1B排序相关降至0.56与0.38，10B/70B外推相关为负，因此不宣称无条件跨尺度泛化。问题二的Pythia样本内拟合近乎贴合，但跨族</w:t>
      </w:r>
      <m:oMath>
        <m:sSup>
          <m:sSupPr>
            <m:ctrlPr>
              <w:rPr>
                <w:rFonts w:ascii="Cambria Math" w:hAnsi="Cambria Math"/>
                <w:i/>
                <w:spacing w:val="5"/>
              </w:rPr>
            </m:ctrlPr>
          </m:sSupPr>
          <m:e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pacing w:val="5"/>
              </w:rPr>
            </m:ctrlPr>
          </m:e>
          <m:sup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pacing w:val="5"/>
              </w:rPr>
            </m:ctrlPr>
          </m:sup>
        </m:sSup>
        <m:r>
          <m:rPr>
            <m:sty m:val="p"/>
          </m:rPr>
          <w:rPr>
            <w:rFonts w:hint="eastAsia"/>
            <w:spacing w:val="5"/>
          </w:rPr>
          <m:t>=0.</m:t>
        </m:r>
        <m:r>
          <m:rPr>
            <m:sty m:val="p"/>
          </m:rPr>
          <w:rPr>
            <w:rFonts w:hint="default"/>
            <w:spacing w:val="5"/>
            <w:lang w:val="en-US" w:eastAsia="zh-CN"/>
          </w:rPr>
          <m:t>60</m:t>
        </m:r>
      </m:oMath>
      <w:r>
        <w:rPr>
          <w:rFonts w:hint="eastAsia"/>
          <w:spacing w:val="5"/>
        </w:rPr>
        <w:t>、文献</w:t>
      </w:r>
      <m:oMath>
        <m:sSup>
          <m:sSupPr>
            <m:ctrlPr>
              <w:rPr>
                <w:rFonts w:ascii="Cambria Math" w:hAnsi="Cambria Math"/>
                <w:i/>
                <w:spacing w:val="5"/>
              </w:rPr>
            </m:ctrlPr>
          </m:sSupPr>
          <m:e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pacing w:val="5"/>
              </w:rPr>
            </m:ctrlPr>
          </m:e>
          <m:sup>
            <m:r>
              <m:rPr/>
              <w:rPr>
                <w:rFonts w:hint="default" w:ascii="Cambria Math" w:hAnsi="Cambria Math"/>
                <w:spacing w:val="5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pacing w:val="5"/>
              </w:rPr>
            </m:ctrlPr>
          </m:sup>
        </m:sSup>
      </m:oMath>
      <w:r>
        <w:rPr>
          <w:rFonts w:hint="eastAsia"/>
          <w:spacing w:val="5"/>
        </w:rPr>
        <w:t>=0.73，Cerebras半合成轨迹失效，质量指数仅来自B6/B7，含外推的B8不支持正γ。问题三的结论限于真实出现的上下文长度和给定成本函数。问题四的前沿为条件情景区间，Loss—分数桥接在留家族验证中误差较大。所有结论均限定于已检查数据、假设与候选集，不宣称全局最优</w:t>
      </w:r>
      <w:r>
        <w:rPr>
          <w:spacing w:val="-3"/>
        </w:rPr>
        <w:t>。</w:t>
      </w:r>
    </w:p>
    <w:p w14:paraId="0A6CF83C">
      <w:pPr>
        <w:pStyle w:val="3"/>
        <w:spacing w:before="150" w:line="219" w:lineRule="auto"/>
        <w:ind w:left="15"/>
        <w:outlineLvl w:val="1"/>
      </w:pPr>
      <w:r>
        <w:rPr>
          <w:rFonts w:ascii="Times New Roman" w:hAnsi="Times New Roman" w:eastAsia="Times New Roman" w:cs="Times New Roman"/>
          <w:b/>
          <w:bCs/>
          <w:spacing w:val="-3"/>
        </w:rPr>
        <w:t xml:space="preserve">1.2    </w:t>
      </w:r>
      <w:r>
        <w:rPr>
          <w:rFonts w:hint="eastAsia"/>
          <w:b/>
          <w:bCs/>
          <w:spacing w:val="-3"/>
        </w:rPr>
        <w:t>结果口径与一致性</w:t>
      </w:r>
    </w:p>
    <w:p w14:paraId="353CD292">
      <w:pPr>
        <w:pStyle w:val="3"/>
        <w:spacing w:before="106" w:line="241" w:lineRule="auto"/>
        <w:ind w:left="11" w:right="120" w:firstLine="492"/>
        <w:jc w:val="both"/>
        <w:rPr>
          <w:spacing w:val="-2"/>
        </w:rPr>
      </w:pPr>
      <w:r>
        <w:rPr>
          <w:rFonts w:hint="eastAsia"/>
          <w:spacing w:val="-1"/>
        </w:rPr>
        <w:t>配比固定为问题一结果，参照质量</w:t>
      </w:r>
      <m:oMath>
        <m:sSub>
          <m:sSubPr>
            <m:ctrlPr>
              <w:rPr>
                <w:rFonts w:ascii="Cambria Math" w:hAnsi="Cambria Math"/>
                <w:i/>
                <w:spacing w:val="-1"/>
              </w:rPr>
            </m:ctrlPr>
          </m:sSubPr>
          <m:e>
            <m:r>
              <m:rPr/>
              <w:rPr>
                <w:rFonts w:hint="default" w:ascii="Cambria Math" w:hAnsi="Cambria Math"/>
                <w:spacing w:val="-1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pacing w:val="-1"/>
              </w:rPr>
            </m:ctrlPr>
          </m:e>
          <m:sub>
            <m:r>
              <m:rPr/>
              <w:rPr>
                <w:rFonts w:hint="default" w:ascii="Cambria Math" w:hAnsi="Cambria Math"/>
                <w:spacing w:val="-1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  <w:spacing w:val="-1"/>
              </w:rPr>
            </m:ctrlPr>
          </m:sub>
        </m:sSub>
      </m:oMath>
      <w:r>
        <w:rPr>
          <w:rFonts w:hint="eastAsia"/>
          <w:spacing w:val="-1"/>
        </w:rPr>
        <w:t>=0.333；标度律参数在十亿单位下拟合，质量指数取半合成表支持值。问题四时间按提交日期计，许可证仅保留Apache、MIT、Llama、Gemma等可复现类型，模型区分预训练与对话/微调。不同来源的数据分别命名、计算，不把半合成、估算或外推结果与真实观测混合比较</w:t>
      </w:r>
      <w:r>
        <w:rPr>
          <w:spacing w:val="-2"/>
        </w:rPr>
        <w:t>。</w:t>
      </w:r>
    </w:p>
    <w:p w14:paraId="71A549D1">
      <w:pPr>
        <w:pStyle w:val="3"/>
        <w:spacing w:before="106" w:line="241" w:lineRule="auto"/>
        <w:ind w:left="11" w:right="120" w:firstLine="492"/>
        <w:jc w:val="both"/>
        <w:rPr>
          <w:spacing w:val="-2"/>
        </w:rPr>
      </w:pPr>
    </w:p>
    <w:p w14:paraId="1F1669DC">
      <w:pPr>
        <w:spacing w:before="325" w:line="222" w:lineRule="auto"/>
        <w:ind w:left="3213"/>
        <w:outlineLvl w:val="0"/>
        <w:rPr>
          <w:rFonts w:ascii="Times New Roman" w:hAnsi="Times New Roman" w:eastAsia="Times New Roman" w:cs="Times New Roman"/>
          <w:spacing w:val="-1"/>
          <w:sz w:val="28"/>
          <w:szCs w:val="28"/>
        </w:rPr>
        <w:sectPr>
          <w:headerReference r:id="rId8" w:type="default"/>
          <w:footerReference r:id="rId9" w:type="default"/>
          <w:pgSz w:w="11910" w:h="16840"/>
          <w:pgMar w:top="400" w:right="1153" w:bottom="1143" w:left="1287" w:header="0" w:footer="981" w:gutter="0"/>
          <w:pgNumType w:fmt="decimal"/>
          <w:cols w:space="720" w:num="1"/>
        </w:sectPr>
      </w:pPr>
    </w:p>
    <w:p w14:paraId="776BA7C2">
      <w:pPr>
        <w:spacing w:before="325" w:line="222" w:lineRule="auto"/>
        <w:ind w:left="3213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    </w:t>
      </w:r>
      <w:r>
        <w:rPr>
          <w:rFonts w:ascii="黑体" w:hAnsi="黑体" w:eastAsia="黑体" w:cs="黑体"/>
          <w:spacing w:val="-1"/>
          <w:sz w:val="28"/>
          <w:szCs w:val="28"/>
        </w:rPr>
        <w:t>数据审计与模型假设</w:t>
      </w:r>
    </w:p>
    <w:p w14:paraId="1DA722BF">
      <w:pPr>
        <w:pStyle w:val="3"/>
        <w:spacing w:before="167" w:line="241" w:lineRule="auto"/>
        <w:ind w:left="8" w:firstLine="473"/>
        <w:jc w:val="both"/>
        <w:rPr>
          <w:spacing w:val="-9"/>
        </w:rPr>
      </w:pPr>
      <w:r>
        <w:rPr>
          <w:rFonts w:hint="eastAsia" w:ascii="Times New Roman" w:hAnsi="Times New Roman" w:cs="Times New Roman"/>
          <w:spacing w:val="-5"/>
          <w:lang w:val="en-US" w:eastAsia="zh-CN"/>
        </w:rPr>
        <w:t>本文数据来自附件A、B、C三类来源。附件A提供质量信号与配方实验，用于质量评价、冲突消解与领域配比回归；附件B提供标度轨迹与质量半合成数据，用于经典标度拟合与质量修正；附件C提供评测榜单、算力与数据量字段，用于能力度量、贡献分解与前沿预测。三类数据按证据层级分别使用，同规模检验、跨族检验、文献点检验、外推检验与留家族检验的结果不混同报告</w:t>
      </w:r>
      <w:r>
        <w:rPr>
          <w:rFonts w:hint="eastAsia" w:ascii="Times New Roman" w:hAnsi="Times New Roman" w:eastAsia="Times New Roman" w:cs="Times New Roman"/>
          <w:spacing w:val="-5"/>
        </w:rPr>
        <w:t>。</w:t>
      </w:r>
    </w:p>
    <w:p w14:paraId="415ACA6A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3" w:line="288" w:lineRule="auto"/>
        <w:ind w:left="3277"/>
        <w:textAlignment w:val="baseline"/>
        <w:rPr>
          <w:spacing w:val="-9"/>
        </w:rPr>
      </w:pPr>
      <w:r>
        <w:rPr>
          <w:spacing w:val="-3"/>
        </w:rPr>
        <w:t>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1    </w:t>
      </w:r>
      <w:r>
        <w:rPr>
          <w:spacing w:val="-3"/>
        </w:rPr>
        <w:t>主要数据与证据层级</w:t>
      </w:r>
    </w:p>
    <w:tbl>
      <w:tblPr>
        <w:tblStyle w:val="10"/>
        <w:tblW w:w="9195" w:type="dxa"/>
        <w:tblInd w:w="7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4011"/>
        <w:gridCol w:w="3871"/>
      </w:tblGrid>
      <w:tr w14:paraId="79253A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31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ACB685C">
            <w:pPr>
              <w:spacing w:before="111" w:line="220" w:lineRule="auto"/>
              <w:ind w:left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数据块</w:t>
            </w:r>
          </w:p>
        </w:tc>
        <w:tc>
          <w:tcPr>
            <w:tcW w:w="401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2134AF7">
            <w:pPr>
              <w:spacing w:before="111" w:line="220" w:lineRule="auto"/>
              <w:ind w:left="2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核心内容与规模</w:t>
            </w:r>
          </w:p>
        </w:tc>
        <w:tc>
          <w:tcPr>
            <w:tcW w:w="387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25B0944">
            <w:pPr>
              <w:spacing w:before="111" w:line="220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证据用途</w:t>
            </w:r>
          </w:p>
        </w:tc>
      </w:tr>
      <w:tr w14:paraId="090DFC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313" w:type="dxa"/>
            <w:tcBorders>
              <w:top w:val="single" w:color="000000" w:sz="4" w:space="0"/>
            </w:tcBorders>
            <w:vAlign w:val="top"/>
          </w:tcPr>
          <w:p w14:paraId="2893DA15">
            <w:pPr>
              <w:pStyle w:val="11"/>
              <w:spacing w:before="147" w:line="188" w:lineRule="auto"/>
              <w:ind w:left="1"/>
            </w:pPr>
            <w:r>
              <w:rPr>
                <w:spacing w:val="-1"/>
              </w:rPr>
              <w:t>A1—A3</w:t>
            </w:r>
          </w:p>
        </w:tc>
        <w:tc>
          <w:tcPr>
            <w:tcW w:w="4011" w:type="dxa"/>
            <w:tcBorders>
              <w:top w:val="single" w:color="000000" w:sz="4" w:space="0"/>
            </w:tcBorders>
            <w:vAlign w:val="top"/>
          </w:tcPr>
          <w:p w14:paraId="0F8B2DC2">
            <w:pPr>
              <w:pStyle w:val="11"/>
              <w:spacing w:before="106" w:line="216" w:lineRule="auto"/>
              <w:ind w:left="263"/>
              <w:rPr>
                <w:rFonts w:ascii="宋体" w:hAnsi="宋体" w:eastAsia="宋体" w:cs="宋体"/>
              </w:rPr>
            </w:pPr>
            <w:r>
              <w:rPr>
                <w:spacing w:val="-1"/>
              </w:rPr>
              <w:t>272505</w:t>
            </w:r>
            <w:r>
              <w:rPr>
                <w:rFonts w:ascii="宋体" w:hAnsi="宋体" w:eastAsia="宋体" w:cs="宋体"/>
                <w:spacing w:val="-1"/>
              </w:rPr>
              <w:t>条，去重</w:t>
            </w:r>
            <w:r>
              <w:rPr>
                <w:spacing w:val="-1"/>
              </w:rPr>
              <w:t>261086</w:t>
            </w:r>
            <w:r>
              <w:rPr>
                <w:rFonts w:ascii="宋体" w:hAnsi="宋体" w:eastAsia="宋体" w:cs="宋体"/>
                <w:spacing w:val="-1"/>
              </w:rPr>
              <w:t>条</w:t>
            </w:r>
          </w:p>
        </w:tc>
        <w:tc>
          <w:tcPr>
            <w:tcW w:w="3871" w:type="dxa"/>
            <w:tcBorders>
              <w:top w:val="single" w:color="000000" w:sz="4" w:space="0"/>
            </w:tcBorders>
            <w:vAlign w:val="top"/>
          </w:tcPr>
          <w:p w14:paraId="70F72E64">
            <w:pPr>
              <w:spacing w:before="106" w:line="216" w:lineRule="auto"/>
              <w:ind w:left="4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质量评价与扩展复核</w:t>
            </w:r>
          </w:p>
        </w:tc>
      </w:tr>
      <w:tr w14:paraId="5BB1AD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313" w:type="dxa"/>
            <w:vAlign w:val="top"/>
          </w:tcPr>
          <w:p w14:paraId="5928579C">
            <w:pPr>
              <w:pStyle w:val="11"/>
              <w:spacing w:before="102" w:line="189" w:lineRule="auto"/>
              <w:ind w:left="1"/>
            </w:pPr>
            <w:r>
              <w:rPr>
                <w:spacing w:val="-1"/>
              </w:rPr>
              <w:t>A4—A11</w:t>
            </w:r>
          </w:p>
        </w:tc>
        <w:tc>
          <w:tcPr>
            <w:tcW w:w="4011" w:type="dxa"/>
            <w:vAlign w:val="top"/>
          </w:tcPr>
          <w:p w14:paraId="32D99835">
            <w:pPr>
              <w:pStyle w:val="11"/>
              <w:spacing w:before="61" w:line="214" w:lineRule="auto"/>
              <w:ind w:left="27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训练</w:t>
            </w:r>
            <w:r>
              <w:rPr>
                <w:spacing w:val="-2"/>
              </w:rPr>
              <w:t>512</w:t>
            </w:r>
            <w:r>
              <w:rPr>
                <w:rFonts w:ascii="宋体" w:hAnsi="宋体" w:eastAsia="宋体" w:cs="宋体"/>
                <w:spacing w:val="-2"/>
              </w:rPr>
              <w:t>；检验</w:t>
            </w:r>
            <w:r>
              <w:rPr>
                <w:spacing w:val="-2"/>
              </w:rPr>
              <w:t>256/256/64</w:t>
            </w:r>
            <w:r>
              <w:rPr>
                <w:rFonts w:ascii="宋体" w:hAnsi="宋体" w:eastAsia="宋体" w:cs="宋体"/>
                <w:spacing w:val="-2"/>
              </w:rPr>
              <w:t>配方</w:t>
            </w:r>
          </w:p>
        </w:tc>
        <w:tc>
          <w:tcPr>
            <w:tcW w:w="3871" w:type="dxa"/>
            <w:vAlign w:val="top"/>
          </w:tcPr>
          <w:p w14:paraId="5D26AF8D">
            <w:pPr>
              <w:spacing w:before="61" w:line="214" w:lineRule="auto"/>
              <w:ind w:left="4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同尺度回归与跨尺度诊断</w:t>
            </w:r>
          </w:p>
        </w:tc>
      </w:tr>
      <w:tr w14:paraId="38B84B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313" w:type="dxa"/>
            <w:vAlign w:val="top"/>
          </w:tcPr>
          <w:p w14:paraId="5E362AA6">
            <w:pPr>
              <w:pStyle w:val="11"/>
              <w:spacing w:before="106" w:line="188" w:lineRule="auto"/>
              <w:ind w:left="1"/>
            </w:pPr>
            <w:r>
              <w:rPr>
                <w:spacing w:val="-1"/>
              </w:rPr>
              <w:t>A12—A15</w:t>
            </w:r>
          </w:p>
        </w:tc>
        <w:tc>
          <w:tcPr>
            <w:tcW w:w="4011" w:type="dxa"/>
            <w:vAlign w:val="top"/>
          </w:tcPr>
          <w:p w14:paraId="4DD75FDE">
            <w:pPr>
              <w:pStyle w:val="11"/>
              <w:spacing w:before="64" w:line="213" w:lineRule="auto"/>
              <w:ind w:left="28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10B/70B</w:t>
            </w:r>
            <w:r>
              <w:rPr>
                <w:rFonts w:ascii="宋体" w:hAnsi="宋体" w:eastAsia="宋体" w:cs="宋体"/>
                <w:spacing w:val="-4"/>
              </w:rPr>
              <w:t>各</w:t>
            </w:r>
            <w:r>
              <w:rPr>
                <w:spacing w:val="-4"/>
              </w:rPr>
              <w:t>63</w:t>
            </w:r>
            <w:r>
              <w:rPr>
                <w:rFonts w:ascii="宋体" w:hAnsi="宋体" w:eastAsia="宋体" w:cs="宋体"/>
                <w:spacing w:val="-4"/>
              </w:rPr>
              <w:t>配方</w:t>
            </w:r>
          </w:p>
        </w:tc>
        <w:tc>
          <w:tcPr>
            <w:tcW w:w="3871" w:type="dxa"/>
            <w:vAlign w:val="top"/>
          </w:tcPr>
          <w:p w14:paraId="54A2DC8B">
            <w:pPr>
              <w:spacing w:before="64" w:line="213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估算外推压力，非独立检验</w:t>
            </w:r>
          </w:p>
        </w:tc>
      </w:tr>
      <w:tr w14:paraId="08341A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313" w:type="dxa"/>
            <w:vAlign w:val="top"/>
          </w:tcPr>
          <w:p w14:paraId="2DA9897E">
            <w:pPr>
              <w:pStyle w:val="11"/>
              <w:spacing w:before="107" w:line="188" w:lineRule="auto"/>
              <w:ind w:left="4"/>
            </w:pPr>
            <w:r>
              <w:rPr>
                <w:spacing w:val="-1"/>
              </w:rPr>
              <w:t>B1—B5</w:t>
            </w:r>
          </w:p>
        </w:tc>
        <w:tc>
          <w:tcPr>
            <w:tcW w:w="4011" w:type="dxa"/>
            <w:vAlign w:val="top"/>
          </w:tcPr>
          <w:p w14:paraId="3BAF851C">
            <w:pPr>
              <w:pStyle w:val="11"/>
              <w:spacing w:before="66" w:line="210" w:lineRule="auto"/>
              <w:ind w:left="262"/>
              <w:rPr>
                <w:rFonts w:ascii="宋体" w:hAnsi="宋体" w:eastAsia="宋体" w:cs="宋体"/>
              </w:rPr>
            </w:pPr>
            <w:r>
              <w:rPr>
                <w:spacing w:val="-6"/>
              </w:rPr>
              <w:t>B1</w:t>
            </w:r>
            <w:r>
              <w:rPr>
                <w:rFonts w:hint="eastAsia" w:eastAsia="宋体"/>
                <w:spacing w:val="-6"/>
                <w:lang w:val="en-US" w:eastAsia="zh-CN"/>
              </w:rPr>
              <w:t>含1</w:t>
            </w:r>
            <w:r>
              <w:rPr>
                <w:spacing w:val="-6"/>
              </w:rPr>
              <w:t>176</w:t>
            </w:r>
            <w:r>
              <w:rPr>
                <w:rFonts w:ascii="宋体" w:hAnsi="宋体" w:eastAsia="宋体" w:cs="宋体"/>
                <w:spacing w:val="-6"/>
              </w:rPr>
              <w:t>点，</w:t>
            </w:r>
            <w:r>
              <w:rPr>
                <w:spacing w:val="-6"/>
              </w:rPr>
              <w:t>8</w:t>
            </w:r>
            <w:r>
              <w:rPr>
                <w:rFonts w:ascii="宋体" w:hAnsi="宋体" w:eastAsia="宋体" w:cs="宋体"/>
                <w:spacing w:val="-6"/>
              </w:rPr>
              <w:t>种参数规模</w:t>
            </w:r>
          </w:p>
        </w:tc>
        <w:tc>
          <w:tcPr>
            <w:tcW w:w="3871" w:type="dxa"/>
            <w:vAlign w:val="top"/>
          </w:tcPr>
          <w:p w14:paraId="432CD8CF">
            <w:pPr>
              <w:spacing w:before="66" w:line="210" w:lineRule="auto"/>
              <w:ind w:left="4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标度拟合与异源检验</w:t>
            </w:r>
          </w:p>
        </w:tc>
      </w:tr>
      <w:tr w14:paraId="16B520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313" w:type="dxa"/>
            <w:vAlign w:val="top"/>
          </w:tcPr>
          <w:p w14:paraId="207DA464">
            <w:pPr>
              <w:pStyle w:val="11"/>
              <w:spacing w:before="111" w:line="188" w:lineRule="auto"/>
              <w:ind w:left="4"/>
            </w:pPr>
            <w:r>
              <w:rPr>
                <w:spacing w:val="-1"/>
              </w:rPr>
              <w:t>B6—B10</w:t>
            </w:r>
          </w:p>
        </w:tc>
        <w:tc>
          <w:tcPr>
            <w:tcW w:w="4011" w:type="dxa"/>
            <w:vAlign w:val="top"/>
          </w:tcPr>
          <w:p w14:paraId="39EC7433">
            <w:pPr>
              <w:spacing w:before="69" w:line="208" w:lineRule="auto"/>
              <w:ind w:left="2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质量半合成与大模型补充</w:t>
            </w:r>
          </w:p>
        </w:tc>
        <w:tc>
          <w:tcPr>
            <w:tcW w:w="3871" w:type="dxa"/>
            <w:vAlign w:val="top"/>
          </w:tcPr>
          <w:p w14:paraId="7C102451">
            <w:pPr>
              <w:spacing w:before="69" w:line="208" w:lineRule="auto"/>
              <w:ind w:left="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条件效应与外推边界</w:t>
            </w:r>
          </w:p>
        </w:tc>
      </w:tr>
      <w:tr w14:paraId="199B63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313" w:type="dxa"/>
            <w:tcBorders>
              <w:bottom w:val="single" w:color="000000" w:sz="6" w:space="0"/>
            </w:tcBorders>
            <w:vAlign w:val="top"/>
          </w:tcPr>
          <w:p w14:paraId="7571B4AC">
            <w:pPr>
              <w:pStyle w:val="11"/>
              <w:spacing w:before="113" w:line="188" w:lineRule="auto"/>
              <w:ind w:left="8"/>
            </w:pPr>
            <w:r>
              <w:rPr>
                <w:spacing w:val="-2"/>
              </w:rPr>
              <w:t>C1—C8</w:t>
            </w:r>
          </w:p>
        </w:tc>
        <w:tc>
          <w:tcPr>
            <w:tcW w:w="4011" w:type="dxa"/>
            <w:tcBorders>
              <w:bottom w:val="single" w:color="000000" w:sz="6" w:space="0"/>
            </w:tcBorders>
            <w:vAlign w:val="top"/>
          </w:tcPr>
          <w:p w14:paraId="48C791A5">
            <w:pPr>
              <w:pStyle w:val="11"/>
              <w:spacing w:before="71" w:line="219" w:lineRule="auto"/>
              <w:ind w:left="27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主样本</w:t>
            </w:r>
            <w:r>
              <w:rPr>
                <w:spacing w:val="-3"/>
              </w:rPr>
              <w:t>1298</w:t>
            </w:r>
            <w:r>
              <w:rPr>
                <w:rFonts w:ascii="宋体" w:hAnsi="宋体" w:eastAsia="宋体" w:cs="宋体"/>
                <w:spacing w:val="-3"/>
              </w:rPr>
              <w:t>条，聚合</w:t>
            </w:r>
            <w:r>
              <w:rPr>
                <w:spacing w:val="-3"/>
              </w:rPr>
              <w:t>665</w:t>
            </w:r>
            <w:r>
              <w:rPr>
                <w:rFonts w:ascii="宋体" w:hAnsi="宋体" w:eastAsia="宋体" w:cs="宋体"/>
                <w:spacing w:val="-3"/>
              </w:rPr>
              <w:t>组</w:t>
            </w:r>
          </w:p>
        </w:tc>
        <w:tc>
          <w:tcPr>
            <w:tcW w:w="3871" w:type="dxa"/>
            <w:tcBorders>
              <w:bottom w:val="single" w:color="000000" w:sz="6" w:space="0"/>
            </w:tcBorders>
            <w:vAlign w:val="top"/>
          </w:tcPr>
          <w:p w14:paraId="31108068">
            <w:pPr>
              <w:spacing w:before="71" w:line="220" w:lineRule="auto"/>
              <w:ind w:left="4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时间前沿及逐任务核验</w:t>
            </w:r>
          </w:p>
        </w:tc>
      </w:tr>
    </w:tbl>
    <w:p w14:paraId="6CB7F2FC">
      <w:pPr>
        <w:spacing w:line="352" w:lineRule="auto"/>
        <w:rPr>
          <w:rFonts w:ascii="Arial"/>
          <w:sz w:val="21"/>
        </w:rPr>
      </w:pPr>
    </w:p>
    <w:p w14:paraId="0CF1B1F0">
      <w:pPr>
        <w:pStyle w:val="3"/>
        <w:spacing w:before="78" w:line="238" w:lineRule="auto"/>
        <w:ind w:left="6" w:right="119" w:firstLine="475"/>
        <w:jc w:val="both"/>
      </w:pPr>
      <w:r>
        <w:rPr>
          <w:rFonts w:hint="eastAsia" w:ascii="Times New Roman" w:hAnsi="Times New Roman" w:eastAsia="Times New Roman" w:cs="Times New Roman"/>
          <w:spacing w:val="3"/>
        </w:rPr>
        <w:t>A1–A3经方向统一与列表型指标压缩后参与评分；A4–A15中无损失列的4个域只保留间接影响，不进入直接回归。B1在Pythia轨迹上拟合经典双项幂律，样本近乎贴合；跨族基准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 w:hAnsi="Cambria Math" w:cs="Times New Roman"/>
          <w:i w:val="0"/>
          <w:spacing w:val="3"/>
          <w:lang w:val="en-US" w:eastAsia="zh-CN"/>
        </w:rPr>
        <w:t>=0.60</w:t>
      </w:r>
      <w:r>
        <w:rPr>
          <w:rFonts w:hint="eastAsia" w:ascii="Times New Roman" w:hAnsi="Times New Roman" w:eastAsia="Times New Roman" w:cs="Times New Roman"/>
          <w:spacing w:val="3"/>
        </w:rPr>
        <w:t>，文献点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 w:ascii="Times New Roman" w:hAnsi="Times New Roman" w:eastAsia="Times New Roman" w:cs="Times New Roman"/>
          <w:spacing w:val="3"/>
        </w:rPr>
        <w:t>=0.73，Cerebras半合成轨迹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 w:ascii="Times New Roman" w:hAnsi="Times New Roman" w:eastAsia="Times New Roman" w:cs="Times New Roman"/>
          <w:spacing w:val="3"/>
        </w:rPr>
        <w:t>为负。B6给出质量指数γ=0.29，B7得0.30，含外推的B8得不到正γ，因此不将质量修正外推到超大尺度。C8逐任务聚合1860个模型的BBH子任务，子任务均值中位数为0.49，同一模型内部标准差中位数为0.17，说明单一总分不能表征全部能力</w:t>
      </w:r>
      <w:r>
        <w:rPr>
          <w:spacing w:val="-3"/>
        </w:rPr>
        <w:t>。</w:t>
      </w:r>
    </w:p>
    <w:p w14:paraId="7A633AAD">
      <w:pPr>
        <w:pStyle w:val="3"/>
        <w:spacing w:before="162" w:line="219" w:lineRule="auto"/>
        <w:ind w:left="4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2.1    </w:t>
      </w:r>
      <w:r>
        <w:rPr>
          <w:b/>
          <w:bCs/>
          <w:spacing w:val="-2"/>
        </w:rPr>
        <w:t>基本假设</w:t>
      </w:r>
    </w:p>
    <w:p w14:paraId="1F6DEA49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  <w:r>
        <w:rPr>
          <w:rFonts w:hint="eastAsia"/>
          <w:spacing w:val="-1"/>
        </w:rPr>
        <w:t>假设一，质量分是透明的偏好尺度，不是人工真值或因果标签。冲突定义为“内容价值”与“文本卫生”差超过0.30，冲突越强越向短板靠拢；该规则刻画评价维度不一致，不意味着文本内容存在事实矛盾。假设二，配比岭回归在同规模1M检验上有效，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 w:hAnsi="Cambria Math" w:cs="Times New Roman"/>
          <w:i w:val="0"/>
          <w:spacing w:val="3"/>
          <w:lang w:val="en-US" w:eastAsia="zh-CN"/>
        </w:rPr>
        <w:t>=</w:t>
      </w:r>
      <w:r>
        <w:rPr>
          <w:rFonts w:hint="eastAsia"/>
          <w:spacing w:val="-1"/>
        </w:rPr>
        <w:t>0.33、Spearman=0.62；60M与1B损失水平整体下移，绝对误差不具可比性，排序相关分别为0.56和0.38；10B/70B外推排序相关为负，因此只作为压力诊断，不作为独立泛化证据。假设三，经典标度律在Pythia样本内近乎贴合，跨族与文献检验尚可，半合成轨迹失效；质量修正项在</w:t>
      </w:r>
      <w:r>
        <w:rPr>
          <w:rFonts w:hint="eastAsia"/>
          <w:spacing w:val="-1"/>
          <w:lang w:val="en-US" w:eastAsia="zh-CN"/>
        </w:rPr>
        <w:t>Q=</w:t>
      </w:r>
      <m:oMath>
        <m:sSub>
          <m:sSubPr>
            <m:ctrlPr>
              <w:rPr>
                <w:rFonts w:ascii="Cambria Math" w:hAnsi="Cambria Math"/>
                <w:i/>
                <w:spacing w:val="-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pacing w:val="-1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pacing w:val="-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pacing w:val="-1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  <w:spacing w:val="-1"/>
                <w:lang w:val="en-US"/>
              </w:rPr>
            </m:ctrlPr>
          </m:sub>
        </m:sSub>
      </m:oMath>
      <w:r>
        <w:rPr>
          <w:rFonts w:hint="eastAsia"/>
          <w:spacing w:val="-1"/>
        </w:rPr>
        <w:t>时退回经典形式，质量指数仅取B6/B7支持值，不外推到超大尺度。假设四，算力配置中上下文长度外生，仅取架构表真实出现的2048、4096、8192、32768、131072；三种质量成本函数均导致结构性转移，低预算偏向质量优先，高预算转为规模优先；窗口超过30000后注意力开销超过训练开销，最优参数量随之下降。假设五，能力度量用榜单六维均分，时间按提交日期计，许可证仅保留Apache、MIT、Llama、Gemma等可复现类型；规模扩张与非规模技术进步按描述性分解，不做因果归因；Loss—分数映射分层使用，留家族验证误差较大，桥接结论限于局部条件关联。</w:t>
      </w:r>
    </w:p>
    <w:p w14:paraId="45C6E857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  <w:r>
        <w:rPr>
          <w:rFonts w:hint="eastAsia"/>
          <w:spacing w:val="-1"/>
        </w:rPr>
        <w:t>缺失值按附件A内相应指标中位数补齐，归一化锚点固定于A1。连续损失按回归问题评价，不以离散分类准确率替代。</w:t>
      </w:r>
    </w:p>
    <w:p w14:paraId="5053993B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6E9E74BA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0C2CF824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01B1D555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55AD1BDB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1E77DF0B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7E8485E5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74CF94EB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  <w:sectPr>
          <w:headerReference r:id="rId10" w:type="default"/>
          <w:footerReference r:id="rId11" w:type="default"/>
          <w:pgSz w:w="11910" w:h="16840"/>
          <w:pgMar w:top="400" w:right="1153" w:bottom="1143" w:left="1282" w:header="0" w:footer="981" w:gutter="0"/>
          <w:pgNumType w:fmt="decimal"/>
          <w:cols w:space="720" w:num="1"/>
        </w:sectPr>
      </w:pPr>
    </w:p>
    <w:p w14:paraId="35C3AA5E">
      <w:pPr>
        <w:pStyle w:val="3"/>
        <w:spacing w:before="1" w:line="236" w:lineRule="auto"/>
        <w:ind w:right="117" w:firstLine="487"/>
        <w:jc w:val="both"/>
        <w:rPr>
          <w:rFonts w:hint="eastAsia"/>
          <w:spacing w:val="-1"/>
        </w:rPr>
      </w:pPr>
    </w:p>
    <w:p w14:paraId="6B84EAA0">
      <w:pPr>
        <w:pStyle w:val="3"/>
        <w:spacing w:before="169" w:line="220" w:lineRule="auto"/>
        <w:ind w:left="4"/>
        <w:outlineLvl w:val="1"/>
        <w:rPr>
          <w:b/>
          <w:bCs/>
          <w:spacing w:val="-2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2.2    </w:t>
      </w:r>
      <w:r>
        <w:rPr>
          <w:b/>
          <w:bCs/>
          <w:spacing w:val="-2"/>
        </w:rPr>
        <w:t>主要符号与量纲</w:t>
      </w:r>
    </w:p>
    <w:p w14:paraId="36F022D5">
      <w:pPr>
        <w:pStyle w:val="3"/>
        <w:spacing w:before="314" w:line="220" w:lineRule="auto"/>
        <w:ind w:left="3994"/>
      </w:pPr>
      <w:r>
        <w:rPr>
          <w:spacing w:val="-5"/>
        </w:rPr>
        <w:t>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-5"/>
        </w:rPr>
        <w:t>符号表</w:t>
      </w:r>
    </w:p>
    <w:p w14:paraId="0E859875">
      <w:pPr>
        <w:spacing w:line="134" w:lineRule="exact"/>
      </w:pPr>
    </w:p>
    <w:tbl>
      <w:tblPr>
        <w:tblStyle w:val="10"/>
        <w:tblW w:w="9203" w:type="dxa"/>
        <w:tblInd w:w="7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4136"/>
        <w:gridCol w:w="3196"/>
      </w:tblGrid>
      <w:tr w14:paraId="504204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87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D2D55E6">
            <w:pPr>
              <w:spacing w:before="111" w:line="220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符号</w:t>
            </w:r>
          </w:p>
        </w:tc>
        <w:tc>
          <w:tcPr>
            <w:tcW w:w="413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729D4C0">
            <w:pPr>
              <w:spacing w:before="112" w:line="220" w:lineRule="auto"/>
              <w:ind w:left="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定义</w:t>
            </w:r>
          </w:p>
        </w:tc>
        <w:tc>
          <w:tcPr>
            <w:tcW w:w="319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E3DDF40">
            <w:pPr>
              <w:spacing w:before="112" w:line="220" w:lineRule="auto"/>
              <w:ind w:left="1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范围或单位</w:t>
            </w:r>
          </w:p>
        </w:tc>
      </w:tr>
      <w:tr w14:paraId="2CBADA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871" w:type="dxa"/>
            <w:tcBorders>
              <w:top w:val="single" w:color="000000" w:sz="4" w:space="0"/>
            </w:tcBorders>
            <w:vAlign w:val="top"/>
          </w:tcPr>
          <w:p w14:paraId="05040ADB">
            <w:pPr>
              <w:pStyle w:val="11"/>
              <w:spacing w:before="146" w:line="180" w:lineRule="auto"/>
              <w:ind w:left="18"/>
            </w:pPr>
            <w:r>
              <w:rPr>
                <w:i/>
                <w:iCs/>
                <w:spacing w:val="9"/>
              </w:rPr>
              <w:t>N</w:t>
            </w:r>
            <w:r>
              <w:rPr>
                <w:rFonts w:ascii="宋体" w:hAnsi="宋体" w:eastAsia="宋体" w:cs="宋体"/>
                <w:spacing w:val="9"/>
              </w:rPr>
              <w:t>，</w:t>
            </w:r>
            <w:r>
              <w:rPr>
                <w:i/>
                <w:iCs/>
                <w:spacing w:val="9"/>
              </w:rPr>
              <w:t>D</w:t>
            </w:r>
          </w:p>
        </w:tc>
        <w:tc>
          <w:tcPr>
            <w:tcW w:w="4136" w:type="dxa"/>
            <w:tcBorders>
              <w:top w:val="single" w:color="000000" w:sz="4" w:space="0"/>
            </w:tcBorders>
            <w:vAlign w:val="top"/>
          </w:tcPr>
          <w:p w14:paraId="08BF2569">
            <w:pPr>
              <w:pStyle w:val="11"/>
              <w:spacing w:before="104" w:line="217" w:lineRule="auto"/>
              <w:ind w:left="9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参数个数，训练</w:t>
            </w:r>
            <w:r>
              <w:rPr>
                <w:spacing w:val="-2"/>
              </w:rPr>
              <w:t>Toke</w:t>
            </w:r>
            <w:r>
              <w:rPr>
                <w:rFonts w:hint="eastAsia" w:eastAsia="宋体"/>
                <w:spacing w:val="-2"/>
                <w:lang w:val="en-US" w:eastAsia="zh-CN"/>
              </w:rPr>
              <w:t>n</w:t>
            </w:r>
            <w:r>
              <w:rPr>
                <w:rFonts w:ascii="宋体" w:hAnsi="宋体" w:eastAsia="宋体" w:cs="宋体"/>
                <w:spacing w:val="-2"/>
              </w:rPr>
              <w:t>数</w:t>
            </w:r>
          </w:p>
        </w:tc>
        <w:tc>
          <w:tcPr>
            <w:tcW w:w="3196" w:type="dxa"/>
            <w:tcBorders>
              <w:top w:val="single" w:color="000000" w:sz="4" w:space="0"/>
            </w:tcBorders>
            <w:vAlign w:val="top"/>
          </w:tcPr>
          <w:p w14:paraId="36F9F6FA">
            <w:pPr>
              <w:pStyle w:val="11"/>
              <w:spacing w:before="104" w:line="217" w:lineRule="auto"/>
              <w:ind w:left="1120"/>
            </w:pPr>
            <w:r>
              <w:rPr>
                <w:rFonts w:ascii="宋体" w:hAnsi="宋体" w:eastAsia="宋体" w:cs="宋体"/>
                <w:spacing w:val="-4"/>
              </w:rPr>
              <w:t>个，</w:t>
            </w:r>
            <w:r>
              <w:rPr>
                <w:spacing w:val="-4"/>
              </w:rPr>
              <w:t>Token</w:t>
            </w:r>
          </w:p>
        </w:tc>
      </w:tr>
      <w:tr w14:paraId="12A4B9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871" w:type="dxa"/>
            <w:vAlign w:val="top"/>
          </w:tcPr>
          <w:p w14:paraId="706523F8">
            <w:pPr>
              <w:pStyle w:val="11"/>
              <w:spacing w:before="103" w:line="184" w:lineRule="auto"/>
              <w:ind w:left="18"/>
              <w:rPr>
                <w:sz w:val="15"/>
                <w:szCs w:val="15"/>
              </w:rPr>
            </w:pPr>
            <w:r>
              <w:rPr>
                <w:i/>
                <w:iCs/>
                <w:spacing w:val="15"/>
                <w:position w:val="1"/>
              </w:rPr>
              <w:t>N</w:t>
            </w:r>
            <w:r>
              <w:rPr>
                <w:i/>
                <w:iCs/>
                <w:spacing w:val="15"/>
                <w:position w:val="-2"/>
                <w:sz w:val="15"/>
                <w:szCs w:val="15"/>
              </w:rPr>
              <w:t xml:space="preserve">B </w:t>
            </w:r>
            <w:r>
              <w:rPr>
                <w:rFonts w:ascii="宋体" w:hAnsi="宋体" w:eastAsia="宋体" w:cs="宋体"/>
                <w:spacing w:val="15"/>
                <w:position w:val="1"/>
              </w:rPr>
              <w:t>，</w:t>
            </w:r>
            <w:r>
              <w:rPr>
                <w:i/>
                <w:iCs/>
                <w:spacing w:val="15"/>
                <w:position w:val="1"/>
              </w:rPr>
              <w:t>D</w:t>
            </w:r>
            <w:r>
              <w:rPr>
                <w:i/>
                <w:iCs/>
                <w:spacing w:val="15"/>
                <w:position w:val="-2"/>
                <w:sz w:val="15"/>
                <w:szCs w:val="15"/>
              </w:rPr>
              <w:t>B</w:t>
            </w:r>
          </w:p>
        </w:tc>
        <w:tc>
          <w:tcPr>
            <w:tcW w:w="4136" w:type="dxa"/>
            <w:vAlign w:val="top"/>
          </w:tcPr>
          <w:p w14:paraId="0DBF401A">
            <w:pPr>
              <w:pStyle w:val="11"/>
              <w:spacing w:before="60" w:line="221" w:lineRule="auto"/>
              <w:ind w:left="94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2"/>
              </w:rPr>
              <w:t>分别等于</w:t>
            </w:r>
            <w:r>
              <w:rPr>
                <w:i/>
                <w:iCs/>
                <w:spacing w:val="2"/>
              </w:rPr>
              <w:t>N</w:t>
            </w:r>
            <w:r>
              <w:rPr>
                <w:spacing w:val="2"/>
              </w:rPr>
              <w:t>/10</w:t>
            </w:r>
            <w:r>
              <w:rPr>
                <w:spacing w:val="2"/>
                <w:position w:val="8"/>
                <w:sz w:val="15"/>
                <w:szCs w:val="15"/>
              </w:rPr>
              <w:t xml:space="preserve">9 </w:t>
            </w:r>
            <w:r>
              <w:rPr>
                <w:rFonts w:ascii="宋体" w:hAnsi="宋体" w:eastAsia="宋体" w:cs="宋体"/>
                <w:spacing w:val="2"/>
              </w:rPr>
              <w:t>，</w:t>
            </w:r>
            <w:r>
              <w:rPr>
                <w:i/>
                <w:iCs/>
                <w:spacing w:val="2"/>
              </w:rPr>
              <w:t>D</w:t>
            </w:r>
            <w:r>
              <w:rPr>
                <w:spacing w:val="2"/>
              </w:rPr>
              <w:t>/10</w:t>
            </w:r>
            <w:r>
              <w:rPr>
                <w:spacing w:val="2"/>
                <w:position w:val="8"/>
                <w:sz w:val="15"/>
                <w:szCs w:val="15"/>
              </w:rPr>
              <w:t>9</w:t>
            </w:r>
          </w:p>
        </w:tc>
        <w:tc>
          <w:tcPr>
            <w:tcW w:w="3196" w:type="dxa"/>
            <w:vAlign w:val="top"/>
          </w:tcPr>
          <w:p w14:paraId="59B502F8">
            <w:pPr>
              <w:spacing w:before="60" w:line="221" w:lineRule="auto"/>
              <w:ind w:left="1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十亿</w:t>
            </w:r>
          </w:p>
        </w:tc>
      </w:tr>
      <w:tr w14:paraId="764804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871" w:type="dxa"/>
            <w:vAlign w:val="top"/>
          </w:tcPr>
          <w:p w14:paraId="09AC3EFC">
            <w:pPr>
              <w:pStyle w:val="11"/>
              <w:spacing w:before="81" w:line="209" w:lineRule="auto"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4136" w:type="dxa"/>
            <w:vAlign w:val="top"/>
          </w:tcPr>
          <w:p w14:paraId="78148D15">
            <w:pPr>
              <w:pStyle w:val="11"/>
              <w:spacing w:before="55" w:line="220" w:lineRule="auto"/>
              <w:ind w:left="110"/>
              <w:rPr>
                <w:rFonts w:ascii="宋体" w:hAnsi="宋体" w:eastAsia="宋体" w:cs="宋体"/>
              </w:rPr>
            </w:pPr>
            <w:r>
              <w:rPr>
                <w:spacing w:val="-3"/>
              </w:rPr>
              <w:t>17</w:t>
            </w:r>
            <w:r>
              <w:rPr>
                <w:rFonts w:ascii="宋体" w:hAnsi="宋体" w:eastAsia="宋体" w:cs="宋体"/>
                <w:spacing w:val="-3"/>
              </w:rPr>
              <w:t>维训练领域配比</w:t>
            </w:r>
          </w:p>
        </w:tc>
        <w:tc>
          <w:tcPr>
            <w:tcW w:w="3196" w:type="dxa"/>
            <w:vAlign w:val="top"/>
          </w:tcPr>
          <w:p w14:paraId="345AA835">
            <w:pPr>
              <w:pStyle w:val="11"/>
              <w:spacing w:before="81" w:line="157" w:lineRule="auto"/>
              <w:ind w:left="1103"/>
            </w:pPr>
            <w:r>
              <w:rPr>
                <w:i/>
                <w:iCs/>
                <w:position w:val="-2"/>
              </w:rPr>
              <w:t>p</w:t>
            </w:r>
            <w:r>
              <w:rPr>
                <w:i/>
                <w:iCs/>
                <w:position w:val="-5"/>
                <w:sz w:val="15"/>
                <w:szCs w:val="15"/>
              </w:rPr>
              <w:t>i</w:t>
            </w:r>
            <w:r>
              <w:rPr>
                <w:i/>
                <w:iCs/>
                <w:spacing w:val="-5"/>
                <w:position w:val="-5"/>
                <w:sz w:val="15"/>
                <w:szCs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spacing w:val="19"/>
                <w:position w:val="-2"/>
              </w:rPr>
              <w:t>≥</w:t>
            </w:r>
            <w:r>
              <w:rPr>
                <w:spacing w:val="19"/>
                <w:position w:val="-2"/>
              </w:rPr>
              <w:t>0</w:t>
            </w:r>
            <w:r>
              <w:rPr>
                <w:spacing w:val="-31"/>
                <w:position w:val="-2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position w:val="-2"/>
              </w:rPr>
              <w:t>，</w:t>
            </w:r>
            <w:r>
              <w:rPr>
                <w:spacing w:val="19"/>
                <w:position w:val="6"/>
              </w:rPr>
              <w:t>Σ</w:t>
            </w:r>
            <w:r>
              <w:rPr>
                <w:i/>
                <w:iCs/>
                <w:position w:val="6"/>
              </w:rPr>
              <w:t>p</w:t>
            </w:r>
            <w:r>
              <w:rPr>
                <w:i/>
                <w:iCs/>
                <w:position w:val="-5"/>
                <w:sz w:val="15"/>
                <w:szCs w:val="15"/>
              </w:rPr>
              <w:t>i</w:t>
            </w:r>
            <w:r>
              <w:rPr>
                <w:spacing w:val="19"/>
                <w:position w:val="-2"/>
              </w:rPr>
              <w:t>=1</w:t>
            </w:r>
          </w:p>
        </w:tc>
      </w:tr>
      <w:tr w14:paraId="451330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71" w:type="dxa"/>
            <w:vAlign w:val="top"/>
          </w:tcPr>
          <w:p w14:paraId="01DA318F">
            <w:pPr>
              <w:pStyle w:val="11"/>
              <w:spacing w:before="71" w:line="203" w:lineRule="auto"/>
              <w:ind w:left="18"/>
              <w:rPr>
                <w:sz w:val="15"/>
                <w:szCs w:val="15"/>
              </w:rPr>
            </w:pPr>
            <w:r>
              <w:rPr>
                <w:i/>
                <w:iCs/>
                <w:spacing w:val="-2"/>
              </w:rPr>
              <w:t>Q</w:t>
            </w:r>
            <w:r>
              <w:rPr>
                <w:rFonts w:ascii="宋体" w:hAnsi="宋体" w:eastAsia="宋体" w:cs="宋体"/>
                <w:spacing w:val="-2"/>
              </w:rPr>
              <w:t>，</w:t>
            </w:r>
            <w:r>
              <w:rPr>
                <w:i/>
                <w:iCs/>
                <w:spacing w:val="-2"/>
              </w:rPr>
              <w:t>Q</w:t>
            </w:r>
            <w:r>
              <w:rPr>
                <w:spacing w:val="-2"/>
                <w:position w:val="-2"/>
                <w:sz w:val="15"/>
                <w:szCs w:val="15"/>
              </w:rPr>
              <w:t>0</w:t>
            </w:r>
          </w:p>
        </w:tc>
        <w:tc>
          <w:tcPr>
            <w:tcW w:w="4136" w:type="dxa"/>
            <w:vAlign w:val="top"/>
          </w:tcPr>
          <w:p w14:paraId="16AD1A47">
            <w:pPr>
              <w:spacing w:before="45" w:line="220" w:lineRule="auto"/>
              <w:ind w:left="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质量分，基线质量</w:t>
            </w:r>
          </w:p>
        </w:tc>
        <w:tc>
          <w:tcPr>
            <w:tcW w:w="3196" w:type="dxa"/>
            <w:vAlign w:val="top"/>
          </w:tcPr>
          <w:p w14:paraId="3FD440C6">
            <w:pPr>
              <w:pStyle w:val="11"/>
              <w:spacing w:before="71" w:line="263" w:lineRule="exact"/>
              <w:ind w:left="1122"/>
            </w:pPr>
            <w:r>
              <w:rPr>
                <w:i/>
                <w:iCs/>
                <w:spacing w:val="3"/>
                <w:position w:val="2"/>
              </w:rPr>
              <w:t>Q</w:t>
            </w:r>
            <w:r>
              <w:rPr>
                <w:spacing w:val="3"/>
                <w:position w:val="-1"/>
                <w:sz w:val="15"/>
                <w:szCs w:val="15"/>
              </w:rPr>
              <w:t>0</w:t>
            </w:r>
            <w:r>
              <w:rPr>
                <w:spacing w:val="-6"/>
                <w:position w:val="-1"/>
                <w:sz w:val="15"/>
                <w:szCs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spacing w:val="3"/>
                <w:position w:val="2"/>
              </w:rPr>
              <w:t>≤</w:t>
            </w:r>
            <w:r>
              <w:rPr>
                <w:i/>
                <w:iCs/>
                <w:spacing w:val="3"/>
                <w:position w:val="2"/>
              </w:rPr>
              <w:t>Q</w:t>
            </w:r>
            <w:r>
              <w:rPr>
                <w:rFonts w:ascii="微软雅黑" w:hAnsi="微软雅黑" w:eastAsia="微软雅黑" w:cs="微软雅黑"/>
                <w:i/>
                <w:iCs/>
                <w:spacing w:val="3"/>
                <w:position w:val="2"/>
              </w:rPr>
              <w:t>≤</w:t>
            </w:r>
            <w:r>
              <w:rPr>
                <w:spacing w:val="3"/>
                <w:position w:val="2"/>
              </w:rPr>
              <w:t>1</w:t>
            </w:r>
          </w:p>
        </w:tc>
      </w:tr>
      <w:tr w14:paraId="256C31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871" w:type="dxa"/>
            <w:vAlign w:val="top"/>
          </w:tcPr>
          <w:p w14:paraId="79FD5102">
            <w:pPr>
              <w:rPr>
                <w:rFonts w:ascii="Arial"/>
                <w:sz w:val="21"/>
              </w:rPr>
            </w:pPr>
          </w:p>
        </w:tc>
        <w:tc>
          <w:tcPr>
            <w:tcW w:w="4136" w:type="dxa"/>
            <w:vAlign w:val="top"/>
          </w:tcPr>
          <w:p w14:paraId="1A429679">
            <w:pPr>
              <w:spacing w:before="51" w:line="242" w:lineRule="auto"/>
              <w:ind w:left="97" w:right="1173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验证交叉熵，配方回归预测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总算力预算，上下文窗口</w:t>
            </w:r>
          </w:p>
        </w:tc>
        <w:tc>
          <w:tcPr>
            <w:tcW w:w="3196" w:type="dxa"/>
            <w:vAlign w:val="top"/>
          </w:tcPr>
          <w:p w14:paraId="511D0AB5">
            <w:pPr>
              <w:pStyle w:val="11"/>
              <w:spacing w:before="97" w:line="185" w:lineRule="auto"/>
              <w:ind w:left="1115"/>
            </w:pPr>
            <w:r>
              <w:rPr>
                <w:spacing w:val="-1"/>
              </w:rPr>
              <w:t>Loss</w:t>
            </w:r>
          </w:p>
          <w:p w14:paraId="225719ED">
            <w:pPr>
              <w:pStyle w:val="11"/>
              <w:spacing w:before="132" w:line="183" w:lineRule="auto"/>
              <w:ind w:left="1114"/>
            </w:pPr>
            <w:r>
              <w:rPr>
                <w:spacing w:val="-5"/>
              </w:rPr>
              <w:t>FLOPs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</w:rPr>
              <w:t>，</w:t>
            </w:r>
            <w:r>
              <w:rPr>
                <w:spacing w:val="-5"/>
              </w:rPr>
              <w:t>Token</w:t>
            </w:r>
          </w:p>
        </w:tc>
      </w:tr>
      <w:tr w14:paraId="35ED29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871" w:type="dxa"/>
            <w:vAlign w:val="top"/>
          </w:tcPr>
          <w:p w14:paraId="5793A327">
            <w:pPr>
              <w:pStyle w:val="11"/>
              <w:spacing w:before="92" w:line="199" w:lineRule="auto"/>
              <w:ind w:left="18"/>
            </w:pPr>
            <w:r>
              <w:pict>
                <v:shape id="_x0000_s1026" o:spid="_x0000_s1026" o:spt="202" type="#_x0000_t202" style="position:absolute;left:0pt;margin-left:-0.05pt;margin-top:-31.6pt;height:46.55pt;width:46.75pt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53E216">
                        <w:pPr>
                          <w:pStyle w:val="11"/>
                          <w:spacing w:before="20" w:line="890" w:lineRule="exact"/>
                          <w:ind w:left="20"/>
                        </w:pPr>
                        <w:r>
                          <w:fldChar w:fldCharType="begin"/>
                        </w:r>
                        <w:r>
                          <w:instrText xml:space="preserve">EQ \* jc3 \* hps24 \o\al(\s\up 1(</w:instrText>
                        </w:r>
                        <w:r>
                          <w:rPr>
                            <w:i/>
                            <w:iCs/>
                            <w:w w:val="111"/>
                            <w:position w:val="47"/>
                          </w:rPr>
                          <w:instrText xml:space="preserve">L</w:instrText>
                        </w:r>
                        <w:r>
                          <w:instrText xml:space="preserve">),</w:instrText>
                        </w:r>
                        <w:r>
                          <w:rPr>
                            <w:i/>
                            <w:iCs/>
                            <w:w w:val="105"/>
                            <w:position w:val="15"/>
                          </w:rPr>
                          <w:instrText xml:space="preserve">C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rFonts w:ascii="宋体" w:hAnsi="宋体" w:eastAsia="宋体" w:cs="宋体"/>
                            <w:spacing w:val="-36"/>
                            <w:w w:val="62"/>
                            <w:position w:val="49"/>
                          </w:rPr>
                          <w:t>，</w:t>
                        </w:r>
                        <w:r>
                          <w:rPr>
                            <w:rFonts w:ascii="宋体" w:hAnsi="宋体" w:eastAsia="宋体" w:cs="宋体"/>
                            <w:spacing w:val="-36"/>
                            <w:w w:val="62"/>
                            <w:position w:val="15"/>
                          </w:rPr>
                          <w:t>，</w:t>
                        </w: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125730" cy="565150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339" cy="5652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6"/>
                            <w:position w:val="49"/>
                          </w:rPr>
                          <w:t>(</w:t>
                        </w:r>
                        <w:r>
                          <w:rPr>
                            <w:i/>
                            <w:iCs/>
                            <w:spacing w:val="6"/>
                            <w:position w:val="49"/>
                          </w:rPr>
                          <w:t>p</w:t>
                        </w:r>
                        <w:r>
                          <w:rPr>
                            <w:spacing w:val="6"/>
                            <w:position w:val="49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i/>
                <w:iCs/>
                <w:spacing w:val="-8"/>
              </w:rPr>
              <w:t>E</w:t>
            </w:r>
            <w:r>
              <w:rPr>
                <w:i/>
                <w:iCs/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</w:rPr>
              <w:t>，</w:t>
            </w:r>
            <w:r>
              <w:rPr>
                <w:i/>
                <w:iCs/>
                <w:spacing w:val="-8"/>
              </w:rPr>
              <w:t>A</w:t>
            </w:r>
            <w:r>
              <w:rPr>
                <w:i/>
                <w:iCs/>
                <w:spacing w:val="-31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</w:rPr>
              <w:t>，</w:t>
            </w:r>
            <w:r>
              <w:rPr>
                <w:i/>
                <w:iCs/>
                <w:spacing w:val="-8"/>
              </w:rPr>
              <w:t>B</w:t>
            </w:r>
            <w:r>
              <w:rPr>
                <w:i/>
                <w:iCs/>
                <w:spacing w:val="-19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</w:rPr>
              <w:t>，</w:t>
            </w:r>
            <w:r>
              <w:rPr>
                <w:i/>
                <w:iCs/>
                <w:spacing w:val="-8"/>
              </w:rPr>
              <w:t>α</w:t>
            </w:r>
            <w:r>
              <w:rPr>
                <w:i/>
                <w:iCs/>
                <w:spacing w:val="-30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</w:rPr>
              <w:t>,</w:t>
            </w:r>
            <w:r>
              <w:rPr>
                <w:rFonts w:ascii="宋体" w:hAnsi="宋体" w:eastAsia="宋体" w:cs="宋体"/>
                <w:spacing w:val="54"/>
              </w:rPr>
              <w:t xml:space="preserve"> </w:t>
            </w:r>
            <w:r>
              <w:rPr>
                <w:i/>
                <w:iCs/>
                <w:spacing w:val="-8"/>
              </w:rPr>
              <w:t>β</w:t>
            </w:r>
          </w:p>
        </w:tc>
        <w:tc>
          <w:tcPr>
            <w:tcW w:w="4136" w:type="dxa"/>
            <w:vAlign w:val="top"/>
          </w:tcPr>
          <w:p w14:paraId="01D9A18A">
            <w:pPr>
              <w:spacing w:before="65" w:line="220" w:lineRule="auto"/>
              <w:ind w:left="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经典标度律参数</w:t>
            </w:r>
          </w:p>
        </w:tc>
        <w:tc>
          <w:tcPr>
            <w:tcW w:w="3196" w:type="dxa"/>
            <w:vAlign w:val="top"/>
          </w:tcPr>
          <w:p w14:paraId="00CF1AF6">
            <w:pPr>
              <w:spacing w:before="66" w:line="219" w:lineRule="auto"/>
              <w:ind w:left="1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按十亿单位拟合</w:t>
            </w:r>
          </w:p>
        </w:tc>
      </w:tr>
      <w:tr w14:paraId="2F712B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871" w:type="dxa"/>
            <w:vAlign w:val="top"/>
          </w:tcPr>
          <w:p w14:paraId="7084CAEA">
            <w:pPr>
              <w:pStyle w:val="11"/>
              <w:spacing w:before="83" w:line="194" w:lineRule="auto"/>
              <w:ind w:left="20"/>
              <w:rPr>
                <w:sz w:val="15"/>
                <w:szCs w:val="15"/>
              </w:rPr>
            </w:pPr>
            <w:r>
              <w:rPr>
                <w:i/>
                <w:iCs/>
                <w:spacing w:val="-2"/>
                <w:w w:val="80"/>
              </w:rPr>
              <w:t>κ</w:t>
            </w:r>
            <w:r>
              <w:rPr>
                <w:rFonts w:ascii="宋体" w:hAnsi="宋体" w:eastAsia="宋体" w:cs="宋体"/>
                <w:spacing w:val="-2"/>
                <w:w w:val="80"/>
              </w:rPr>
              <w:t>,</w:t>
            </w:r>
            <w:r>
              <w:rPr>
                <w:i/>
                <w:iCs/>
                <w:spacing w:val="-2"/>
                <w:w w:val="80"/>
              </w:rPr>
              <w:t>k</w:t>
            </w:r>
            <w:r>
              <w:rPr>
                <w:i/>
                <w:iCs/>
                <w:position w:val="-3"/>
                <w:sz w:val="15"/>
                <w:szCs w:val="15"/>
              </w:rPr>
              <w:t>N</w:t>
            </w:r>
            <w:r>
              <w:rPr>
                <w:i/>
                <w:iCs/>
                <w:spacing w:val="35"/>
                <w:position w:val="-3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35"/>
              </w:rPr>
              <w:t>，</w:t>
            </w:r>
            <w:r>
              <w:rPr>
                <w:i/>
                <w:iCs/>
              </w:rPr>
              <w:t>k</w:t>
            </w:r>
            <w:r>
              <w:rPr>
                <w:i/>
                <w:iCs/>
                <w:position w:val="-3"/>
                <w:sz w:val="15"/>
                <w:szCs w:val="15"/>
              </w:rPr>
              <w:t>D</w:t>
            </w:r>
          </w:p>
        </w:tc>
        <w:tc>
          <w:tcPr>
            <w:tcW w:w="4136" w:type="dxa"/>
            <w:vAlign w:val="top"/>
          </w:tcPr>
          <w:p w14:paraId="5D4691AB">
            <w:pPr>
              <w:spacing w:before="57" w:line="214" w:lineRule="auto"/>
              <w:ind w:left="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质量响应指数及修正系数</w:t>
            </w:r>
          </w:p>
        </w:tc>
        <w:tc>
          <w:tcPr>
            <w:tcW w:w="3196" w:type="dxa"/>
            <w:vAlign w:val="top"/>
          </w:tcPr>
          <w:p w14:paraId="03F43A34">
            <w:pPr>
              <w:spacing w:before="57" w:line="214" w:lineRule="auto"/>
              <w:ind w:left="1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无量纲</w:t>
            </w:r>
          </w:p>
        </w:tc>
      </w:tr>
      <w:tr w14:paraId="0691F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871" w:type="dxa"/>
            <w:vAlign w:val="top"/>
          </w:tcPr>
          <w:p w14:paraId="41ED2C5E">
            <w:pPr>
              <w:pStyle w:val="11"/>
              <w:spacing w:before="90" w:line="216" w:lineRule="auto"/>
              <w:ind w:left="13"/>
              <w:rPr>
                <w:sz w:val="15"/>
                <w:szCs w:val="15"/>
              </w:rPr>
            </w:pPr>
            <w:r>
              <w:rPr>
                <w:i/>
                <w:iCs/>
                <w:spacing w:val="2"/>
                <w:position w:val="1"/>
              </w:rPr>
              <w:t>η</w:t>
            </w:r>
            <w:r>
              <w:rPr>
                <w:i/>
                <w:iCs/>
                <w:spacing w:val="2"/>
                <w:position w:val="-2"/>
                <w:sz w:val="15"/>
                <w:szCs w:val="15"/>
              </w:rPr>
              <w:t>a</w:t>
            </w:r>
          </w:p>
        </w:tc>
        <w:tc>
          <w:tcPr>
            <w:tcW w:w="4136" w:type="dxa"/>
            <w:vAlign w:val="top"/>
          </w:tcPr>
          <w:p w14:paraId="19469458">
            <w:pPr>
              <w:spacing w:before="63" w:line="21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注意力成本系数</w:t>
            </w:r>
          </w:p>
        </w:tc>
        <w:tc>
          <w:tcPr>
            <w:tcW w:w="3196" w:type="dxa"/>
            <w:vAlign w:val="top"/>
          </w:tcPr>
          <w:p w14:paraId="02A656AD">
            <w:pPr>
              <w:pStyle w:val="11"/>
              <w:spacing w:before="62" w:line="167" w:lineRule="auto"/>
              <w:ind w:left="1115"/>
              <w:rPr>
                <w:sz w:val="15"/>
                <w:szCs w:val="15"/>
              </w:rPr>
            </w:pPr>
            <w:r>
              <w:rPr>
                <w:spacing w:val="1"/>
              </w:rPr>
              <w:t>2</w:t>
            </w:r>
            <w:r>
              <w:rPr>
                <w:rFonts w:ascii="微软雅黑" w:hAnsi="微软雅黑" w:eastAsia="微软雅黑" w:cs="微软雅黑"/>
                <w:i/>
                <w:iCs/>
                <w:spacing w:val="1"/>
              </w:rPr>
              <w:t>×</w:t>
            </w:r>
            <w:r>
              <w:rPr>
                <w:spacing w:val="1"/>
              </w:rPr>
              <w:t>10</w:t>
            </w:r>
            <w:r>
              <w:rPr>
                <w:i/>
                <w:iCs/>
                <w:spacing w:val="1"/>
                <w:position w:val="7"/>
                <w:sz w:val="15"/>
                <w:szCs w:val="15"/>
              </w:rPr>
              <w:t>—</w:t>
            </w:r>
            <w:r>
              <w:rPr>
                <w:spacing w:val="1"/>
                <w:position w:val="7"/>
                <w:sz w:val="15"/>
                <w:szCs w:val="15"/>
              </w:rPr>
              <w:t>4</w:t>
            </w:r>
          </w:p>
        </w:tc>
      </w:tr>
      <w:tr w14:paraId="3026D7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71" w:type="dxa"/>
            <w:vAlign w:val="top"/>
          </w:tcPr>
          <w:p w14:paraId="576835B4">
            <w:pPr>
              <w:pStyle w:val="11"/>
              <w:spacing w:before="83" w:line="199" w:lineRule="auto"/>
              <w:ind w:left="18"/>
            </w:pPr>
            <w:r>
              <w:rPr>
                <w:i/>
                <w:iCs/>
                <w:spacing w:val="1"/>
              </w:rPr>
              <w:t>ϕ</w:t>
            </w:r>
            <w:r>
              <w:rPr>
                <w:spacing w:val="1"/>
              </w:rPr>
              <w:t>(</w:t>
            </w:r>
            <w:r>
              <w:rPr>
                <w:i/>
                <w:iCs/>
                <w:spacing w:val="1"/>
              </w:rPr>
              <w:t>p</w:t>
            </w:r>
            <w:r>
              <w:rPr>
                <w:spacing w:val="1"/>
              </w:rPr>
              <w:t>)</w:t>
            </w:r>
            <w:r>
              <w:rPr>
                <w:rFonts w:ascii="宋体" w:hAnsi="宋体" w:eastAsia="宋体" w:cs="宋体"/>
                <w:spacing w:val="1"/>
              </w:rPr>
              <w:t>，</w:t>
            </w:r>
            <w:r>
              <w:rPr>
                <w:i/>
                <w:iCs/>
                <w:spacing w:val="1"/>
              </w:rPr>
              <w:t>τ</w:t>
            </w:r>
          </w:p>
        </w:tc>
        <w:tc>
          <w:tcPr>
            <w:tcW w:w="4136" w:type="dxa"/>
            <w:vAlign w:val="top"/>
          </w:tcPr>
          <w:p w14:paraId="704482E8">
            <w:pPr>
              <w:spacing w:before="57" w:line="21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相对配比调制，迁移强度</w:t>
            </w:r>
          </w:p>
        </w:tc>
        <w:tc>
          <w:tcPr>
            <w:tcW w:w="3196" w:type="dxa"/>
            <w:vAlign w:val="top"/>
          </w:tcPr>
          <w:p w14:paraId="3F46F3F6">
            <w:pPr>
              <w:pStyle w:val="11"/>
              <w:spacing w:before="83" w:line="209" w:lineRule="auto"/>
              <w:ind w:left="1121"/>
            </w:pPr>
            <w:r>
              <w:rPr>
                <w:i/>
                <w:iCs/>
                <w:spacing w:val="1"/>
              </w:rPr>
              <w:t>ϕ</w:t>
            </w:r>
            <w:r>
              <w:rPr>
                <w:spacing w:val="1"/>
              </w:rPr>
              <w:t>&gt;0</w:t>
            </w:r>
          </w:p>
        </w:tc>
      </w:tr>
      <w:tr w14:paraId="583BD1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71" w:type="dxa"/>
            <w:vAlign w:val="top"/>
          </w:tcPr>
          <w:p w14:paraId="50541F4F">
            <w:pPr>
              <w:pStyle w:val="11"/>
              <w:spacing w:before="99" w:line="181" w:lineRule="auto"/>
              <w:ind w:left="18"/>
            </w:pPr>
            <w:r>
              <w:rPr>
                <w:i/>
                <w:iCs/>
                <w:spacing w:val="5"/>
                <w:position w:val="1"/>
              </w:rPr>
              <w:t>L</w:t>
            </w:r>
            <w:r>
              <w:rPr>
                <w:spacing w:val="5"/>
                <w:position w:val="-2"/>
                <w:sz w:val="15"/>
                <w:szCs w:val="15"/>
              </w:rPr>
              <w:t>0</w:t>
            </w:r>
            <w:r>
              <w:rPr>
                <w:rFonts w:ascii="宋体" w:hAnsi="宋体" w:eastAsia="宋体" w:cs="宋体"/>
                <w:spacing w:val="5"/>
                <w:position w:val="1"/>
              </w:rPr>
              <w:t>，</w:t>
            </w:r>
            <w:r>
              <w:rPr>
                <w:i/>
                <w:iCs/>
                <w:spacing w:val="5"/>
                <w:position w:val="1"/>
              </w:rPr>
              <w:t>R</w:t>
            </w:r>
          </w:p>
        </w:tc>
        <w:tc>
          <w:tcPr>
            <w:tcW w:w="4136" w:type="dxa"/>
            <w:vAlign w:val="top"/>
          </w:tcPr>
          <w:p w14:paraId="0B518346">
            <w:pPr>
              <w:pStyle w:val="11"/>
              <w:spacing w:before="58" w:line="213" w:lineRule="auto"/>
              <w:ind w:left="9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名义</w:t>
            </w:r>
            <w:r>
              <w:rPr>
                <w:spacing w:val="-2"/>
              </w:rPr>
              <w:t>Loss</w:t>
            </w:r>
            <w:r>
              <w:rPr>
                <w:rFonts w:ascii="宋体" w:hAnsi="宋体" w:eastAsia="宋体" w:cs="宋体"/>
                <w:spacing w:val="-2"/>
              </w:rPr>
              <w:t>，最大情景后悔值</w:t>
            </w:r>
          </w:p>
        </w:tc>
        <w:tc>
          <w:tcPr>
            <w:tcW w:w="3196" w:type="dxa"/>
            <w:vAlign w:val="top"/>
          </w:tcPr>
          <w:p w14:paraId="1FCF7F57">
            <w:pPr>
              <w:pStyle w:val="11"/>
              <w:spacing w:before="103" w:line="185" w:lineRule="auto"/>
              <w:ind w:left="1115"/>
            </w:pPr>
            <w:r>
              <w:rPr>
                <w:spacing w:val="-1"/>
              </w:rPr>
              <w:t>Loss</w:t>
            </w:r>
          </w:p>
        </w:tc>
      </w:tr>
      <w:tr w14:paraId="3EF243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871" w:type="dxa"/>
            <w:tcBorders>
              <w:bottom w:val="single" w:color="000000" w:sz="6" w:space="0"/>
            </w:tcBorders>
            <w:vAlign w:val="top"/>
          </w:tcPr>
          <w:p w14:paraId="0C57F343">
            <w:pPr>
              <w:pStyle w:val="11"/>
              <w:spacing w:before="91" w:line="211" w:lineRule="auto"/>
              <w:ind w:left="19"/>
              <w:rPr>
                <w:sz w:val="15"/>
                <w:szCs w:val="15"/>
              </w:rPr>
            </w:pPr>
            <w:r>
              <w:rPr>
                <w:i/>
                <w:iCs/>
                <w:position w:val="1"/>
              </w:rPr>
              <w:t>S</w:t>
            </w:r>
            <w:r>
              <w:rPr>
                <w:rFonts w:ascii="宋体" w:hAnsi="宋体" w:eastAsia="宋体" w:cs="宋体"/>
                <w:position w:val="1"/>
              </w:rPr>
              <w:t>，</w:t>
            </w:r>
            <w:r>
              <w:rPr>
                <w:i/>
                <w:iCs/>
                <w:position w:val="1"/>
              </w:rPr>
              <w:t>q</w:t>
            </w:r>
            <w:r>
              <w:rPr>
                <w:position w:val="-2"/>
                <w:sz w:val="15"/>
                <w:szCs w:val="15"/>
              </w:rPr>
              <w:t>0</w:t>
            </w:r>
            <w:r>
              <w:rPr>
                <w:i/>
                <w:iCs/>
                <w:position w:val="-2"/>
                <w:sz w:val="15"/>
                <w:szCs w:val="15"/>
              </w:rPr>
              <w:t>.</w:t>
            </w:r>
            <w:r>
              <w:rPr>
                <w:position w:val="-2"/>
                <w:sz w:val="15"/>
                <w:szCs w:val="15"/>
              </w:rPr>
              <w:t>9</w:t>
            </w:r>
          </w:p>
        </w:tc>
        <w:tc>
          <w:tcPr>
            <w:tcW w:w="4136" w:type="dxa"/>
            <w:tcBorders>
              <w:bottom w:val="single" w:color="000000" w:sz="6" w:space="0"/>
            </w:tcBorders>
            <w:vAlign w:val="top"/>
          </w:tcPr>
          <w:p w14:paraId="2A569B31">
            <w:pPr>
              <w:pStyle w:val="11"/>
              <w:spacing w:before="64" w:line="220" w:lineRule="auto"/>
              <w:ind w:left="9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综合能力分，条件</w:t>
            </w:r>
            <w:r>
              <w:rPr>
                <w:spacing w:val="-2"/>
              </w:rPr>
              <w:t>90%</w:t>
            </w:r>
            <w:r>
              <w:rPr>
                <w:rFonts w:ascii="宋体" w:hAnsi="宋体" w:eastAsia="宋体" w:cs="宋体"/>
                <w:spacing w:val="-2"/>
              </w:rPr>
              <w:t>分位</w:t>
            </w:r>
          </w:p>
        </w:tc>
        <w:tc>
          <w:tcPr>
            <w:tcW w:w="3196" w:type="dxa"/>
            <w:tcBorders>
              <w:bottom w:val="single" w:color="000000" w:sz="6" w:space="0"/>
            </w:tcBorders>
            <w:vAlign w:val="top"/>
          </w:tcPr>
          <w:p w14:paraId="1AE93253">
            <w:pPr>
              <w:pStyle w:val="11"/>
              <w:spacing w:before="65" w:line="220" w:lineRule="auto"/>
              <w:ind w:left="1119"/>
              <w:rPr>
                <w:rFonts w:ascii="宋体" w:hAnsi="宋体" w:eastAsia="宋体" w:cs="宋体"/>
              </w:rPr>
            </w:pPr>
            <w:r>
              <w:rPr>
                <w:spacing w:val="-2"/>
              </w:rPr>
              <w:t>0—100</w:t>
            </w:r>
            <w:r>
              <w:rPr>
                <w:rFonts w:ascii="宋体" w:hAnsi="宋体" w:eastAsia="宋体" w:cs="宋体"/>
                <w:spacing w:val="-2"/>
              </w:rPr>
              <w:t>分</w:t>
            </w:r>
          </w:p>
        </w:tc>
      </w:tr>
    </w:tbl>
    <w:p w14:paraId="25FF2D76">
      <w:pPr>
        <w:spacing w:line="250" w:lineRule="auto"/>
        <w:rPr>
          <w:rFonts w:ascii="Arial"/>
          <w:sz w:val="21"/>
        </w:rPr>
      </w:pPr>
    </w:p>
    <w:p w14:paraId="1FB34933">
      <w:pPr>
        <w:pStyle w:val="3"/>
        <w:spacing w:before="1" w:line="241" w:lineRule="auto"/>
        <w:ind w:left="7" w:right="119" w:firstLine="505"/>
        <w:jc w:val="both"/>
      </w:pPr>
      <w:r>
        <w:rPr>
          <w:rFonts w:hint="eastAsia"/>
          <w:spacing w:val="1"/>
        </w:rPr>
        <w:t>预算计算须将十亿单位恢复为</w:t>
      </w:r>
      <w:r>
        <w:rPr>
          <w:rFonts w:hint="eastAsia"/>
          <w:spacing w:val="1"/>
          <w:lang w:val="en-US" w:eastAsia="zh-CN"/>
        </w:rPr>
        <w:t>N=</w:t>
      </w:r>
      <m:oMath>
        <m:sSub>
          <m:sSubP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ub>
        </m:sSub>
      </m:oMath>
      <w:r>
        <w:rPr>
          <w:rFonts w:hint="eastAsia" w:hAnsi="Cambria Math"/>
          <w:i w:val="0"/>
          <w:spacing w:val="1"/>
          <w:lang w:val="en-US" w:eastAsia="zh-CN"/>
        </w:rPr>
        <w:t>×</w:t>
      </w:r>
      <m:oMath>
        <m:sSup>
          <m:sSupP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10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9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up>
        </m:sSup>
      </m:oMath>
      <w:r>
        <w:rPr>
          <w:rFonts w:hint="eastAsia" w:hAnsi="Cambria Math"/>
          <w:i w:val="0"/>
          <w:spacing w:val="1"/>
          <w:lang w:val="en-US" w:eastAsia="zh-CN"/>
        </w:rPr>
        <w:t>、D</w:t>
      </w:r>
      <w:r>
        <w:rPr>
          <w:rFonts w:hint="eastAsia"/>
          <w:spacing w:val="1"/>
          <w:lang w:val="en-US" w:eastAsia="zh-CN"/>
        </w:rPr>
        <w:t>=</w:t>
      </w:r>
      <m:oMath>
        <m:sSub>
          <m:sSubP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ub>
        </m:sSub>
      </m:oMath>
      <w:r>
        <w:rPr>
          <w:rFonts w:hint="eastAsia" w:hAnsi="Cambria Math"/>
          <w:i w:val="0"/>
          <w:spacing w:val="1"/>
          <w:lang w:val="en-US" w:eastAsia="zh-CN"/>
        </w:rPr>
        <w:t>×</w:t>
      </w:r>
      <m:oMath>
        <m:sSup>
          <m:sSupP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10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9</m:t>
            </m:r>
            <m:ctrlPr>
              <w:rPr>
                <w:rFonts w:ascii="Cambria Math" w:hAnsi="Cambria Math"/>
                <w:i/>
                <w:spacing w:val="1"/>
                <w:lang w:val="en-US"/>
              </w:rPr>
            </m:ctrlPr>
          </m:sup>
        </m:sSup>
      </m:oMath>
      <w:r>
        <w:rPr>
          <w:rFonts w:hint="eastAsia"/>
          <w:spacing w:val="1"/>
        </w:rPr>
        <w:t>，否则6ND将产生</w:t>
      </w:r>
      <m:oMath>
        <m:sSup>
          <m:sSupPr>
            <m:ctrlPr>
              <w:rPr>
                <w:rFonts w:ascii="Cambria Math" w:hAnsi="Cambria Math"/>
                <w:i/>
                <w:spacing w:val="1"/>
              </w:rPr>
            </m:ctrlPr>
          </m:sSup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10</m:t>
            </m:r>
            <m:ctrlPr>
              <w:rPr>
                <w:rFonts w:ascii="Cambria Math" w:hAnsi="Cambria Math"/>
                <w:i/>
                <w:spacing w:val="1"/>
              </w:rPr>
            </m:ctrlPr>
          </m:e>
          <m:sup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18</m:t>
            </m:r>
            <m:ctrlPr>
              <w:rPr>
                <w:rFonts w:ascii="Cambria Math" w:hAnsi="Cambria Math"/>
                <w:i/>
                <w:spacing w:val="1"/>
              </w:rPr>
            </m:ctrlPr>
          </m:sup>
        </m:sSup>
      </m:oMath>
      <w:r>
        <w:rPr>
          <w:rFonts w:hint="eastAsia"/>
          <w:spacing w:val="1"/>
        </w:rPr>
        <w:t>倍量纲误差。质量成本取三种形式：指数型、幂函数型、对数渐进型。注意力开销与训练开销相等的临界长度为</w:t>
      </w:r>
      <m:oMath>
        <m:sSubSup>
          <m:sSubSupPr>
            <m:ctrlPr>
              <w:rPr>
                <w:rFonts w:ascii="Cambria Math" w:hAnsi="Cambria Math"/>
                <w:i/>
                <w:spacing w:val="1"/>
              </w:rPr>
            </m:ctrlPr>
          </m:sSubSupPr>
          <m:e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pacing w:val="1"/>
              </w:rPr>
            </m:ctrlPr>
          </m:e>
          <m:sub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ctx</m:t>
            </m:r>
            <m:ctrlPr>
              <w:rPr>
                <w:rFonts w:ascii="Cambria Math" w:hAnsi="Cambria Math"/>
                <w:i/>
                <w:spacing w:val="1"/>
              </w:rPr>
            </m:ctrlPr>
          </m:sub>
          <m:sup>
            <m:r>
              <m:rPr/>
              <w:rPr>
                <w:rFonts w:hint="default" w:ascii="Cambria Math" w:hAnsi="Cambria Math"/>
                <w:spacing w:val="1"/>
                <w:lang w:val="en-US" w:eastAsia="zh-CN"/>
              </w:rPr>
              <m:t>crit</m:t>
            </m:r>
            <m:ctrlPr>
              <w:rPr>
                <w:rFonts w:ascii="Cambria Math" w:hAnsi="Cambria Math"/>
                <w:i/>
                <w:spacing w:val="1"/>
              </w:rPr>
            </m:ctrlPr>
          </m:sup>
        </m:sSubSup>
      </m:oMath>
      <w:r>
        <w:rPr>
          <w:rFonts w:hint="eastAsia" w:hAnsi="Cambria Math"/>
          <w:i w:val="0"/>
          <w:spacing w:val="1"/>
          <w:lang w:val="en-US" w:eastAsia="zh-CN"/>
        </w:rPr>
        <w:t>=</w:t>
      </w:r>
      <w:r>
        <w:rPr>
          <w:rFonts w:hint="eastAsia"/>
          <w:spacing w:val="1"/>
        </w:rPr>
        <w:t>6/η=30000。所有RMSE、MAE与后悔值越小越好；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/>
          <w:spacing w:val="1"/>
        </w:rPr>
        <w:t>与排序相关越大越好；覆盖率以接近指定分位水平为准。结构情景范围、重采样参数区间与个体预测区间分别标注，不混同解释。</w:t>
      </w:r>
    </w:p>
    <w:p w14:paraId="5ADAD7FA">
      <w:pPr>
        <w:spacing w:before="324" w:line="222" w:lineRule="auto"/>
        <w:ind w:left="2935"/>
        <w:outlineLvl w:val="0"/>
        <w:rPr>
          <w:rFonts w:ascii="黑体" w:hAnsi="黑体" w:eastAsia="黑体" w:cs="黑体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    </w:t>
      </w:r>
      <w:r>
        <w:rPr>
          <w:rFonts w:ascii="黑体" w:hAnsi="黑体" w:eastAsia="黑体" w:cs="黑体"/>
          <w:spacing w:val="-1"/>
          <w:sz w:val="28"/>
          <w:szCs w:val="28"/>
        </w:rPr>
        <w:t>数据质量评价与冲突消解</w:t>
      </w:r>
    </w:p>
    <w:p w14:paraId="60B0DFE1">
      <w:pPr>
        <w:pStyle w:val="3"/>
        <w:bidi w:val="0"/>
        <w:ind w:firstLine="500" w:firstLineChars="0"/>
        <w:rPr>
          <w:rFonts w:hint="default"/>
          <w:lang w:val="en-US" w:eastAsia="zh-CN"/>
        </w:rPr>
      </w:pPr>
      <w:r>
        <w:rPr>
          <w:rFonts w:hint="eastAsia"/>
        </w:rPr>
        <w:t>本章完成问题一：对全量质量信号统一方向并合成质量分，定义并消解质量冲突，再利用配方实验建立17域配比与验证损失的定量关系，为后续标度律、算力配置与能力前沿提供质量分、参照质量与配比代理。</w:t>
      </w:r>
    </w:p>
    <w:p w14:paraId="73E00DA6">
      <w:pPr>
        <w:pStyle w:val="3"/>
        <w:spacing w:before="166" w:line="220" w:lineRule="auto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3.1    </w:t>
      </w:r>
      <w:r>
        <w:rPr>
          <w:b/>
          <w:bCs/>
          <w:spacing w:val="-2"/>
        </w:rPr>
        <w:t>方向统一与组均衡评分</w:t>
      </w:r>
    </w:p>
    <w:p w14:paraId="6E15F969">
      <w:pPr>
        <w:pStyle w:val="3"/>
        <w:spacing w:before="24" w:line="239" w:lineRule="auto"/>
        <w:ind w:left="4" w:right="120" w:firstLine="481"/>
        <w:jc w:val="both"/>
      </w:pPr>
      <w:r>
        <w:rPr>
          <w:rFonts w:hint="eastAsia"/>
        </w:rPr>
        <w:t>对抽样集51230条、arXiv扩展17523条、GitHub扩展203752条记录全部参与评分。列表型指标先按字段类型压缩为标量，负向指标作补转换，使所有指标统一为“越高越好”。对指标j的原始值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x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ij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</w:rPr>
        <w:t>，先做极差归一化：</w:t>
      </w:r>
      <w:r>
        <w:rPr>
          <w:spacing w:val="-2"/>
        </w:rPr>
        <w:t>。</w:t>
      </w:r>
    </w:p>
    <w:p w14:paraId="133A45A0">
      <w:pPr>
        <w:spacing w:line="288" w:lineRule="auto"/>
        <w:rPr>
          <w:rFonts w:ascii="Arial"/>
          <w:sz w:val="21"/>
        </w:rPr>
      </w:pPr>
    </w:p>
    <w:p w14:paraId="2B0A4DCA">
      <w:pPr>
        <w:spacing w:line="588" w:lineRule="exact"/>
        <w:ind w:left="2524"/>
      </w:pPr>
      <w:r>
        <w:rPr>
          <w:position w:val="-12"/>
        </w:rPr>
        <w:drawing>
          <wp:inline distT="0" distB="0" distL="0" distR="0">
            <wp:extent cx="4335145" cy="3733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5678" cy="3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3AB9">
      <w:pPr>
        <w:spacing w:line="249" w:lineRule="auto"/>
        <w:rPr>
          <w:rFonts w:ascii="Arial"/>
          <w:sz w:val="21"/>
        </w:rPr>
      </w:pPr>
    </w:p>
    <w:p w14:paraId="05508C4B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eastAsia"/>
          <w:lang w:val="en-US" w:eastAsia="zh-CN"/>
        </w:rPr>
        <w:t>,</w:t>
      </w:r>
      <m:oMath>
        <m:sSub>
          <m:sSubPr>
            <m:ctrlPr>
              <w:rPr>
                <w:rFonts w:hint="eastAsia"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eastAsia"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lang w:val="en-US"/>
              </w:rPr>
            </m:ctrlPr>
          </m:sub>
        </m:sSub>
      </m:oMath>
      <w:r>
        <w:rPr>
          <w:rFonts w:hint="eastAsia"/>
        </w:rPr>
        <w:t>为指标j的归一化锚点，负向指标取补转换。对列表型指标，先压缩为标量再代入式(1)：</w:t>
      </w:r>
    </w:p>
    <w:p w14:paraId="1A12B4EA">
      <w:pPr>
        <w:spacing w:before="1" w:line="673" w:lineRule="exact"/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1391920</wp:posOffset>
            </wp:positionH>
            <wp:positionV relativeFrom="paragraph">
              <wp:posOffset>113665</wp:posOffset>
            </wp:positionV>
            <wp:extent cx="3741420" cy="693420"/>
            <wp:effectExtent l="0" t="0" r="7620" b="762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6AC7A1">
      <w:pPr>
        <w:pStyle w:val="3"/>
        <w:spacing w:before="90" w:line="233" w:lineRule="auto"/>
        <w:ind w:right="120"/>
        <w:jc w:val="both"/>
        <w:rPr>
          <w:spacing w:val="2"/>
        </w:rPr>
      </w:pPr>
    </w:p>
    <w:p w14:paraId="176D04BC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为指标j的列表长度。压缩方式不意味着所有列表元素同等重要，只给出可比较的标量约定。</w:t>
      </w:r>
    </w:p>
    <w:p w14:paraId="6CAE9210">
      <w:pPr>
        <w:pStyle w:val="3"/>
        <w:bidi w:val="0"/>
        <w:ind w:firstLine="500" w:firstLineChars="0"/>
        <w:rPr>
          <w:rFonts w:hint="eastAsia"/>
          <w:lang w:val="en-US" w:eastAsia="zh-CN"/>
        </w:rPr>
      </w:pPr>
      <w:r>
        <w:rPr>
          <w:rFonts w:hint="eastAsia"/>
        </w:rPr>
        <w:t>采用熵权法确定指标权重。对归一化矩阵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ij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，计算指标j的熵值与权重</w:t>
      </w:r>
      <w:r>
        <w:rPr>
          <w:rFonts w:hint="eastAsia"/>
          <w:lang w:val="en-US" w:eastAsia="zh-CN"/>
        </w:rPr>
        <w:t>:</w:t>
      </w:r>
    </w:p>
    <w:p w14:paraId="7F2129AF">
      <w:pPr>
        <w:pStyle w:val="3"/>
        <w:bidi w:val="0"/>
        <w:ind w:firstLine="50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814060" cy="1249680"/>
            <wp:effectExtent l="0" t="0" r="762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7EA6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样本级质量分为</w:t>
      </w:r>
    </w:p>
    <w:p w14:paraId="6A400FE9">
      <w:pPr>
        <w:pStyle w:val="3"/>
        <w:bidi w:val="0"/>
        <w:ind w:firstLine="500" w:firstLineChars="0"/>
      </w:pPr>
      <w:r>
        <w:drawing>
          <wp:inline distT="0" distB="0" distL="114300" distR="114300">
            <wp:extent cx="5814060" cy="708660"/>
            <wp:effectExtent l="0" t="0" r="762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F20F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领域质量分由样本级Q</w:t>
      </w:r>
      <w:r>
        <w:rPr>
          <w:rFonts w:hint="default"/>
        </w:rPr>
        <w:t>i按领域聚合得到。式(5)给出的是透明偏好尺度，不是人工真值或因果标签。</w:t>
      </w:r>
    </w:p>
    <w:p w14:paraId="2A9E0EB0">
      <w:pPr>
        <w:pStyle w:val="3"/>
        <w:spacing w:before="181" w:line="220" w:lineRule="auto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3.2    </w:t>
      </w:r>
      <w:r>
        <w:rPr>
          <w:rFonts w:hint="eastAsia"/>
          <w:b/>
          <w:bCs/>
          <w:spacing w:val="-2"/>
        </w:rPr>
        <w:t>冲突定义与向短板靠拢</w:t>
      </w:r>
    </w:p>
    <w:p w14:paraId="299FE31E">
      <w:pPr>
        <w:pStyle w:val="3"/>
        <w:spacing w:before="4" w:line="242" w:lineRule="auto"/>
        <w:ind w:left="6" w:right="119" w:firstLine="484"/>
        <w:rPr>
          <w:rFonts w:hint="eastAsia"/>
          <w:spacing w:val="2"/>
        </w:rPr>
      </w:pPr>
      <w:r>
        <w:rPr>
          <w:rFonts w:hint="eastAsia"/>
          <w:spacing w:val="2"/>
        </w:rPr>
        <w:t>将质量指标划分为“内容价值”与“文本卫生”两类，分别记为</w:t>
      </w:r>
      <m:oMath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m:rPr/>
              <w:rPr>
                <w:rFonts w:hint="default" w:ascii="Cambria Math" w:hAnsi="Cambria Math"/>
                <w:spacing w:val="2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spacing w:val="2"/>
              </w:rPr>
            </m:ctrlPr>
          </m:e>
          <m:sub>
            <m:r>
              <m:rPr/>
              <w:rPr>
                <w:rFonts w:hint="default" w:ascii="Cambria Math" w:hAnsi="Cambria Math"/>
                <w:spacing w:val="2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pacing w:val="2"/>
              </w:rPr>
            </m:ctrlPr>
          </m:sub>
        </m:sSub>
      </m:oMath>
      <w:r>
        <w:rPr>
          <w:rFonts w:hint="eastAsia"/>
          <w:spacing w:val="2"/>
        </w:rPr>
        <w:t>与</w:t>
      </w:r>
      <m:oMath>
        <m:sSub>
          <m:sSubPr>
            <m:ctrlPr>
              <w:rPr>
                <w:rFonts w:ascii="Cambria Math" w:hAnsi="Cambria Math"/>
                <w:i/>
                <w:spacing w:val="2"/>
              </w:rPr>
            </m:ctrlPr>
          </m:sSubPr>
          <m:e>
            <m:r>
              <m:rPr/>
              <w:rPr>
                <w:rFonts w:hint="default" w:ascii="Cambria Math" w:hAnsi="Cambria Math"/>
                <w:spacing w:val="2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pacing w:val="2"/>
              </w:rPr>
            </m:ctrlPr>
          </m:e>
          <m:sub>
            <m:r>
              <m:rPr/>
              <w:rPr>
                <w:rFonts w:hint="default" w:ascii="Cambria Math" w:hAnsi="Cambria Math"/>
                <w:spacing w:val="2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pacing w:val="2"/>
              </w:rPr>
            </m:ctrlPr>
          </m:sub>
        </m:sSub>
      </m:oMath>
      <w:r>
        <w:rPr>
          <w:rFonts w:hint="eastAsia"/>
          <w:spacing w:val="2"/>
        </w:rPr>
        <w:t>。定义冲突强度为两类得分之差的绝对值：</w:t>
      </w:r>
    </w:p>
    <w:p w14:paraId="26B6516C">
      <w:pPr>
        <w:pStyle w:val="3"/>
        <w:spacing w:before="4" w:line="242" w:lineRule="auto"/>
        <w:ind w:left="6" w:right="119" w:firstLine="484"/>
        <w:rPr>
          <w:rFonts w:hint="eastAsia"/>
          <w:spacing w:val="2"/>
        </w:rPr>
      </w:pPr>
      <w:r>
        <w:drawing>
          <wp:inline distT="0" distB="0" distL="114300" distR="114300">
            <wp:extent cx="5829300" cy="39116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rcRect b="2338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298B">
      <w:pPr>
        <w:spacing w:line="242" w:lineRule="auto"/>
      </w:pPr>
    </w:p>
    <w:p w14:paraId="55BE055A">
      <w:pPr>
        <w:pStyle w:val="3"/>
        <w:bidi w:val="0"/>
        <w:ind w:firstLine="500" w:firstLineChars="0"/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&gt;0.30时，认为该样本存在显著质量冲突。冲突越强，评分越向短板靠拢：</w:t>
      </w:r>
    </w:p>
    <w:p w14:paraId="7A43FBF7">
      <w:pPr>
        <w:spacing w:line="242" w:lineRule="auto"/>
      </w:pPr>
    </w:p>
    <w:p w14:paraId="7A79733A">
      <w:pPr>
        <w:spacing w:line="242" w:lineRule="auto"/>
      </w:pPr>
      <w:r>
        <w:drawing>
          <wp:inline distT="0" distB="0" distL="114300" distR="114300">
            <wp:extent cx="5836920" cy="37973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rcRect t="22647" b="1872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0EFF">
      <w:pPr>
        <w:pStyle w:val="3"/>
        <w:bidi w:val="0"/>
        <w:ind w:firstLine="500" w:firstLineChars="0"/>
        <w:rPr>
          <w:rFonts w:hint="eastAsia"/>
        </w:rPr>
      </w:pPr>
      <w:r>
        <w:rPr>
          <w:rFonts w:hint="default"/>
        </w:rPr>
        <w:t>其中</w:t>
      </w:r>
      <w:r>
        <w:rPr>
          <w:rFonts w:hint="eastAsia"/>
        </w:rPr>
        <w:t>λ</w:t>
      </w:r>
      <w:r>
        <w:rPr>
          <w:rFonts w:hint="default"/>
        </w:rPr>
        <w:t>0​∈[0,1]为冲突惩罚强度。该规则刻画评价维度不一致，不意味着文本内容存在事实矛盾。</w:t>
      </w:r>
    </w:p>
    <w:p w14:paraId="421D6AC7">
      <w:pPr>
        <w:pStyle w:val="3"/>
        <w:bidi w:val="0"/>
        <w:ind w:firstLine="500" w:firstLineChars="0"/>
        <w:rPr>
          <w:rFonts w:hint="default"/>
        </w:rPr>
      </w:pPr>
      <w:r>
        <w:rPr>
          <w:rFonts w:hint="default"/>
        </w:rPr>
        <w:t>扩展集冲突比例与抽样集接近：抽样集7.6%，arXiv扩展7.6%，GitHub扩展12.0%。主要冲突结论在扩展集上延续。arXiv领域质量分抽样为0.441、全量为0.449；GitHub抽样与全量均为0.184。扩展集未覆盖每个领域，因此小样本领域的代表性弱于大样本领域。</w:t>
      </w:r>
    </w:p>
    <w:p w14:paraId="7076FEC1">
      <w:pPr>
        <w:pStyle w:val="3"/>
        <w:bidi w:val="0"/>
        <w:ind w:firstLine="50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12715" cy="2871470"/>
            <wp:effectExtent l="0" t="0" r="14605" b="8890"/>
            <wp:docPr id="67" name="图片 67" descr="抽样扩展与冲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抽样扩展与冲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37A4">
      <w:pPr>
        <w:pStyle w:val="3"/>
        <w:bidi w:val="0"/>
        <w:ind w:firstLine="500" w:firstLineChars="0"/>
        <w:jc w:val="center"/>
        <w:rPr>
          <w:rFonts w:hint="default" w:eastAsia="宋体"/>
          <w:lang w:eastAsia="zh-CN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图</w:t>
      </w:r>
      <w:r>
        <w:rPr>
          <w:rFonts w:hint="default" w:ascii="Arial" w:hAnsi="Arial" w:eastAsia="宋体" w:cs="Arial"/>
          <w:color w:val="000000"/>
          <w:spacing w:val="-38"/>
          <w:kern w:val="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</w:rPr>
        <w:t>2    抽样扩展与冲突</w:t>
      </w:r>
    </w:p>
    <w:p w14:paraId="7AB8135B">
      <w:pPr>
        <w:pStyle w:val="3"/>
        <w:bidi w:val="0"/>
        <w:ind w:firstLine="500" w:firstLineChars="0"/>
        <w:rPr>
          <w:rFonts w:hint="default"/>
        </w:rPr>
      </w:pPr>
    </w:p>
    <w:p w14:paraId="012E97A9">
      <w:pPr>
        <w:pStyle w:val="3"/>
        <w:bidi w:val="0"/>
        <w:ind w:firstLine="500" w:firstLineChars="0"/>
        <w:jc w:val="center"/>
        <w:rPr>
          <w:rFonts w:hint="eastAsia"/>
        </w:rPr>
      </w:pPr>
    </w:p>
    <w:p w14:paraId="09EA51FF">
      <w:pPr>
        <w:pStyle w:val="3"/>
        <w:bidi w:val="0"/>
        <w:ind w:firstLine="500" w:firstLineChars="0"/>
        <w:jc w:val="center"/>
        <w:rPr>
          <w:rFonts w:hint="eastAsia"/>
        </w:rPr>
      </w:pPr>
    </w:p>
    <w:p w14:paraId="31CD8B2B">
      <w:pPr>
        <w:pStyle w:val="3"/>
        <w:bidi w:val="0"/>
        <w:ind w:firstLine="500" w:firstLineChars="0"/>
        <w:jc w:val="center"/>
        <w:rPr>
          <w:rFonts w:hint="eastAsia"/>
        </w:rPr>
      </w:pPr>
    </w:p>
    <w:p w14:paraId="003B1ED4">
      <w:pPr>
        <w:pStyle w:val="3"/>
        <w:bidi w:val="0"/>
        <w:ind w:firstLine="500" w:firstLineChars="0"/>
        <w:jc w:val="center"/>
        <w:rPr>
          <w:rFonts w:hint="eastAsia"/>
        </w:rPr>
      </w:pPr>
    </w:p>
    <w:p w14:paraId="6CE0300C">
      <w:pPr>
        <w:pStyle w:val="3"/>
        <w:bidi w:val="0"/>
        <w:ind w:firstLine="500" w:firstLineChars="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 xml:space="preserve">   全量领域质量与冲突比例</w:t>
      </w:r>
    </w:p>
    <w:p w14:paraId="0A6F0D94">
      <w:pPr>
        <w:spacing w:line="134" w:lineRule="exact"/>
      </w:pPr>
    </w:p>
    <w:tbl>
      <w:tblPr>
        <w:tblStyle w:val="10"/>
        <w:tblW w:w="7692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8"/>
        <w:gridCol w:w="1839"/>
        <w:gridCol w:w="3274"/>
        <w:gridCol w:w="1291"/>
      </w:tblGrid>
      <w:tr w14:paraId="22F387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288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7B0A2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领域</w:t>
            </w:r>
          </w:p>
        </w:tc>
        <w:tc>
          <w:tcPr>
            <w:tcW w:w="1839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1B3DC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样本量</w:t>
            </w:r>
          </w:p>
        </w:tc>
        <w:tc>
          <w:tcPr>
            <w:tcW w:w="3274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0D2D8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质量分</w:t>
            </w:r>
            <w:r>
              <w:rPr>
                <w:rFonts w:ascii="Times New Roman" w:hAnsi="Times New Roman" w:eastAsia="Times New Roman" w:cs="Times New Roman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5"/>
                <w:szCs w:val="25"/>
                <w:lang w:val="en-US" w:eastAsia="zh-CN" w:bidi="ar"/>
              </w:rPr>
              <w:t>Q</w:t>
            </w:r>
          </w:p>
        </w:tc>
        <w:tc>
          <w:tcPr>
            <w:tcW w:w="1291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2DDFB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冲突比例</w:t>
            </w:r>
          </w:p>
        </w:tc>
      </w:tr>
      <w:tr w14:paraId="57745A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288" w:type="dxa"/>
            <w:tcBorders>
              <w:top w:val="single" w:color="000000" w:sz="4" w:space="0"/>
            </w:tcBorders>
            <w:vAlign w:val="center"/>
          </w:tcPr>
          <w:p w14:paraId="546CC3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抽样集</w:t>
            </w:r>
          </w:p>
        </w:tc>
        <w:tc>
          <w:tcPr>
            <w:tcW w:w="1839" w:type="dxa"/>
            <w:tcBorders>
              <w:top w:val="single" w:color="000000" w:sz="4" w:space="0"/>
            </w:tcBorders>
            <w:vAlign w:val="center"/>
          </w:tcPr>
          <w:p w14:paraId="4489C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51230</w:t>
            </w:r>
          </w:p>
        </w:tc>
        <w:tc>
          <w:tcPr>
            <w:tcW w:w="3274" w:type="dxa"/>
            <w:tcBorders>
              <w:top w:val="single" w:color="000000" w:sz="4" w:space="0"/>
            </w:tcBorders>
            <w:vAlign w:val="center"/>
          </w:tcPr>
          <w:p w14:paraId="32970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291" w:type="dxa"/>
            <w:tcBorders>
              <w:top w:val="single" w:color="000000" w:sz="4" w:space="0"/>
            </w:tcBorders>
            <w:vAlign w:val="center"/>
          </w:tcPr>
          <w:p w14:paraId="4639B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pacing w:val="-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7.6%</w:t>
            </w:r>
          </w:p>
        </w:tc>
      </w:tr>
      <w:tr w14:paraId="790FE3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1288" w:type="dxa"/>
            <w:vAlign w:val="center"/>
          </w:tcPr>
          <w:p w14:paraId="3497A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arXiv 扩展</w:t>
            </w:r>
          </w:p>
        </w:tc>
        <w:tc>
          <w:tcPr>
            <w:tcW w:w="1839" w:type="dxa"/>
            <w:vAlign w:val="center"/>
          </w:tcPr>
          <w:p w14:paraId="19D38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17523</w:t>
            </w:r>
          </w:p>
        </w:tc>
        <w:tc>
          <w:tcPr>
            <w:tcW w:w="3274" w:type="dxa"/>
            <w:vAlign w:val="center"/>
          </w:tcPr>
          <w:p w14:paraId="67290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0.441（抽样）/0.449（全量）</w:t>
            </w:r>
          </w:p>
        </w:tc>
        <w:tc>
          <w:tcPr>
            <w:tcW w:w="1291" w:type="dxa"/>
            <w:vAlign w:val="center"/>
          </w:tcPr>
          <w:p w14:paraId="75CBE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  <w:spacing w:val="-3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7.6%</w:t>
            </w:r>
          </w:p>
        </w:tc>
      </w:tr>
      <w:tr w14:paraId="3EE087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1288" w:type="dxa"/>
            <w:vAlign w:val="center"/>
          </w:tcPr>
          <w:p w14:paraId="2C18D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GitHub 扩展</w:t>
            </w:r>
          </w:p>
        </w:tc>
        <w:tc>
          <w:tcPr>
            <w:tcW w:w="1839" w:type="dxa"/>
            <w:vAlign w:val="center"/>
          </w:tcPr>
          <w:p w14:paraId="0BA69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宋体" w:hAnsi="宋体" w:eastAsia="宋体" w:cs="宋体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203752</w:t>
            </w:r>
          </w:p>
        </w:tc>
        <w:tc>
          <w:tcPr>
            <w:tcW w:w="3274" w:type="dxa"/>
            <w:vAlign w:val="center"/>
          </w:tcPr>
          <w:p w14:paraId="1B61D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0.184（抽样）/0.184（全量）</w:t>
            </w:r>
          </w:p>
        </w:tc>
        <w:tc>
          <w:tcPr>
            <w:tcW w:w="1291" w:type="dxa"/>
            <w:vAlign w:val="center"/>
          </w:tcPr>
          <w:p w14:paraId="6625A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i/>
                <w:iCs/>
                <w:position w:val="-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12.0%</w:t>
            </w:r>
          </w:p>
        </w:tc>
      </w:tr>
    </w:tbl>
    <w:p w14:paraId="57FFB3E9">
      <w:pPr>
        <w:spacing w:line="242" w:lineRule="auto"/>
      </w:pPr>
    </w:p>
    <w:p w14:paraId="0C018FA6">
      <w:pPr>
        <w:tabs>
          <w:tab w:val="left" w:pos="3002"/>
        </w:tabs>
        <w:spacing w:line="242" w:lineRule="auto"/>
        <w:rPr>
          <w:rFonts w:ascii="Arial"/>
          <w:sz w:val="21"/>
        </w:rPr>
      </w:pPr>
      <w:r>
        <w:rPr>
          <w:rFonts w:hint="eastAsia" w:eastAsia="宋体"/>
          <w:lang w:eastAsia="zh-CN"/>
        </w:rPr>
        <w:tab/>
      </w:r>
    </w:p>
    <w:p w14:paraId="5FD5E6F2">
      <w:pPr>
        <w:pStyle w:val="3"/>
        <w:spacing w:before="4" w:line="242" w:lineRule="auto"/>
        <w:ind w:left="6" w:right="119" w:firstLine="484"/>
        <w:rPr>
          <w:rFonts w:hint="eastAsia" w:eastAsia="宋体"/>
          <w:position w:val="-79"/>
          <w:lang w:val="en-US" w:eastAsia="zh-CN"/>
        </w:rPr>
      </w:pPr>
      <w:r>
        <w:rPr>
          <w:rFonts w:hint="eastAsia"/>
          <w:spacing w:val="1"/>
        </w:rPr>
        <w:t>显著规则冲突可界定为：样本中至少两项益向分不低于0.75，且至少两项不高于0.25；它反映的是评价维度之间的不一致，并不等同于文本内容存在事实矛盾。另需检查教育评分较高、无广告评分较低这一特定冲突。不同规则所检测的现象不同，因此不应合并为“错误率”。对原文核查后发现，arXiv冲突样本包含LaTeX数学结构，GitHub样本包含XML配置代码；数字、特殊字符或非完整自然语言句子，可能使形式指标偏低。所以，不能把GitHub评分较低</w:t>
      </w:r>
      <w:r>
        <w:rPr>
          <w:spacing w:val="-4"/>
        </w:rPr>
        <w:t>。</w:t>
      </w:r>
    </w:p>
    <w:p w14:paraId="26DD247B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15990" cy="2560320"/>
            <wp:effectExtent l="0" t="0" r="3810" b="0"/>
            <wp:docPr id="21" name="图片 21" descr="8ad88066-7ed9-4b2f-8388-13f8081b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ad88066-7ed9-4b2f-8388-13f8081b970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3C75">
      <w:pPr>
        <w:pStyle w:val="3"/>
        <w:spacing w:before="132" w:line="242" w:lineRule="auto"/>
        <w:ind w:left="12" w:right="119" w:firstLine="20"/>
        <w:jc w:val="center"/>
        <w:rPr>
          <w:rFonts w:ascii="Arial"/>
          <w:sz w:val="21"/>
        </w:rPr>
      </w:pPr>
      <w:r>
        <w:t>图</w:t>
      </w:r>
      <w:r>
        <w:rPr>
          <w:spacing w:val="-38"/>
        </w:rPr>
        <w:t xml:space="preserve"> </w:t>
      </w:r>
      <w:r>
        <w:rPr>
          <w:rFonts w:hint="eastAsia"/>
          <w:spacing w:val="-38"/>
          <w:lang w:val="en-US" w:eastAsia="zh-CN"/>
        </w:rPr>
        <w:t>3</w:t>
      </w:r>
      <w:r>
        <w:rPr>
          <w:rFonts w:ascii="Times New Roman" w:hAnsi="Times New Roman" w:eastAsia="Times New Roman" w:cs="Times New Roman"/>
        </w:rPr>
        <w:t xml:space="preserve">    </w:t>
      </w:r>
      <w:r>
        <w:t>去重后各领域的五组均分</w:t>
      </w:r>
    </w:p>
    <w:p w14:paraId="3083358B">
      <w:pPr>
        <w:pStyle w:val="3"/>
        <w:spacing w:before="150" w:line="220" w:lineRule="auto"/>
        <w:ind w:left="3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3.3    </w:t>
      </w:r>
      <w:r>
        <w:rPr>
          <w:rFonts w:hint="eastAsia"/>
          <w:b/>
          <w:bCs/>
          <w:spacing w:val="-2"/>
        </w:rPr>
        <w:t>单纯形配比模型</w:t>
      </w:r>
    </w:p>
    <w:p w14:paraId="48926DE1">
      <w:pPr>
        <w:pStyle w:val="3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132" w:line="243" w:lineRule="auto"/>
        <w:ind w:left="510" w:leftChars="0" w:right="119" w:firstLine="23"/>
        <w:textAlignment w:val="baseline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</w:rPr>
        <w:t>利用17域配比实验数据，以岭回归拟合1M规模的平均验证损失。设配比向量为p=(p1,</w:t>
      </w:r>
      <w:r>
        <w:rPr>
          <w:rFonts w:hint="eastAsia"/>
          <w:spacing w:val="-4"/>
          <w:lang w:val="en-US" w:eastAsia="zh-CN"/>
        </w:rPr>
        <w:t>...,</w:t>
      </w:r>
      <w:r>
        <w:rPr>
          <w:rFonts w:hint="eastAsia"/>
          <w:spacing w:val="-4"/>
        </w:rPr>
        <w:t>p17)，预测损失为</w:t>
      </w:r>
      <w:r>
        <w:rPr>
          <w:rFonts w:hint="eastAsia"/>
          <w:spacing w:val="-4"/>
          <w:lang w:val="en-US" w:eastAsia="zh-CN"/>
        </w:rPr>
        <w:t>:</w:t>
      </w:r>
    </w:p>
    <w:p w14:paraId="6323CF1B">
      <w:pPr>
        <w:pStyle w:val="3"/>
        <w:spacing w:before="6" w:line="241" w:lineRule="auto"/>
        <w:ind w:left="10" w:firstLine="480"/>
        <w:jc w:val="both"/>
      </w:pPr>
      <w:r>
        <w:drawing>
          <wp:inline distT="0" distB="0" distL="114300" distR="114300">
            <wp:extent cx="5753100" cy="723900"/>
            <wp:effectExtent l="0" t="0" r="7620" b="762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6E53">
      <w:pPr>
        <w:pStyle w:val="3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132" w:line="243" w:lineRule="auto"/>
        <w:ind w:left="510" w:leftChars="0" w:right="119" w:firstLine="23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岭回归目标为</w:t>
      </w:r>
    </w:p>
    <w:p w14:paraId="679CB2E6">
      <w:pPr>
        <w:pStyle w:val="3"/>
        <w:spacing w:before="6" w:line="241" w:lineRule="auto"/>
        <w:ind w:left="10" w:firstLine="480"/>
        <w:jc w:val="both"/>
      </w:pPr>
      <w:r>
        <w:drawing>
          <wp:inline distT="0" distB="0" distL="114300" distR="114300">
            <wp:extent cx="5814060" cy="723900"/>
            <wp:effectExtent l="0" t="0" r="7620" b="762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0B02">
      <w:pPr>
        <w:pStyle w:val="3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132" w:line="243" w:lineRule="auto"/>
        <w:ind w:left="510" w:leftChars="0" w:right="119" w:firstLine="23"/>
        <w:textAlignment w:val="baseline"/>
        <w:rPr>
          <w:rFonts w:hint="eastAsia"/>
          <w:spacing w:val="-4"/>
        </w:rPr>
      </w:pPr>
      <w:r>
        <w:rPr>
          <w:rFonts w:hint="eastAsia"/>
          <w:spacing w:val="-4"/>
        </w:rPr>
        <w:t>配比满足单纯形约束：</w:t>
      </w:r>
    </w:p>
    <w:p w14:paraId="6147336D">
      <w:pPr>
        <w:pStyle w:val="3"/>
        <w:spacing w:before="6" w:line="241" w:lineRule="auto"/>
        <w:ind w:left="10" w:firstLine="480"/>
        <w:jc w:val="both"/>
      </w:pPr>
      <w:r>
        <w:drawing>
          <wp:inline distT="0" distB="0" distL="114300" distR="114300">
            <wp:extent cx="5791200" cy="708660"/>
            <wp:effectExtent l="0" t="0" r="0" b="762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4DFA">
      <w:pPr>
        <w:pStyle w:val="3"/>
        <w:keepNext w:val="0"/>
        <w:keepLines w:val="0"/>
        <w:pageBreakBefore w:val="0"/>
        <w:widowControl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132" w:line="243" w:lineRule="auto"/>
        <w:ind w:left="510" w:leftChars="0" w:right="119" w:firstLine="23"/>
        <w:textAlignment w:val="baseline"/>
        <w:rPr>
          <w:rFonts w:hint="eastAsia"/>
          <w:lang w:val="en-US" w:eastAsia="zh-CN"/>
        </w:rPr>
      </w:pPr>
      <w:r>
        <w:rPr>
          <w:rFonts w:hint="eastAsia"/>
          <w:spacing w:val="-4"/>
          <w:lang w:val="en-US" w:eastAsia="zh-CN"/>
        </w:rPr>
        <w:t>同规模检验集上</w:t>
      </w:r>
      <m:oMath>
        <m:sSup>
          <m:sSupPr>
            <m:ctrlPr>
              <w:rPr>
                <w:rFonts w:hint="eastAsia" w:ascii="Cambria Math" w:hAnsi="Cambria Math"/>
                <w:spacing w:val="-4"/>
                <w:lang w:val="en-US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spacing w:val="-4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spacing w:val="-4"/>
                <w:lang w:val="en-US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spacing w:val="-4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spacing w:val="-4"/>
                <w:lang w:val="en-US"/>
              </w:rPr>
            </m:ctrlPr>
          </m:sup>
        </m:sSup>
      </m:oMath>
      <w:r>
        <w:rPr>
          <w:rFonts w:hint="eastAsia"/>
          <w:spacing w:val="-4"/>
          <w:lang w:val="en-US" w:eastAsia="zh-CN"/>
        </w:rPr>
        <w:t>=0.33，Spearman相关为0.62。60M与1B规模上损失水平整体下移，绝对误差不具可比性，排序相关分别为0.56和0.38。10B/70B 为外推表，排序相关为负，说明无条件外推不稳定。没有损失列的4个域只保留间接影响，不进入直接回归。</w:t>
      </w:r>
    </w:p>
    <w:p w14:paraId="682589F1">
      <w:pPr>
        <w:pStyle w:val="3"/>
        <w:spacing w:before="151" w:line="220" w:lineRule="auto"/>
        <w:ind w:left="3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3.4    </w:t>
      </w:r>
      <w:r>
        <w:rPr>
          <w:rFonts w:hint="eastAsia"/>
          <w:b/>
          <w:bCs/>
          <w:spacing w:val="-2"/>
        </w:rPr>
        <w:t>推荐配方与领域取舍</w:t>
      </w:r>
    </w:p>
    <w:p w14:paraId="79FF8C43">
      <w:pPr>
        <w:pStyle w:val="3"/>
        <w:spacing w:before="78" w:line="241" w:lineRule="auto"/>
        <w:ind w:left="9" w:right="119" w:firstLine="480"/>
        <w:jc w:val="both"/>
        <w:rPr>
          <w:spacing w:val="-2"/>
        </w:rPr>
      </w:pPr>
      <w:r>
        <w:t>质量评分与配比性能不必同向：某领域质量分高</w:t>
      </w:r>
      <w:r>
        <w:rPr>
          <w:spacing w:val="-1"/>
        </w:rPr>
        <w:t>，不代表增加其占比一定降低全部验</w:t>
      </w:r>
      <w:r>
        <w:rPr>
          <w:spacing w:val="-4"/>
        </w:rPr>
        <w:t>证域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Loss</w:t>
      </w:r>
      <w:r>
        <w:rPr>
          <w:spacing w:val="-4"/>
        </w:rPr>
        <w:t>。配方建模因此直接使用配比实验的连续观测结果；质量评分作为独立解释</w:t>
      </w:r>
      <w:r>
        <w:rPr>
          <w:spacing w:val="-5"/>
        </w:rPr>
        <w:t>与敏</w:t>
      </w:r>
      <w:r>
        <w:rPr>
          <w:spacing w:val="-2"/>
        </w:rPr>
        <w:t>感性输入，不强迫回归系数服从主观的领域价值排序。</w:t>
      </w:r>
    </w:p>
    <w:p w14:paraId="20FD51CE">
      <w:pPr>
        <w:pStyle w:val="3"/>
        <w:spacing w:before="78" w:line="241" w:lineRule="auto"/>
        <w:ind w:left="9" w:right="119" w:firstLine="48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在单域占比不超过30%的约束下，条件最优配比约为数学30%、Hacker News 30%、Ubuntu IRC 30%、古腾堡10%。参照质量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m:rPr/>
              <w:rPr>
                <w:rFonts w:hint="default" w:ascii="Cambria Math" w:hAnsi="Cambria Math"/>
                <w:spacing w:val="-2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pacing w:val="-2"/>
              </w:rPr>
            </m:ctrlPr>
          </m:e>
          <m:sub>
            <m:r>
              <m:rPr/>
              <w:rPr>
                <w:rFonts w:hint="default" w:ascii="Cambria Math" w:hAnsi="Cambria Math"/>
                <w:spacing w:val="-2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  <w:spacing w:val="-2"/>
              </w:rPr>
            </m:ctrlPr>
          </m:sub>
        </m:sSub>
      </m:oMath>
      <w:r>
        <w:rPr>
          <w:rFonts w:hint="eastAsia"/>
          <w:spacing w:val="-2"/>
        </w:rPr>
        <w:t>=0.333。</w:t>
      </w:r>
    </w:p>
    <w:p w14:paraId="4686C488">
      <w:pPr>
        <w:pStyle w:val="3"/>
        <w:spacing w:before="78" w:line="241" w:lineRule="auto"/>
        <w:ind w:left="9" w:right="119" w:firstLine="480"/>
        <w:jc w:val="both"/>
        <w:rPr>
          <w:rFonts w:hint="eastAsia" w:eastAsia="宋体"/>
          <w:spacing w:val="-2"/>
          <w:lang w:eastAsia="zh-CN"/>
        </w:rPr>
      </w:pPr>
      <w:r>
        <w:rPr>
          <w:rFonts w:hint="eastAsia" w:eastAsia="宋体"/>
          <w:spacing w:val="-2"/>
          <w:lang w:eastAsia="zh-CN"/>
        </w:rPr>
        <w:drawing>
          <wp:inline distT="0" distB="0" distL="114300" distR="114300">
            <wp:extent cx="4907280" cy="2943860"/>
            <wp:effectExtent l="0" t="0" r="0" b="12700"/>
            <wp:docPr id="66" name="图片 66" descr="最优配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最优配比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3DF2">
      <w:pPr>
        <w:pStyle w:val="3"/>
        <w:spacing w:before="78" w:line="241" w:lineRule="auto"/>
        <w:ind w:left="9" w:right="119" w:firstLine="480"/>
        <w:jc w:val="center"/>
        <w:rPr>
          <w:rFonts w:hint="eastAsia"/>
          <w:spacing w:val="-2"/>
        </w:rPr>
      </w:pPr>
      <w:r>
        <w:t>图</w:t>
      </w:r>
      <w:r>
        <w:rPr>
          <w:spacing w:val="-38"/>
        </w:rPr>
        <w:t xml:space="preserve"> </w:t>
      </w:r>
      <w:r>
        <w:rPr>
          <w:rFonts w:hint="eastAsia"/>
          <w:spacing w:val="-38"/>
          <w:lang w:val="en-US" w:eastAsia="zh-CN"/>
        </w:rPr>
        <w:t>4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hint="eastAsia"/>
          <w:lang w:val="en-US" w:eastAsia="zh-CN"/>
        </w:rPr>
        <w:t>最佳配比图</w:t>
      </w:r>
    </w:p>
    <w:p w14:paraId="3F3023F9">
      <w:pPr>
        <w:pStyle w:val="3"/>
        <w:spacing w:before="78" w:line="241" w:lineRule="auto"/>
        <w:ind w:left="9" w:right="119" w:firstLine="48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spacing w:val="-5"/>
        </w:rPr>
        <w:t>表</w:t>
      </w:r>
      <w:r>
        <w:rPr>
          <w:rFonts w:hint="eastAsia"/>
          <w:spacing w:val="-5"/>
          <w:lang w:val="en-US" w:eastAsia="zh-CN"/>
        </w:rPr>
        <w:t xml:space="preserve">4 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单域≤30%约束下的条件最优配比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46"/>
        <w:gridCol w:w="4845"/>
      </w:tblGrid>
      <w:tr w14:paraId="2447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8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12BE6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领域</w:t>
            </w:r>
          </w:p>
        </w:tc>
        <w:tc>
          <w:tcPr>
            <w:tcW w:w="48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C6C4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占比</w:t>
            </w:r>
          </w:p>
        </w:tc>
      </w:tr>
      <w:tr w14:paraId="26E1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270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数学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61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30%</w:t>
            </w:r>
          </w:p>
        </w:tc>
      </w:tr>
      <w:tr w14:paraId="4F2C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82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Hacker News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A3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30%</w:t>
            </w:r>
          </w:p>
        </w:tc>
      </w:tr>
      <w:tr w14:paraId="3603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A8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Ubuntu IRC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10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30%</w:t>
            </w:r>
          </w:p>
        </w:tc>
      </w:tr>
      <w:tr w14:paraId="19E3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7AD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古腾堡</w:t>
            </w:r>
          </w:p>
        </w:tc>
        <w:tc>
          <w:tcPr>
            <w:tcW w:w="4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BC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10%</w:t>
            </w:r>
          </w:p>
        </w:tc>
      </w:tr>
      <w:tr w14:paraId="24D09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B46D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其余 13 域</w:t>
            </w:r>
          </w:p>
        </w:tc>
        <w:tc>
          <w:tcPr>
            <w:tcW w:w="484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7A8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</w:tr>
    </w:tbl>
    <w:p w14:paraId="452C4AFD">
      <w:pPr>
        <w:pStyle w:val="3"/>
        <w:spacing w:before="78" w:line="241" w:lineRule="auto"/>
        <w:ind w:left="9" w:right="119" w:firstLine="48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该配方为条件最优，不意味着全局最优。部分领域占比为零表示在当前候选与约束下稀疏，不意味着实际业务中可永久删除。若实际任务高度重视某一领域，应重新设定域权重或增加逐域约束后重新求解。</w:t>
      </w:r>
    </w:p>
    <w:p w14:paraId="1B088821">
      <w:pPr>
        <w:pStyle w:val="3"/>
        <w:spacing w:before="78" w:line="241" w:lineRule="auto"/>
        <w:ind w:left="9" w:right="119" w:firstLine="480"/>
        <w:jc w:val="center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86B7D9">
      <w:pPr>
        <w:pStyle w:val="3"/>
        <w:spacing w:before="151" w:line="220" w:lineRule="auto"/>
        <w:ind w:left="3"/>
        <w:outlineLvl w:val="1"/>
        <w:rPr>
          <w:rFonts w:hint="default" w:eastAsia="宋体"/>
          <w:lang w:val="en-US" w:eastAsia="zh-CN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3.5    </w:t>
      </w:r>
      <w:r>
        <w:rPr>
          <w:rFonts w:hint="eastAsia"/>
          <w:b/>
          <w:bCs/>
          <w:spacing w:val="-2"/>
          <w:lang w:val="en-US" w:eastAsia="zh-CN"/>
        </w:rPr>
        <w:t>结论与边界</w:t>
      </w:r>
    </w:p>
    <w:p w14:paraId="2A256A1D">
      <w:pPr>
        <w:pStyle w:val="3"/>
        <w:spacing w:before="78" w:line="241" w:lineRule="auto"/>
        <w:ind w:left="9" w:right="119" w:firstLine="480"/>
        <w:jc w:val="both"/>
        <w:rPr>
          <w:rFonts w:ascii="Arial"/>
          <w:sz w:val="21"/>
        </w:rPr>
      </w:pPr>
      <w:r>
        <w:rPr>
          <w:rFonts w:hint="eastAsia"/>
          <w:spacing w:val="-2"/>
        </w:rPr>
        <w:t>质量评分在扩展集上保持稳定，冲突比例与抽样集</w:t>
      </w:r>
      <w:r>
        <w:rPr>
          <w:rFonts w:hint="eastAsia"/>
          <w:spacing w:val="-2"/>
          <w:lang w:val="en-US" w:eastAsia="zh-CN"/>
        </w:rPr>
        <w:t>相</w:t>
      </w:r>
      <w:r>
        <w:rPr>
          <w:rFonts w:hint="eastAsia"/>
          <w:spacing w:val="-2"/>
        </w:rPr>
        <w:t>接近；配比模型在同规模内插有效，跨规模排序相关下降，外推不稳定；推荐配比为单域≤30%约束下的条件最优，平均损失下降不等同于全领域改善。质量分是偏好尺度，配比效应来自配方实验的连续观测，二者均不扩张为真实训练中的因果结论。</w:t>
      </w:r>
    </w:p>
    <w:p w14:paraId="66270335">
      <w:pPr>
        <w:spacing w:line="241" w:lineRule="auto"/>
        <w:rPr>
          <w:rFonts w:ascii="Arial"/>
          <w:sz w:val="21"/>
        </w:rPr>
      </w:pPr>
    </w:p>
    <w:p w14:paraId="52802686">
      <w:pPr>
        <w:spacing w:line="241" w:lineRule="auto"/>
        <w:rPr>
          <w:rFonts w:ascii="Arial"/>
          <w:sz w:val="21"/>
        </w:rPr>
      </w:pPr>
    </w:p>
    <w:p w14:paraId="6202038E">
      <w:pPr>
        <w:spacing w:line="241" w:lineRule="auto"/>
        <w:rPr>
          <w:rFonts w:ascii="Arial"/>
          <w:sz w:val="21"/>
        </w:rPr>
      </w:pPr>
    </w:p>
    <w:p w14:paraId="4A2E0BA8">
      <w:pPr>
        <w:spacing w:line="241" w:lineRule="auto"/>
        <w:rPr>
          <w:rFonts w:ascii="Arial"/>
          <w:sz w:val="21"/>
        </w:rPr>
      </w:pPr>
    </w:p>
    <w:p w14:paraId="1887AEEC">
      <w:pPr>
        <w:spacing w:line="241" w:lineRule="auto"/>
        <w:rPr>
          <w:rFonts w:ascii="Arial"/>
          <w:sz w:val="21"/>
        </w:rPr>
      </w:pPr>
    </w:p>
    <w:p w14:paraId="03B0190E">
      <w:pPr>
        <w:spacing w:before="91" w:line="222" w:lineRule="auto"/>
        <w:ind w:left="2786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    </w:t>
      </w:r>
      <w:r>
        <w:rPr>
          <w:rFonts w:ascii="黑体" w:hAnsi="黑体" w:eastAsia="黑体" w:cs="黑体"/>
          <w:spacing w:val="-1"/>
          <w:sz w:val="28"/>
          <w:szCs w:val="28"/>
        </w:rPr>
        <w:t>含质量与配比的广义标度律</w:t>
      </w:r>
    </w:p>
    <w:p w14:paraId="335B9824">
      <w:pPr>
        <w:pStyle w:val="3"/>
        <w:spacing w:before="166" w:line="218" w:lineRule="auto"/>
        <w:ind w:left="2" w:firstLine="508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"/>
        </w:rPr>
        <w:t>经典标度律</w:t>
      </w:r>
      <w:r>
        <w:rPr>
          <w:rFonts w:hint="eastAsia" w:ascii="宋体" w:hAnsi="宋体" w:eastAsia="宋体" w:cs="宋体"/>
          <w:spacing w:val="1"/>
          <w:lang w:val="en-US" w:eastAsia="zh-CN"/>
        </w:rPr>
        <w:t>L(N,D)=E+A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−α</m:t>
            </m: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pacing w:val="1"/>
          <w:lang w:val="en-US" w:eastAsia="zh-CN"/>
        </w:rPr>
        <w:t>+B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−β</m:t>
            </m:r>
            <m:ctrlPr>
              <w:rPr>
                <w:rFonts w:hint="eastAsia" w:ascii="Cambria Math" w:hAnsi="Cambria Math" w:eastAsia="宋体" w:cs="宋体"/>
                <w:i/>
                <w:spacing w:val="1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spacing w:val="1"/>
        </w:rPr>
        <w:t>未显式纳入数据质量</w:t>
      </w:r>
      <w:r>
        <w:rPr>
          <w:rFonts w:hint="eastAsia" w:ascii="宋体" w:hAnsi="宋体" w:eastAsia="宋体" w:cs="宋体"/>
          <w:spacing w:val="1"/>
          <w:lang w:val="en-US" w:eastAsia="zh-CN"/>
        </w:rPr>
        <w:t>Q</w:t>
      </w:r>
      <w:r>
        <w:rPr>
          <w:rFonts w:hint="eastAsia" w:ascii="宋体" w:hAnsi="宋体" w:eastAsia="宋体" w:cs="宋体"/>
          <w:spacing w:val="1"/>
        </w:rPr>
        <w:t>与领域配比p。本章以Pythia真实轨迹为主拟合数据，先估计经典双项幂律参数，再引入质量修正与配比调制，构造在参照质量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pacing w:val="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i/>
                <w:spacing w:val="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pacing w:val="1"/>
                <w:lang w:val="en-US" w:eastAsia="zh-CN"/>
              </w:rPr>
              <m:t>ref</m:t>
            </m:r>
            <m:ctrlPr>
              <w:rPr>
                <w:rFonts w:hint="eastAsia" w:ascii="Cambria Math" w:hAnsi="Cambria Math" w:eastAsia="宋体" w:cs="宋体"/>
                <w:i/>
                <w:spacing w:val="1"/>
              </w:rPr>
            </m:ctrlPr>
          </m:sub>
        </m:sSub>
      </m:oMath>
      <w:r>
        <w:rPr>
          <w:rFonts w:hint="eastAsia" w:ascii="宋体" w:hAnsi="宋体" w:eastAsia="宋体" w:cs="宋体"/>
          <w:spacing w:val="1"/>
        </w:rPr>
        <w:t>处退回经典形式的广义标度律，并通过跨族、文献与半合成来源检验其适用范围</w:t>
      </w:r>
      <w:r>
        <w:rPr>
          <w:rFonts w:hint="eastAsia" w:ascii="宋体" w:hAnsi="宋体" w:eastAsia="宋体" w:cs="宋体"/>
          <w:spacing w:val="-2"/>
        </w:rPr>
        <w:t>。</w:t>
      </w:r>
    </w:p>
    <w:p w14:paraId="4FEA7DF7">
      <w:pPr>
        <w:pStyle w:val="3"/>
        <w:spacing w:before="167" w:line="219" w:lineRule="auto"/>
        <w:outlineLvl w:val="1"/>
      </w:pPr>
      <w:r>
        <w:rPr>
          <w:rFonts w:ascii="Times New Roman" w:hAnsi="Times New Roman" w:eastAsia="Times New Roman" w:cs="Times New Roman"/>
          <w:b/>
          <w:bCs/>
          <w:spacing w:val="-5"/>
        </w:rPr>
        <w:t>4.1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  </w:t>
      </w:r>
      <w:r>
        <w:rPr>
          <w:rFonts w:hint="eastAsia"/>
          <w:b/>
          <w:bCs/>
          <w:spacing w:val="-5"/>
        </w:rPr>
        <w:t>经典标度律拟合</w:t>
      </w:r>
    </w:p>
    <w:p w14:paraId="1364459A">
      <w:pPr>
        <w:pStyle w:val="3"/>
        <w:spacing w:before="1" w:line="241" w:lineRule="auto"/>
        <w:ind w:left="2" w:right="130" w:firstLine="481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以Pythia真实轨迹为拟合数据，</w:t>
      </w:r>
      <w:r>
        <w:rPr>
          <w:rFonts w:hint="eastAsia" w:ascii="宋体" w:hAnsi="宋体" w:eastAsia="宋体" w:cs="宋体"/>
          <w:lang w:val="en-US" w:eastAsia="zh-CN"/>
        </w:rPr>
        <w:t>N,D</w:t>
      </w:r>
      <w:r>
        <w:rPr>
          <w:rFonts w:hint="eastAsia" w:ascii="宋体" w:hAnsi="宋体" w:eastAsia="宋体" w:cs="宋体"/>
        </w:rPr>
        <w:t>以十亿为单位。采用多起点非线性最小二乘与稳健损失，在原始Loss尺度估计经典加性幂律参数：</w:t>
      </w:r>
    </w:p>
    <w:p w14:paraId="62081BC2">
      <w:pPr>
        <w:pStyle w:val="3"/>
        <w:spacing w:before="1" w:line="241" w:lineRule="auto"/>
        <w:ind w:left="2" w:right="130" w:firstLine="481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730240" cy="495300"/>
            <wp:effectExtent l="0" t="0" r="0" b="762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375D">
      <w:pPr>
        <w:pStyle w:val="3"/>
        <w:spacing w:before="1" w:line="241" w:lineRule="auto"/>
        <w:ind w:left="2" w:right="130" w:firstLine="481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估计结果为</w:t>
      </w:r>
    </w:p>
    <w:p w14:paraId="3322458F">
      <w:pPr>
        <w:pStyle w:val="3"/>
        <w:spacing w:before="1" w:line="241" w:lineRule="auto"/>
        <w:ind w:left="2" w:right="130" w:firstLine="481"/>
        <w:jc w:val="both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753100" cy="426720"/>
            <wp:effectExtent l="0" t="0" r="7620" b="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FDE6">
      <w:pPr>
        <w:spacing w:line="241" w:lineRule="auto"/>
      </w:pPr>
    </w:p>
    <w:p w14:paraId="12706D7D">
      <w:pPr>
        <w:pStyle w:val="3"/>
        <w:spacing w:before="78" w:line="241" w:lineRule="auto"/>
        <w:ind w:left="9" w:right="119" w:firstLine="480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-5"/>
        </w:rPr>
        <w:t>表</w:t>
      </w:r>
      <w:r>
        <w:rPr>
          <w:rFonts w:hint="eastAsia" w:cs="宋体"/>
          <w:spacing w:val="-5"/>
          <w:lang w:val="en-US" w:eastAsia="zh-CN"/>
        </w:rPr>
        <w:t>5</w:t>
      </w:r>
      <w:r>
        <w:rPr>
          <w:rFonts w:hint="eastAsia" w:ascii="宋体" w:hAnsi="宋体" w:eastAsia="宋体" w:cs="宋体"/>
          <w:spacing w:val="-5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2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经典标度律参数估计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37"/>
        <w:gridCol w:w="1937"/>
        <w:gridCol w:w="1937"/>
      </w:tblGrid>
      <w:tr w14:paraId="1504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FC3B5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9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F5A1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估计值</w:t>
            </w:r>
          </w:p>
        </w:tc>
        <w:tc>
          <w:tcPr>
            <w:tcW w:w="19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B9C2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4B4E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BC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2CA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1.690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95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Pythia 轨迹</w:t>
            </w:r>
          </w:p>
        </w:tc>
      </w:tr>
      <w:tr w14:paraId="5F6AC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9E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E0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0.354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DAD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Pythia 轨迹</w:t>
            </w:r>
          </w:p>
        </w:tc>
      </w:tr>
      <w:tr w14:paraId="6D1C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1A0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α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E55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0.340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45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Pythia 轨迹</w:t>
            </w:r>
          </w:p>
        </w:tc>
      </w:tr>
      <w:tr w14:paraId="7154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667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AC5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1.240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E7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Pythia 轨迹</w:t>
            </w:r>
          </w:p>
        </w:tc>
      </w:tr>
      <w:tr w14:paraId="4907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480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β</w:t>
            </w:r>
          </w:p>
        </w:tc>
        <w:tc>
          <w:tcPr>
            <w:tcW w:w="193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C513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0.280</w:t>
            </w:r>
          </w:p>
        </w:tc>
        <w:tc>
          <w:tcPr>
            <w:tcW w:w="193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93F8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Pythia 轨迹</w:t>
            </w:r>
          </w:p>
        </w:tc>
      </w:tr>
    </w:tbl>
    <w:p w14:paraId="6D95F05A">
      <w:pPr>
        <w:pStyle w:val="3"/>
        <w:spacing w:before="78" w:line="241" w:lineRule="auto"/>
        <w:ind w:left="9" w:right="119" w:firstLine="48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332A45B">
      <w:pPr>
        <w:pStyle w:val="3"/>
        <w:bidi w:val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样本内几乎贴合该曲线，但样本内精度不足以支持跨尺度外推。外部检验显示：跨族基准</w:t>
      </w:r>
      <m:oMath>
        <m:sSup>
          <m:sSupP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=0.60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，文献点</w:t>
      </w:r>
      <m:oMath>
        <m:sSup>
          <m:sSupP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=0.73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；Cerebras半合成轨迹对不上，</w:t>
      </w:r>
      <m:oMath>
        <m:sSup>
          <m:sSupP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shd w:val="clear" w:fill="FFFFFF"/>
                <w:lang w:val="en-US"/>
              </w:rPr>
            </m:ctrlPr>
          </m:sup>
        </m:sSup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为负。因此经典形式只作为条件基线，不作为无条件泛化结论。</w:t>
      </w:r>
    </w:p>
    <w:p w14:paraId="0BC89D5F">
      <w:pPr>
        <w:pStyle w:val="3"/>
        <w:spacing w:before="155" w:line="220" w:lineRule="auto"/>
        <w:ind w:left="6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4.2    </w:t>
      </w:r>
      <w:r>
        <w:rPr>
          <w:rFonts w:hint="eastAsia"/>
          <w:b/>
          <w:bCs/>
          <w:spacing w:val="-2"/>
        </w:rPr>
        <w:t>质量修正与配比调制</w:t>
      </w:r>
    </w:p>
    <w:p w14:paraId="7D797B90">
      <w:pPr>
        <w:pStyle w:val="3"/>
        <w:spacing w:before="1" w:line="215" w:lineRule="auto"/>
        <w:ind w:left="12" w:firstLine="477"/>
        <w:jc w:val="both"/>
        <w:rPr>
          <w:rFonts w:hint="eastAsia"/>
          <w:spacing w:val="-3"/>
        </w:rPr>
      </w:pPr>
      <w:r>
        <w:rPr>
          <w:rFonts w:hint="eastAsia"/>
          <w:spacing w:val="-3"/>
        </w:rPr>
        <w:t>设参照质量</w:t>
      </w:r>
      <m:oMath>
        <m:sSub>
          <m:sSubPr>
            <m:ctrlPr>
              <w:rPr>
                <w:rFonts w:ascii="Cambria Math" w:hAnsi="Cambria Math"/>
                <w:i/>
                <w:spacing w:val="-3"/>
              </w:rPr>
            </m:ctrlPr>
          </m:sSubPr>
          <m:e>
            <m:r>
              <m:rPr/>
              <w:rPr>
                <w:rFonts w:hint="default" w:ascii="Cambria Math" w:hAnsi="Cambria Math"/>
                <w:spacing w:val="-3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spacing w:val="-3"/>
              </w:rPr>
            </m:ctrlPr>
          </m:e>
          <m:sub>
            <m:r>
              <m:rPr/>
              <w:rPr>
                <w:rFonts w:hint="default" w:ascii="Cambria Math" w:hAnsi="Cambria Math"/>
                <w:spacing w:val="-3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  <w:spacing w:val="-3"/>
              </w:rPr>
            </m:ctrlPr>
          </m:sub>
        </m:sSub>
      </m:oMath>
      <w:r>
        <w:rPr>
          <w:rFonts w:hint="eastAsia"/>
          <w:spacing w:val="-3"/>
        </w:rPr>
        <w:t>=0.333。定义质量修正因子</w:t>
      </w:r>
    </w:p>
    <w:p w14:paraId="65EA141F">
      <w:pPr>
        <w:pStyle w:val="3"/>
        <w:spacing w:before="1" w:line="215" w:lineRule="auto"/>
        <w:ind w:left="12" w:firstLine="477"/>
        <w:jc w:val="both"/>
      </w:pPr>
      <w:r>
        <w:drawing>
          <wp:inline distT="0" distB="0" distL="114300" distR="114300">
            <wp:extent cx="5753100" cy="601980"/>
            <wp:effectExtent l="0" t="0" r="7620" b="762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A145">
      <w:pPr>
        <w:pStyle w:val="3"/>
        <w:spacing w:before="1" w:line="215" w:lineRule="auto"/>
        <w:ind w:left="12" w:firstLine="477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γ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=0.29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为质量响应指数，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k&gt;0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为质量修正强度，</w:t>
      </w:r>
      <m:oMath>
        <m:sSub>
          <m:sSubP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m:t>(x)</m:t>
            </m: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e>
          <m:sub>
            <m:r>
              <m:rPr/>
              <w:rPr>
                <w:rFonts w:hint="default" w:ascii="Cambria Math" w:hAnsi="Cambria Math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m:t>+</m:t>
            </m: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=max(x,0)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。当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Q=</w:t>
      </w:r>
      <m:oMath>
        <m:sSub>
          <m:sSubP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  <m:t>Q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aps w:val="0"/>
                <w:color w:val="0F1115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  <m:t>ref</m:t>
            </m:r>
            <m:ctrlPr>
              <w:rPr>
                <w:rFonts w:ascii="Cambria Math" w:hAnsi="Cambria Math" w:cs="Times New Roman"/>
                <w:i/>
                <w:caps w:val="0"/>
                <w:color w:val="0F1115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f(Q)=1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，广义标度律退回经典形式。质量提高时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f(Q)&lt;</w:t>
      </w: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，损失下降；质量低于参照值时修正项为零，不额外惩罚，以保持模型简洁。</w:t>
      </w:r>
    </w:p>
    <w:p w14:paraId="0757AEB8">
      <w:pPr>
        <w:pStyle w:val="3"/>
        <w:spacing w:before="1" w:line="215" w:lineRule="auto"/>
        <w:ind w:left="12" w:firstLine="477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将质量修正作用于经典幂律的参数项：</w:t>
      </w:r>
    </w:p>
    <w:p w14:paraId="2F84288F">
      <w:pPr>
        <w:pStyle w:val="3"/>
        <w:spacing w:before="1" w:line="215" w:lineRule="auto"/>
        <w:ind w:left="12" w:firstLine="477"/>
        <w:jc w:val="both"/>
      </w:pPr>
      <w:r>
        <w:drawing>
          <wp:inline distT="0" distB="0" distL="114300" distR="114300">
            <wp:extent cx="5760720" cy="426720"/>
            <wp:effectExtent l="0" t="0" r="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687E">
      <w:pPr>
        <w:pStyle w:val="3"/>
        <w:spacing w:before="1" w:line="215" w:lineRule="auto"/>
        <w:ind w:left="12" w:firstLine="477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配比调制采用问题一配比回归的预测损失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^(p)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。设参照配比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pref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为问题一推荐配方，定义</w:t>
      </w:r>
    </w:p>
    <w:p w14:paraId="3A0A0406">
      <w:pPr>
        <w:pStyle w:val="3"/>
        <w:spacing w:before="1" w:line="215" w:lineRule="auto"/>
        <w:ind w:left="12" w:firstLine="477"/>
        <w:jc w:val="both"/>
      </w:pPr>
      <w:r>
        <w:drawing>
          <wp:inline distT="0" distB="0" distL="114300" distR="114300">
            <wp:extent cx="5844540" cy="403860"/>
            <wp:effectExtent l="0" t="0" r="7620" b="762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875F">
      <w:pPr>
        <w:pStyle w:val="3"/>
        <w:spacing w:before="1" w:line="215" w:lineRule="auto"/>
        <w:ind w:left="12" w:firstLine="477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为配比迁移强度。当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p=pref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ϕ(p)=1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，配比项不改变经典形式。综合式(4)–(8)，广义标度律为</w:t>
      </w:r>
    </w:p>
    <w:p w14:paraId="338C6C6A">
      <w:pPr>
        <w:pStyle w:val="3"/>
        <w:spacing w:before="1" w:line="215" w:lineRule="auto"/>
        <w:ind w:left="12" w:firstLine="477"/>
        <w:jc w:val="both"/>
      </w:pPr>
      <w:r>
        <w:drawing>
          <wp:inline distT="0" distB="0" distL="114300" distR="114300">
            <wp:extent cx="5753100" cy="441960"/>
            <wp:effectExtent l="0" t="0" r="7620" b="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2F1F">
      <w:pPr>
        <w:pStyle w:val="3"/>
        <w:spacing w:before="1" w:line="215" w:lineRule="auto"/>
        <w:ind w:left="12" w:firstLine="477"/>
        <w:jc w:val="both"/>
        <w:rPr>
          <w:rFonts w:hint="eastAsia"/>
        </w:rPr>
      </w:pPr>
      <w:r>
        <w:rPr>
          <w:rFonts w:hint="eastAsia"/>
        </w:rPr>
        <w:t>质量指数γ=0.29来自半合成表B6；B7得到0.30，含外推的B8得不到正γ，因此不将质量修正外推到超大尺度。配比迁移强度τ在附件中缺少共同N,D,Q,p全因子实验，不能从数据中共同识别，本文将其作为显式结构假设，默认取τ=1进行条件分析。</w:t>
      </w:r>
    </w:p>
    <w:p w14:paraId="65DEDBB6">
      <w:pPr>
        <w:pStyle w:val="3"/>
        <w:spacing w:before="155" w:line="220" w:lineRule="auto"/>
        <w:ind w:left="6"/>
        <w:outlineLvl w:val="1"/>
        <w:rPr>
          <w:rFonts w:hint="eastAsia"/>
          <w:b/>
          <w:bCs/>
          <w:spacing w:val="-2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4.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3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</w:t>
      </w:r>
      <w:r>
        <w:rPr>
          <w:rFonts w:hint="eastAsia"/>
          <w:b/>
          <w:bCs/>
          <w:spacing w:val="-2"/>
        </w:rPr>
        <w:t>质量—规模替代条件</w:t>
      </w:r>
    </w:p>
    <w:p w14:paraId="37C543D7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在固定D和p下，将质量由Q提升到Q′，损失记为L′。若保持原质量Q，通过扩大参数量达到相同损失，则等价参数量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eq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满足</w:t>
      </w:r>
    </w:p>
    <w:p w14:paraId="15D9B9EA">
      <w:pPr>
        <w:pStyle w:val="3"/>
        <w:bidi w:val="0"/>
      </w:pPr>
      <w:r>
        <w:drawing>
          <wp:inline distT="0" distB="0" distL="114300" distR="114300">
            <wp:extent cx="5791200" cy="480060"/>
            <wp:effectExtent l="0" t="0" r="0" b="762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4C87">
      <w:pPr>
        <w:pStyle w:val="3"/>
        <w:bidi w:val="0"/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解得</w:t>
      </w:r>
    </w:p>
    <w:p w14:paraId="13DE3F2E">
      <w:pPr>
        <w:pStyle w:val="3"/>
        <w:bidi w:val="0"/>
      </w:pPr>
      <w:r>
        <w:drawing>
          <wp:inline distT="0" distB="0" distL="114300" distR="114300">
            <wp:extent cx="5791200" cy="685800"/>
            <wp:effectExtent l="0" t="0" r="0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982B">
      <w:pPr>
        <w:pStyle w:val="3"/>
        <w:bidi w:val="0"/>
        <w:ind w:firstLine="5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在6.9B参数、300Btoken处，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Q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ref</m:t>
            </m:r>
            <m:ctrlPr>
              <w:rPr>
                <w:rFonts w:ascii="Cambria Math" w:hAnsi="Cambria Math"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=0.333，质量提高0.1，即Q′=0.433。代入式(6)得f(Q)=0.9567，由式(11)反解得到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eq</m:t>
            </m:r>
            <m:ctrlPr>
              <w:rPr>
                <w:rFonts w:ascii="Cambria Math" w:hAnsi="Cambria Math"/>
                <w:lang w:val="en-US"/>
              </w:rPr>
            </m:ctrlPr>
          </m:sub>
        </m:sSub>
      </m:oMath>
      <w:r>
        <w:rPr>
          <w:rFonts w:hint="default"/>
          <w:lang w:val="en-US" w:eastAsia="zh-CN"/>
        </w:rPr>
        <w:t>≈9.4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B，即原参数量的1.37倍。该等价为固定D与配比下的性能等价，不是固定算力下的成本等价。预算内比较时，须将边际损失降幅除以边际算力成本，再比较质量与规模的相对优劣。</w:t>
      </w:r>
    </w:p>
    <w:p w14:paraId="253DA757">
      <w:pPr>
        <w:pStyle w:val="3"/>
        <w:bidi w:val="0"/>
        <w:ind w:firstLine="5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39995" cy="2753360"/>
            <wp:effectExtent l="0" t="0" r="4445" b="5080"/>
            <wp:docPr id="68" name="图片 68" descr="质量对损失的影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质量对损失的影响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41E8">
      <w:pPr>
        <w:pStyle w:val="3"/>
        <w:bidi w:val="0"/>
        <w:ind w:firstLine="500" w:firstLineChars="0"/>
        <w:jc w:val="center"/>
        <w:rPr>
          <w:rFonts w:hint="default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图</w:t>
      </w:r>
      <w:r>
        <w:rPr>
          <w:rFonts w:hint="default" w:ascii="Arial" w:hAnsi="Arial" w:eastAsia="宋体" w:cs="Arial"/>
          <w:color w:val="000000"/>
          <w:spacing w:val="-38"/>
          <w:kern w:val="0"/>
          <w:sz w:val="21"/>
          <w:szCs w:val="21"/>
        </w:rPr>
        <w:t xml:space="preserve"> </w:t>
      </w:r>
      <w:r>
        <w:rPr>
          <w:rFonts w:hint="eastAsia" w:ascii="Arial" w:hAnsi="Arial" w:cs="Arial"/>
          <w:color w:val="000000"/>
          <w:spacing w:val="-38"/>
          <w:kern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</w:rPr>
        <w:t xml:space="preserve">    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质量对损失的影响</w:t>
      </w:r>
    </w:p>
    <w:p w14:paraId="790252A4">
      <w:pPr>
        <w:pStyle w:val="3"/>
        <w:spacing w:before="155" w:line="220" w:lineRule="auto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4.4    验证与边界</w:t>
      </w:r>
    </w:p>
    <w:p w14:paraId="7D52FE32">
      <w:pPr>
        <w:pStyle w:val="3"/>
        <w:bidi w:val="0"/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源留规模检验中，经典形式样本内近乎贴合；跨族基准与文献点检验尚可，半合成轨迹失效。质量修正项在B6分组验证中有效，但B6为半合成数据，不能表述为真实训练中清洗数据必然产生同等收益。配比调制依赖问题一配比回归，当配比固定为问题一推荐配方时ϕ(p)=1，广义标度律退化为质量修正形式。</w:t>
      </w:r>
    </w:p>
    <w:p w14:paraId="651DF730">
      <w:pPr>
        <w:pStyle w:val="3"/>
        <w:bidi w:val="0"/>
        <w:ind w:firstLine="500" w:firstLineChars="0"/>
        <w:rPr>
          <w:rFonts w:hint="eastAsia"/>
          <w:lang w:val="en-US" w:eastAsia="zh-CN"/>
        </w:rPr>
      </w:pPr>
    </w:p>
    <w:p w14:paraId="0EFD8214">
      <w:pPr>
        <w:pStyle w:val="3"/>
        <w:bidi w:val="0"/>
        <w:ind w:firstLine="500" w:firstLineChars="0"/>
        <w:rPr>
          <w:rFonts w:hint="eastAsia"/>
          <w:lang w:val="en-US" w:eastAsia="zh-CN"/>
        </w:rPr>
      </w:pPr>
    </w:p>
    <w:p w14:paraId="4F8DB130">
      <w:pPr>
        <w:pStyle w:val="3"/>
        <w:bidi w:val="0"/>
        <w:ind w:firstLine="500" w:firstLineChars="0"/>
        <w:rPr>
          <w:rFonts w:hint="eastAsia"/>
          <w:lang w:val="en-US" w:eastAsia="zh-CN"/>
        </w:rPr>
      </w:pPr>
    </w:p>
    <w:p w14:paraId="78711E60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 xml:space="preserve">6 </w:t>
      </w:r>
      <w:r>
        <w:rPr>
          <w:rFonts w:hint="eastAsia"/>
        </w:rPr>
        <w:t xml:space="preserve">   经典标度律参数估计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38"/>
        <w:gridCol w:w="1938"/>
        <w:gridCol w:w="1938"/>
      </w:tblGrid>
      <w:tr w14:paraId="4932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1F3D2DA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检验来源</w:t>
            </w:r>
          </w:p>
        </w:tc>
        <w:tc>
          <w:tcPr>
            <w:tcW w:w="19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6A27E1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结果</w:t>
            </w:r>
          </w:p>
        </w:tc>
        <w:tc>
          <w:tcPr>
            <w:tcW w:w="19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6058CB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证据强度</w:t>
            </w:r>
          </w:p>
        </w:tc>
      </w:tr>
      <w:tr w14:paraId="15B2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4827E84B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Pythia 样本内</w:t>
            </w:r>
          </w:p>
        </w:tc>
        <w:tc>
          <w:tcPr>
            <w:tcW w:w="19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01345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近乎贴合</w:t>
            </w:r>
          </w:p>
        </w:tc>
        <w:tc>
          <w:tcPr>
            <w:tcW w:w="19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F4E56F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同源拟合，仅支持表内规律</w:t>
            </w:r>
          </w:p>
        </w:tc>
      </w:tr>
      <w:tr w14:paraId="0278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10255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跨族基准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3A6A0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lang w:val="en-US" w:eastAsia="zh-CN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=0.60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EFFE5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条件外推</w:t>
            </w:r>
          </w:p>
        </w:tc>
      </w:tr>
      <w:tr w14:paraId="2F96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FCB75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文献点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41F88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lang w:val="en-US" w:eastAsia="zh-CN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=0.73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045E4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条件外推</w:t>
            </w:r>
          </w:p>
        </w:tc>
      </w:tr>
      <w:tr w14:paraId="4146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C751B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Cerebras 半合成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6960E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宋体"/>
                      <w:lang w:val="en-US" w:eastAsia="zh-CN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lang w:val="en-US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为负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0E88A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不支持</w:t>
            </w:r>
          </w:p>
        </w:tc>
      </w:tr>
      <w:tr w14:paraId="3A17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AD0EF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B6 质量修正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A170A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γ=0.29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409E6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半合成，不外推</w:t>
            </w:r>
          </w:p>
        </w:tc>
      </w:tr>
      <w:tr w14:paraId="14CB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8A5AF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B7 质量修正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C9CEF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γ=0.30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8AAB3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半合成，不外推</w:t>
            </w:r>
          </w:p>
        </w:tc>
      </w:tr>
      <w:tr w14:paraId="410B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93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A75F00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B8 含外推</w:t>
            </w:r>
          </w:p>
        </w:tc>
        <w:tc>
          <w:tcPr>
            <w:tcW w:w="193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C2503F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得不到正γ</w:t>
            </w:r>
          </w:p>
        </w:tc>
        <w:tc>
          <w:tcPr>
            <w:tcW w:w="193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7DAEC3">
            <w:pPr>
              <w:pStyle w:val="3"/>
              <w:bidi w:val="0"/>
              <w:rPr>
                <w:rFonts w:hint="eastAsia" w:ascii="宋体" w:hAnsi="宋体" w:eastAsia="宋体" w:cs="宋体"/>
                <w:b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lang w:val="en-US" w:eastAsia="zh-CN"/>
              </w:rPr>
              <w:t>不支持超大尺度</w:t>
            </w:r>
          </w:p>
        </w:tc>
      </w:tr>
    </w:tbl>
    <w:p w14:paraId="588AF6BF">
      <w:pPr>
        <w:pStyle w:val="3"/>
        <w:bidi w:val="0"/>
        <w:ind w:firstLine="500" w:firstLineChars="0"/>
      </w:pPr>
    </w:p>
    <w:p w14:paraId="08DDBBA5">
      <w:pPr>
        <w:pStyle w:val="3"/>
        <w:bidi w:val="0"/>
        <w:ind w:firstLine="50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Cs w:val="24"/>
          <w:shd w:val="clear" w:fill="FFFFFF"/>
          <w:lang w:val="en-US" w:eastAsia="zh-CN"/>
        </w:rPr>
      </w:pPr>
      <w:r>
        <w:t>综上，广义标度律在给定参照质量与配比下可退回经典形式，质量修正与配比调制分别作为条件项引入。结论限于已检查数据、假设与候选集，不宣称跨模型族、跨尺度或真实训练中的因果最优。</w:t>
      </w:r>
    </w:p>
    <w:p w14:paraId="42620233">
      <w:pPr>
        <w:spacing w:line="244" w:lineRule="auto"/>
        <w:rPr>
          <w:rFonts w:ascii="Arial"/>
          <w:sz w:val="21"/>
        </w:rPr>
      </w:pPr>
    </w:p>
    <w:p w14:paraId="7F185D99">
      <w:pPr>
        <w:spacing w:before="91" w:line="222" w:lineRule="auto"/>
        <w:ind w:left="2801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5    </w:t>
      </w:r>
      <w:r>
        <w:rPr>
          <w:rFonts w:ascii="黑体" w:hAnsi="黑体" w:eastAsia="黑体" w:cs="黑体"/>
          <w:spacing w:val="-1"/>
          <w:sz w:val="28"/>
          <w:szCs w:val="28"/>
        </w:rPr>
        <w:t>严格算力约束下的配置模型</w:t>
      </w:r>
    </w:p>
    <w:p w14:paraId="1FC46CD7">
      <w:pPr>
        <w:pStyle w:val="3"/>
        <w:bidi w:val="0"/>
        <w:ind w:firstLine="500" w:firstLineChars="0"/>
      </w:pPr>
      <w:r>
        <w:rPr>
          <w:rFonts w:hint="eastAsia"/>
        </w:rPr>
        <w:t>本章在总算力预算C下配置参数量N、数据量D与数据质量Q。领域配比p固定为问题一推荐配方，不再联立寻优；上下文长度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ctx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外生给定，仅取架构表中真实出现过的2048、4096、8192、32768、131072，并做敏感性分析。</w:t>
      </w:r>
    </w:p>
    <w:p w14:paraId="137682DD">
      <w:pPr>
        <w:spacing w:line="297" w:lineRule="auto"/>
        <w:jc w:val="center"/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4843145" cy="1999615"/>
            <wp:effectExtent l="0" t="0" r="3175" b="12065"/>
            <wp:docPr id="30" name="图片 30" descr="2eeda9bb-5a61-4314-964d-26f9907cc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eeda9bb-5a61-4314-964d-26f9907cc40b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275E">
      <w:pPr>
        <w:pStyle w:val="3"/>
        <w:spacing w:before="133" w:line="233" w:lineRule="auto"/>
        <w:ind w:left="13" w:firstLine="19"/>
        <w:jc w:val="center"/>
      </w:pPr>
      <w:r>
        <w:t>图</w:t>
      </w:r>
      <w:r>
        <w:rPr>
          <w:spacing w:val="-31"/>
        </w:rPr>
        <w:t xml:space="preserve"> </w:t>
      </w:r>
      <w:r>
        <w:rPr>
          <w:rFonts w:hint="eastAsia"/>
          <w:spacing w:val="-31"/>
          <w:lang w:val="en-US" w:eastAsia="zh-CN"/>
        </w:rPr>
        <w:t>6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hint="eastAsia"/>
        </w:rPr>
        <w:t>呈现的是旧参考名义情景下的预算扫描结果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对实际上下文长度的敏感性</w:t>
      </w:r>
    </w:p>
    <w:p w14:paraId="4129E41F">
      <w:pPr>
        <w:pStyle w:val="3"/>
        <w:spacing w:before="182" w:line="220" w:lineRule="auto"/>
        <w:ind w:left="1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5.1    </w:t>
      </w:r>
      <w:r>
        <w:rPr>
          <w:rFonts w:hint="eastAsia"/>
          <w:b/>
          <w:bCs/>
          <w:spacing w:val="-2"/>
        </w:rPr>
        <w:t>成本模型与预算约束</w:t>
      </w:r>
    </w:p>
    <w:p w14:paraId="626F7F8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0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总算力消耗由三部分组成。基础训练开销</w:t>
      </w:r>
    </w:p>
    <w:p w14:paraId="18DC498D">
      <w:pPr>
        <w:pStyle w:val="3"/>
        <w:spacing w:before="67" w:line="236" w:lineRule="auto"/>
        <w:ind w:left="6" w:right="119" w:firstLine="479"/>
        <w:jc w:val="both"/>
      </w:pPr>
      <w:r>
        <w:drawing>
          <wp:inline distT="0" distB="0" distL="114300" distR="114300">
            <wp:extent cx="5775960" cy="434340"/>
            <wp:effectExtent l="0" t="0" r="0" b="7620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98C5">
      <w:pPr>
        <w:pStyle w:val="3"/>
        <w:spacing w:before="67" w:line="236" w:lineRule="auto"/>
        <w:ind w:left="6" w:right="119" w:firstLine="479"/>
        <w:jc w:val="both"/>
        <w:rPr>
          <w:rFonts w:hint="default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其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中N</w:t>
      </w:r>
      <w:r>
        <w:rPr>
          <w:rFonts w:hint="default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为参数个数，D为训练Token 数。数据质量提升开销</w:t>
      </w:r>
    </w:p>
    <w:p w14:paraId="50331B50">
      <w:pPr>
        <w:pStyle w:val="3"/>
        <w:spacing w:before="67" w:line="236" w:lineRule="auto"/>
        <w:ind w:left="6" w:right="119" w:firstLine="479"/>
        <w:jc w:val="both"/>
      </w:pPr>
      <w:r>
        <w:drawing>
          <wp:inline distT="0" distB="0" distL="114300" distR="114300">
            <wp:extent cx="5798820" cy="426720"/>
            <wp:effectExtent l="0" t="0" r="7620" b="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E831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其中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Q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为基线质量，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[x]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+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=max(x,0)。长文本注意力开销</w:t>
      </w:r>
    </w:p>
    <w:p w14:paraId="18943658">
      <w:pPr>
        <w:pStyle w:val="3"/>
        <w:spacing w:before="67" w:line="236" w:lineRule="auto"/>
        <w:ind w:left="6" w:right="119" w:firstLine="479"/>
        <w:jc w:val="both"/>
      </w:pPr>
      <w:r>
        <w:drawing>
          <wp:inline distT="0" distB="0" distL="114300" distR="114300">
            <wp:extent cx="5821680" cy="403860"/>
            <wp:effectExtent l="0" t="0" r="0" b="762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4494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总成本约束为</w:t>
      </w:r>
    </w:p>
    <w:p w14:paraId="2E27CEAE">
      <w:pPr>
        <w:pStyle w:val="3"/>
        <w:spacing w:before="67" w:line="236" w:lineRule="auto"/>
        <w:ind w:left="6" w:right="119" w:firstLine="479"/>
        <w:jc w:val="both"/>
      </w:pPr>
      <w:r>
        <w:drawing>
          <wp:inline distT="0" distB="0" distL="114300" distR="114300">
            <wp:extent cx="5867400" cy="449580"/>
            <wp:effectExtent l="0" t="0" r="0" b="7620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51BC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质量成本函数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g(Q)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取附录B的三种形式：</w:t>
      </w:r>
    </w:p>
    <w:p w14:paraId="705D38FF">
      <w:pPr>
        <w:pStyle w:val="3"/>
        <w:spacing w:before="67" w:line="236" w:lineRule="auto"/>
        <w:ind w:left="6" w:right="119" w:firstLine="479"/>
        <w:jc w:val="both"/>
      </w:pPr>
      <w:r>
        <w:drawing>
          <wp:inline distT="0" distB="0" distL="114300" distR="114300">
            <wp:extent cx="5829300" cy="1173480"/>
            <wp:effectExtent l="0" t="0" r="7620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29AD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三者均满足g(Q)随Q单调递增，且g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(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Q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为基线成本。注意力开销与训练开销相等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有</w:t>
      </w:r>
    </w:p>
    <w:p w14:paraId="04C2A781">
      <w:pPr>
        <w:pStyle w:val="3"/>
        <w:spacing w:before="17"/>
        <w:ind w:left="4" w:firstLine="477"/>
        <w:jc w:val="both"/>
      </w:pPr>
      <w:r>
        <w:drawing>
          <wp:inline distT="0" distB="0" distL="114300" distR="114300">
            <wp:extent cx="5814060" cy="586740"/>
            <wp:effectExtent l="0" t="0" r="7620" b="762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4D68">
      <w:pPr>
        <w:pStyle w:val="3"/>
        <w:spacing w:before="17"/>
        <w:ind w:left="4" w:firstLine="477"/>
        <w:jc w:val="both"/>
        <w:rPr>
          <w:rFonts w:hint="eastAsia"/>
        </w:rPr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ctx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&gt;30000</w:t>
      </w:r>
      <w:r>
        <w:rPr>
          <w:rFonts w:hint="eastAsia"/>
        </w:rPr>
        <w:t>时，注意力开销超过基础训练开销；当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ctx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&lt;30000时，训练开销占主导。</w:t>
      </w:r>
    </w:p>
    <w:p w14:paraId="41D7CD12">
      <w:pPr>
        <w:pStyle w:val="3"/>
        <w:spacing w:before="17"/>
        <w:ind w:left="4" w:firstLine="477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36260" cy="2607945"/>
            <wp:effectExtent l="0" t="0" r="2540" b="13335"/>
            <wp:docPr id="69" name="图片 69" descr="花费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花费结构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4633">
      <w:pPr>
        <w:pStyle w:val="3"/>
        <w:spacing w:before="17"/>
        <w:ind w:left="4" w:firstLine="477"/>
        <w:jc w:val="center"/>
        <w:rPr>
          <w:rFonts w:hint="eastAsia" w:eastAsia="宋体"/>
          <w:lang w:eastAsia="zh-CN"/>
        </w:rPr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图</w:t>
      </w:r>
      <w:r>
        <w:rPr>
          <w:rFonts w:hint="default" w:ascii="Arial" w:hAnsi="Arial" w:eastAsia="宋体" w:cs="Arial"/>
          <w:color w:val="000000"/>
          <w:spacing w:val="-38"/>
          <w:kern w:val="0"/>
          <w:sz w:val="21"/>
          <w:szCs w:val="21"/>
        </w:rPr>
        <w:t xml:space="preserve"> </w:t>
      </w:r>
      <w:r>
        <w:rPr>
          <w:rFonts w:hint="eastAsia" w:ascii="Arial" w:hAnsi="Arial" w:cs="Arial"/>
          <w:color w:val="000000"/>
          <w:spacing w:val="-38"/>
          <w:kern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</w:rPr>
        <w:t xml:space="preserve">    </w:t>
      </w: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花费结构</w:t>
      </w:r>
    </w:p>
    <w:p w14:paraId="1316E7DE">
      <w:pPr>
        <w:pStyle w:val="3"/>
        <w:spacing w:before="156" w:line="220" w:lineRule="auto"/>
        <w:ind w:left="1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5.2    </w:t>
      </w:r>
      <w:r>
        <w:rPr>
          <w:rFonts w:hint="eastAsia"/>
          <w:b/>
          <w:bCs/>
          <w:spacing w:val="-2"/>
        </w:rPr>
        <w:t>优化模型</w:t>
      </w:r>
    </w:p>
    <w:p w14:paraId="67E5B18A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为确保与既有结果公平可比，首先冻结原参考Q0=0.629685、φ=0.900221。压力集由1个名义情景、16个条件重采样参数情景和36个结构压力情景组成，共53个。实验考察3档预算、2种上下文长度（2048/32768）和3种质量成本，共形成18个算例。</w:t>
      </w:r>
    </w:p>
    <w:p w14:paraId="69254B5E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原“安全名义方案”只是把原名义最优的数据量按最坏成本进行压缩，并未在新可行域内重新优化。为弥补这一缺口，本轮在相同旧安全方案的名义Loss约束下进一步最小化后悔。结果显示，18个算例中有9个可继续降低后悔，且改善幅度超过保守数值容差4×</w:t>
      </w:r>
      <m:oMath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−6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。因此，可以拒绝“原方案已经在全部指标上最优”的判断。</w:t>
      </w:r>
    </w:p>
    <w:p w14:paraId="4A27084D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126个候选点的最大预算比为1+2.2×</w:t>
      </w:r>
      <m:oMath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−16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，属于可忽略的浮点量级偏差。前沿子问题的最大数值差距小于2×</w:t>
      </w:r>
      <m:oMath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−6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；此外，对18×53=954个情景最优参考进行独立检查，其差距也小于2×</w:t>
      </w:r>
      <m:oMath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−6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；合并后，保守后悔最优差距小于4×</w:t>
      </w:r>
      <m:oMath>
        <m:sSup>
          <m:sSup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10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−6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。需要指出，中间点仅是对前沿的有限采样，不能据此宣称已经穷尽连续前沿。</w:t>
      </w:r>
    </w:p>
    <w:p w14:paraId="0F09D6A5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240" w:lineRule="auto"/>
        <w:ind w:left="2" w:firstLine="498"/>
        <w:jc w:val="both"/>
        <w:textAlignment w:val="baseline"/>
        <w:rPr>
          <w:rFonts w:hint="eastAsia" w:ascii="宋体" w:hAnsi="宋体" w:eastAsia="宋体" w:cs="宋体"/>
          <w:spacing w:val="-2"/>
          <w:lang w:eastAsia="zh-CN"/>
        </w:rPr>
      </w:pPr>
      <w:r>
        <w:rPr>
          <w:rFonts w:hint="eastAsia" w:ascii="宋体" w:hAnsi="宋体" w:eastAsia="宋体" w:cs="宋体"/>
          <w:spacing w:val="-2"/>
          <w:lang w:eastAsia="zh-CN"/>
        </w:rPr>
        <w:drawing>
          <wp:inline distT="0" distB="0" distL="114300" distR="114300">
            <wp:extent cx="5519420" cy="3065145"/>
            <wp:effectExtent l="0" t="0" r="12700" b="13335"/>
            <wp:docPr id="37" name="图片 37" descr="db8169ed-05af-4929-8fa1-014267a20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b8169ed-05af-4929-8fa1-014267a20b3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5E48">
      <w:pPr>
        <w:pStyle w:val="3"/>
        <w:spacing w:before="132" w:line="242" w:lineRule="auto"/>
        <w:ind w:left="10" w:firstLine="22"/>
        <w:jc w:val="center"/>
        <w:rPr>
          <w:spacing w:val="-2"/>
        </w:rPr>
      </w:pPr>
      <w:r>
        <w:t>图</w:t>
      </w:r>
      <w:r>
        <w:rPr>
          <w:spacing w:val="-38"/>
        </w:rPr>
        <w:t xml:space="preserve"> </w:t>
      </w:r>
      <w:r>
        <w:rPr>
          <w:rFonts w:hint="eastAsia"/>
          <w:spacing w:val="-38"/>
          <w:lang w:val="en-US" w:eastAsia="zh-CN"/>
        </w:rPr>
        <w:t>8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hint="eastAsia"/>
        </w:rPr>
        <w:t>原参考参数下，名义损失与最大后悔值呈现此消彼长的数值权衡</w:t>
      </w:r>
    </w:p>
    <w:p w14:paraId="0EB776D6">
      <w:pPr>
        <w:pStyle w:val="3"/>
        <w:spacing w:before="233"/>
        <w:ind w:left="2761"/>
      </w:pPr>
      <w:r>
        <w:rPr>
          <w:spacing w:val="-2"/>
        </w:rPr>
        <w:t>表</w:t>
      </w:r>
      <w:r>
        <w:rPr>
          <w:spacing w:val="-31"/>
        </w:rPr>
        <w:t xml:space="preserve"> </w:t>
      </w:r>
      <w:r>
        <w:rPr>
          <w:rFonts w:hint="eastAsia"/>
          <w:spacing w:val="-31"/>
          <w:lang w:val="en-US" w:eastAsia="zh-CN"/>
        </w:rPr>
        <w:t>7</w:t>
      </w:r>
      <w:r>
        <w:rPr>
          <w:rFonts w:ascii="Times New Roman" w:hAnsi="Times New Roman" w:eastAsia="Times New Roman" w:cs="Times New Roman"/>
          <w:spacing w:val="-2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pacing w:val="-2"/>
        </w:rPr>
        <w:t>C</w:t>
      </w:r>
      <w:r>
        <w:rPr>
          <w:rFonts w:ascii="Times New Roman" w:hAnsi="Times New Roman" w:eastAsia="Times New Roman" w:cs="Times New Roman"/>
          <w:spacing w:val="-2"/>
        </w:rPr>
        <w:t>=10</w:t>
      </w:r>
      <w:r>
        <w:rPr>
          <w:rFonts w:ascii="Times New Roman" w:hAnsi="Times New Roman" w:eastAsia="Times New Roman" w:cs="Times New Roman"/>
          <w:spacing w:val="-2"/>
          <w:position w:val="8"/>
          <w:sz w:val="15"/>
          <w:szCs w:val="15"/>
        </w:rPr>
        <w:t xml:space="preserve">19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i/>
          <w:iCs/>
          <w:spacing w:val="-2"/>
        </w:rPr>
        <w:t>ℓ</w:t>
      </w:r>
      <w:r>
        <w:rPr>
          <w:rFonts w:ascii="Times New Roman" w:hAnsi="Times New Roman" w:eastAsia="Times New Roman" w:cs="Times New Roman"/>
          <w:spacing w:val="-2"/>
        </w:rPr>
        <w:t>=2048</w:t>
      </w:r>
      <w:r>
        <w:rPr>
          <w:spacing w:val="-2"/>
        </w:rPr>
        <w:t>的同口径对照</w:t>
      </w:r>
    </w:p>
    <w:p w14:paraId="5B907B88">
      <w:pPr>
        <w:spacing w:line="107" w:lineRule="exact"/>
        <w:jc w:val="center"/>
      </w:pPr>
    </w:p>
    <w:tbl>
      <w:tblPr>
        <w:tblStyle w:val="10"/>
        <w:tblW w:w="9196" w:type="dxa"/>
        <w:tblInd w:w="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7"/>
        <w:gridCol w:w="2269"/>
        <w:gridCol w:w="2007"/>
        <w:gridCol w:w="1933"/>
      </w:tblGrid>
      <w:tr w14:paraId="2A0E79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8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2F9D104">
            <w:pPr>
              <w:spacing w:before="111" w:line="219" w:lineRule="auto"/>
              <w:ind w:left="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4"/>
                <w:szCs w:val="24"/>
              </w:rPr>
              <w:t>低预算指数成本方案</w:t>
            </w:r>
          </w:p>
        </w:tc>
        <w:tc>
          <w:tcPr>
            <w:tcW w:w="22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0830239">
            <w:pPr>
              <w:pStyle w:val="11"/>
              <w:spacing w:before="112" w:line="220" w:lineRule="auto"/>
              <w:ind w:left="84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4"/>
                <w:szCs w:val="24"/>
              </w:rPr>
              <w:t>名义</w:t>
            </w:r>
            <w:r>
              <w:rPr>
                <w:rFonts w:hint="eastAsia" w:ascii="宋体" w:hAnsi="宋体" w:eastAsia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4"/>
                <w:szCs w:val="24"/>
              </w:rPr>
              <w:t>Loss</w:t>
            </w:r>
          </w:p>
        </w:tc>
        <w:tc>
          <w:tcPr>
            <w:tcW w:w="20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485621D">
            <w:pPr>
              <w:spacing w:before="111" w:line="220" w:lineRule="auto"/>
              <w:ind w:left="44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</w:rPr>
              <w:t>最大后悔值</w:t>
            </w:r>
          </w:p>
        </w:tc>
        <w:tc>
          <w:tcPr>
            <w:tcW w:w="193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408C80F">
            <w:pPr>
              <w:spacing w:before="111" w:line="220" w:lineRule="auto"/>
              <w:ind w:left="383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</w:rPr>
              <w:t>最大预算比</w:t>
            </w:r>
          </w:p>
        </w:tc>
      </w:tr>
      <w:tr w14:paraId="045907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987" w:type="dxa"/>
            <w:tcBorders>
              <w:top w:val="single" w:color="000000" w:sz="4" w:space="0"/>
            </w:tcBorders>
            <w:vAlign w:val="top"/>
          </w:tcPr>
          <w:p w14:paraId="74026870">
            <w:pPr>
              <w:spacing w:before="108" w:line="212" w:lineRule="auto"/>
              <w:ind w:left="36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旧安全方案</w:t>
            </w:r>
          </w:p>
        </w:tc>
        <w:tc>
          <w:tcPr>
            <w:tcW w:w="2269" w:type="dxa"/>
            <w:tcBorders>
              <w:top w:val="single" w:color="000000" w:sz="4" w:space="0"/>
            </w:tcBorders>
            <w:vAlign w:val="top"/>
          </w:tcPr>
          <w:p w14:paraId="02C77DF0">
            <w:pPr>
              <w:pStyle w:val="11"/>
              <w:spacing w:before="149" w:line="188" w:lineRule="auto"/>
              <w:ind w:left="8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3"/>
                <w:sz w:val="24"/>
                <w:szCs w:val="24"/>
              </w:rPr>
              <w:t>3.113048</w:t>
            </w:r>
          </w:p>
        </w:tc>
        <w:tc>
          <w:tcPr>
            <w:tcW w:w="2007" w:type="dxa"/>
            <w:tcBorders>
              <w:top w:val="single" w:color="000000" w:sz="4" w:space="0"/>
            </w:tcBorders>
            <w:vAlign w:val="top"/>
          </w:tcPr>
          <w:p w14:paraId="754F1E46">
            <w:pPr>
              <w:pStyle w:val="11"/>
              <w:spacing w:before="149" w:line="188" w:lineRule="auto"/>
              <w:ind w:left="44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0.128388</w:t>
            </w:r>
          </w:p>
        </w:tc>
        <w:tc>
          <w:tcPr>
            <w:tcW w:w="1933" w:type="dxa"/>
            <w:tcBorders>
              <w:top w:val="single" w:color="000000" w:sz="4" w:space="0"/>
            </w:tcBorders>
            <w:vAlign w:val="top"/>
          </w:tcPr>
          <w:p w14:paraId="041B68AD">
            <w:pPr>
              <w:pStyle w:val="11"/>
              <w:spacing w:before="149" w:line="188" w:lineRule="auto"/>
              <w:ind w:left="39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1.000000</w:t>
            </w:r>
          </w:p>
        </w:tc>
      </w:tr>
      <w:tr w14:paraId="02F90F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987" w:type="dxa"/>
            <w:vAlign w:val="top"/>
          </w:tcPr>
          <w:p w14:paraId="71F9AFB8">
            <w:pPr>
              <w:spacing w:before="67" w:line="210" w:lineRule="auto"/>
              <w:ind w:left="14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安全名义重新优化</w:t>
            </w:r>
          </w:p>
        </w:tc>
        <w:tc>
          <w:tcPr>
            <w:tcW w:w="2269" w:type="dxa"/>
            <w:vAlign w:val="top"/>
          </w:tcPr>
          <w:p w14:paraId="7F8535A8">
            <w:pPr>
              <w:pStyle w:val="11"/>
              <w:spacing w:before="108" w:line="188" w:lineRule="auto"/>
              <w:ind w:left="8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3.086456</w:t>
            </w:r>
          </w:p>
        </w:tc>
        <w:tc>
          <w:tcPr>
            <w:tcW w:w="2007" w:type="dxa"/>
            <w:vAlign w:val="top"/>
          </w:tcPr>
          <w:p w14:paraId="35BF97C4">
            <w:pPr>
              <w:pStyle w:val="11"/>
              <w:spacing w:before="108" w:line="188" w:lineRule="auto"/>
              <w:ind w:left="44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0.081658</w:t>
            </w:r>
          </w:p>
        </w:tc>
        <w:tc>
          <w:tcPr>
            <w:tcW w:w="1933" w:type="dxa"/>
            <w:vAlign w:val="top"/>
          </w:tcPr>
          <w:p w14:paraId="3A2C3821">
            <w:pPr>
              <w:pStyle w:val="11"/>
              <w:spacing w:before="108" w:line="188" w:lineRule="auto"/>
              <w:ind w:left="39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1.000000</w:t>
            </w:r>
          </w:p>
        </w:tc>
      </w:tr>
      <w:tr w14:paraId="79FA5C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987" w:type="dxa"/>
            <w:tcBorders>
              <w:bottom w:val="single" w:color="000000" w:sz="6" w:space="0"/>
            </w:tcBorders>
            <w:vAlign w:val="top"/>
          </w:tcPr>
          <w:p w14:paraId="2F39216B">
            <w:pPr>
              <w:spacing w:before="68" w:line="220" w:lineRule="auto"/>
              <w:ind w:left="1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最小最大后悔端点</w:t>
            </w:r>
          </w:p>
        </w:tc>
        <w:tc>
          <w:tcPr>
            <w:tcW w:w="2269" w:type="dxa"/>
            <w:tcBorders>
              <w:bottom w:val="single" w:color="000000" w:sz="6" w:space="0"/>
            </w:tcBorders>
            <w:vAlign w:val="top"/>
          </w:tcPr>
          <w:p w14:paraId="5FF2D253">
            <w:pPr>
              <w:pStyle w:val="11"/>
              <w:spacing w:before="111" w:line="188" w:lineRule="auto"/>
              <w:ind w:left="8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3.09459</w:t>
            </w:r>
          </w:p>
        </w:tc>
        <w:tc>
          <w:tcPr>
            <w:tcW w:w="2007" w:type="dxa"/>
            <w:tcBorders>
              <w:bottom w:val="single" w:color="000000" w:sz="6" w:space="0"/>
            </w:tcBorders>
            <w:vAlign w:val="top"/>
          </w:tcPr>
          <w:p w14:paraId="6A0C052A">
            <w:pPr>
              <w:pStyle w:val="11"/>
              <w:spacing w:before="111" w:line="188" w:lineRule="auto"/>
              <w:ind w:left="44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0.066851</w:t>
            </w:r>
          </w:p>
        </w:tc>
        <w:tc>
          <w:tcPr>
            <w:tcW w:w="1933" w:type="dxa"/>
            <w:tcBorders>
              <w:bottom w:val="single" w:color="000000" w:sz="6" w:space="0"/>
            </w:tcBorders>
            <w:vAlign w:val="top"/>
          </w:tcPr>
          <w:p w14:paraId="3FAEA1C6">
            <w:pPr>
              <w:pStyle w:val="11"/>
              <w:spacing w:before="111" w:line="188" w:lineRule="auto"/>
              <w:ind w:left="399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1.000000</w:t>
            </w:r>
          </w:p>
        </w:tc>
      </w:tr>
    </w:tbl>
    <w:p w14:paraId="414BFDD2">
      <w:pPr>
        <w:spacing w:line="350" w:lineRule="auto"/>
        <w:rPr>
          <w:rFonts w:ascii="Arial"/>
          <w:sz w:val="21"/>
        </w:rPr>
      </w:pPr>
    </w:p>
    <w:p w14:paraId="2D08B62C">
      <w:pPr>
        <w:pStyle w:val="3"/>
        <w:spacing w:before="156" w:line="220" w:lineRule="auto"/>
        <w:ind w:left="1"/>
        <w:outlineLvl w:val="1"/>
        <w:rPr>
          <w:rFonts w:hint="eastAsia"/>
          <w:b/>
          <w:bCs/>
          <w:spacing w:val="-2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5.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3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</w:t>
      </w:r>
      <w:r>
        <w:rPr>
          <w:rFonts w:hint="eastAsia"/>
          <w:b/>
          <w:bCs/>
          <w:spacing w:val="-2"/>
        </w:rPr>
        <w:t>数值结果</w:t>
      </w:r>
    </w:p>
    <w:p w14:paraId="57CE2DE1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在三档预算下，三种质量成本函数均出现结构性转移。</w:t>
      </w:r>
    </w:p>
    <w:p w14:paraId="7BE69E7A">
      <w:pPr>
        <w:pStyle w:val="3"/>
        <w:spacing w:before="233"/>
        <w:ind w:left="2761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spacing w:val="-2"/>
        </w:rPr>
        <w:t>表</w:t>
      </w:r>
      <w:r>
        <w:rPr>
          <w:rFonts w:hint="eastAsia" w:ascii="宋体" w:hAnsi="宋体" w:eastAsia="宋体" w:cs="宋体"/>
          <w:spacing w:val="-31"/>
        </w:rPr>
        <w:t xml:space="preserve"> </w:t>
      </w:r>
      <w:r>
        <w:rPr>
          <w:rFonts w:hint="eastAsia" w:ascii="宋体" w:hAnsi="宋体" w:eastAsia="宋体" w:cs="宋体"/>
          <w:spacing w:val="-31"/>
          <w:lang w:val="en-US" w:eastAsia="zh-CN"/>
        </w:rPr>
        <w:t>8</w:t>
      </w:r>
      <w:r>
        <w:rPr>
          <w:rFonts w:hint="eastAsia" w:ascii="宋体" w:hAnsi="宋体" w:eastAsia="宋体" w:cs="宋体"/>
          <w:spacing w:val="-2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预算与质量投入策略</w:t>
      </w:r>
    </w:p>
    <w:tbl>
      <w:tblPr>
        <w:tblStyle w:val="10"/>
        <w:tblW w:w="7263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7"/>
        <w:gridCol w:w="2269"/>
        <w:gridCol w:w="2007"/>
      </w:tblGrid>
      <w:tr w14:paraId="72AF5D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2987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30F6222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预算C/FLOPs</w:t>
            </w:r>
          </w:p>
        </w:tc>
        <w:tc>
          <w:tcPr>
            <w:tcW w:w="2269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4A47793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质量花费占比rQ</w:t>
            </w:r>
          </w:p>
        </w:tc>
        <w:tc>
          <w:tcPr>
            <w:tcW w:w="2007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125C336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策略倾向</w:t>
            </w:r>
          </w:p>
        </w:tc>
      </w:tr>
      <w:tr w14:paraId="27B108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2987" w:type="dxa"/>
            <w:tcBorders>
              <w:top w:val="single" w:color="000000" w:sz="4" w:space="0"/>
            </w:tcBorders>
            <w:vAlign w:val="center"/>
          </w:tcPr>
          <w:p w14:paraId="68A2313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10191019</w:t>
            </w:r>
          </w:p>
        </w:tc>
        <w:tc>
          <w:tcPr>
            <w:tcW w:w="2269" w:type="dxa"/>
            <w:tcBorders>
              <w:top w:val="single" w:color="000000" w:sz="4" w:space="0"/>
            </w:tcBorders>
            <w:vAlign w:val="center"/>
          </w:tcPr>
          <w:p w14:paraId="6BBD929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约18%–27%</w:t>
            </w:r>
          </w:p>
        </w:tc>
        <w:tc>
          <w:tcPr>
            <w:tcW w:w="2007" w:type="dxa"/>
            <w:tcBorders>
              <w:top w:val="single" w:color="000000" w:sz="4" w:space="0"/>
            </w:tcBorders>
            <w:vAlign w:val="center"/>
          </w:tcPr>
          <w:p w14:paraId="3871480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质量优先</w:t>
            </w:r>
          </w:p>
        </w:tc>
      </w:tr>
      <w:tr w14:paraId="079853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2987" w:type="dxa"/>
            <w:vAlign w:val="center"/>
          </w:tcPr>
          <w:p w14:paraId="338B5EB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10221022</w:t>
            </w:r>
          </w:p>
        </w:tc>
        <w:tc>
          <w:tcPr>
            <w:tcW w:w="2269" w:type="dxa"/>
            <w:vAlign w:val="center"/>
          </w:tcPr>
          <w:p w14:paraId="452ADC9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中间过渡</w:t>
            </w:r>
          </w:p>
        </w:tc>
        <w:tc>
          <w:tcPr>
            <w:tcW w:w="2007" w:type="dxa"/>
            <w:vAlign w:val="center"/>
          </w:tcPr>
          <w:p w14:paraId="132EAB2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质量与规模并重</w:t>
            </w:r>
          </w:p>
        </w:tc>
      </w:tr>
      <w:tr w14:paraId="7D6CD9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87" w:type="dxa"/>
            <w:tcBorders>
              <w:bottom w:val="single" w:color="000000" w:sz="6" w:space="0"/>
            </w:tcBorders>
            <w:vAlign w:val="center"/>
          </w:tcPr>
          <w:p w14:paraId="6851FFA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10241024</w:t>
            </w:r>
          </w:p>
        </w:tc>
        <w:tc>
          <w:tcPr>
            <w:tcW w:w="2269" w:type="dxa"/>
            <w:tcBorders>
              <w:bottom w:val="single" w:color="000000" w:sz="6" w:space="0"/>
            </w:tcBorders>
            <w:vAlign w:val="center"/>
          </w:tcPr>
          <w:p w14:paraId="001ACE4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约1%以下</w:t>
            </w:r>
          </w:p>
        </w:tc>
        <w:tc>
          <w:tcPr>
            <w:tcW w:w="2007" w:type="dxa"/>
            <w:tcBorders>
              <w:bottom w:val="single" w:color="000000" w:sz="6" w:space="0"/>
            </w:tcBorders>
            <w:vAlign w:val="center"/>
          </w:tcPr>
          <w:p w14:paraId="3ADC402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规模优先</w:t>
            </w:r>
          </w:p>
        </w:tc>
      </w:tr>
    </w:tbl>
    <w:p w14:paraId="46E58EB3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低预算时，质量提升的边际损失下降相对显著，质量投入占比较高；高预算时，质量收益衰减，规模扩张的边际收益相对回升，质量占比降至很低。</w:t>
      </w:r>
    </w:p>
    <w:p w14:paraId="60A32FC8">
      <w:pPr>
        <w:pStyle w:val="3"/>
        <w:spacing w:before="67" w:line="236" w:lineRule="auto"/>
        <w:ind w:left="6" w:right="119" w:firstLine="479"/>
        <w:jc w:val="both"/>
        <w:rPr>
          <w:rFonts w:hint="default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default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上下文长度影响如下：</w:t>
      </w:r>
    </w:p>
    <w:p w14:paraId="5C90B27C">
      <w:pPr>
        <w:pStyle w:val="3"/>
        <w:spacing w:before="67" w:line="236" w:lineRule="auto"/>
        <w:ind w:left="6" w:right="119" w:firstLine="479"/>
        <w:jc w:val="center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表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-SA"/>
        </w:rPr>
        <w:t xml:space="preserve">9   </w:t>
      </w: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 xml:space="preserve"> 上下文长度对注意力开销与最优参数量的影响</w:t>
      </w:r>
    </w:p>
    <w:tbl>
      <w:tblPr>
        <w:tblStyle w:val="10"/>
        <w:tblW w:w="7263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7"/>
        <w:gridCol w:w="2269"/>
        <w:gridCol w:w="2007"/>
      </w:tblGrid>
      <w:tr w14:paraId="592681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2987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78FC3EE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  <w:lang w:val="en-US" w:eastAsia="zh-CN"/>
                      </w:rPr>
                      <m:t>L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  <w:lang w:val="en-US" w:eastAsia="zh-CN"/>
                      </w:rPr>
                      <m:t>ctx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2269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6162389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注意力开销占比</w:t>
            </w:r>
          </w:p>
        </w:tc>
        <w:tc>
          <w:tcPr>
            <w:tcW w:w="2007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62CACDB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最优参数量变化</w:t>
            </w:r>
          </w:p>
        </w:tc>
      </w:tr>
      <w:tr w14:paraId="49F2A3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2987" w:type="dxa"/>
            <w:tcBorders>
              <w:top w:val="single" w:color="000000" w:sz="4" w:space="0"/>
            </w:tcBorders>
            <w:vAlign w:val="center"/>
          </w:tcPr>
          <w:p w14:paraId="7C5F918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≤30000</w:t>
            </w:r>
          </w:p>
        </w:tc>
        <w:tc>
          <w:tcPr>
            <w:tcW w:w="2269" w:type="dxa"/>
            <w:tcBorders>
              <w:top w:val="single" w:color="000000" w:sz="4" w:space="0"/>
            </w:tcBorders>
            <w:vAlign w:val="center"/>
          </w:tcPr>
          <w:p w14:paraId="555A1AE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≤50%</w:t>
            </w:r>
          </w:p>
        </w:tc>
        <w:tc>
          <w:tcPr>
            <w:tcW w:w="2007" w:type="dxa"/>
            <w:tcBorders>
              <w:top w:val="single" w:color="000000" w:sz="4" w:space="0"/>
            </w:tcBorders>
            <w:vAlign w:val="center"/>
          </w:tcPr>
          <w:p w14:paraId="127F233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正常配置</w:t>
            </w:r>
          </w:p>
        </w:tc>
      </w:tr>
      <w:tr w14:paraId="5C20B4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2987" w:type="dxa"/>
            <w:vAlign w:val="center"/>
          </w:tcPr>
          <w:p w14:paraId="56E23A1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&gt;30000</w:t>
            </w:r>
          </w:p>
        </w:tc>
        <w:tc>
          <w:tcPr>
            <w:tcW w:w="2269" w:type="dxa"/>
            <w:vAlign w:val="center"/>
          </w:tcPr>
          <w:p w14:paraId="58FED76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&gt;50%</w:t>
            </w:r>
          </w:p>
        </w:tc>
        <w:tc>
          <w:tcPr>
            <w:tcW w:w="2007" w:type="dxa"/>
            <w:vAlign w:val="center"/>
          </w:tcPr>
          <w:p w14:paraId="18DDD15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最优</w:t>
            </w: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24"/>
                      <w:szCs w:val="24"/>
                      <w:lang w:val="en-US" w:bidi="ar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snapToGrid w:val="0"/>
                      <w:color w:val="00000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aps w:val="0"/>
                      <w:snapToGrid w:val="0"/>
                      <w:color w:val="00000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m:t>∗</m:t>
                  </m:r>
                  <m:ctrlPr>
                    <w:rPr>
                      <w:rFonts w:hint="eastAsia" w:ascii="Cambria Math" w:hAnsi="Cambria Math" w:eastAsia="宋体" w:cs="宋体"/>
                      <w:i/>
                      <w:iCs w:val="0"/>
                      <w:caps w:val="0"/>
                      <w:snapToGrid w:val="0"/>
                      <w:color w:val="000000"/>
                      <w:spacing w:val="0"/>
                      <w:kern w:val="0"/>
                      <w:sz w:val="24"/>
                      <w:szCs w:val="24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下降</w:t>
            </w:r>
          </w:p>
        </w:tc>
      </w:tr>
    </w:tbl>
    <w:p w14:paraId="1869C7ED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当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ctx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超过临界值30000后，注意力开销吃掉一半以上预算，可用于参数与数据规模的预算被压缩，最优参数量随之下降。该结论在三种质量成本函数下均成立。</w:t>
      </w:r>
    </w:p>
    <w:p w14:paraId="15DB8831">
      <w:pPr>
        <w:pStyle w:val="3"/>
        <w:spacing w:before="156" w:line="220" w:lineRule="auto"/>
        <w:ind w:left="1"/>
        <w:outlineLvl w:val="1"/>
        <w:rPr>
          <w:rFonts w:hint="eastAsia"/>
          <w:b/>
          <w:bCs/>
          <w:spacing w:val="-2"/>
        </w:rPr>
      </w:pPr>
      <w:r>
        <w:rPr>
          <w:rFonts w:hint="default"/>
          <w:b/>
          <w:bCs/>
          <w:spacing w:val="-2"/>
        </w:rPr>
        <w:t>5.</w:t>
      </w:r>
      <w:r>
        <w:rPr>
          <w:rFonts w:hint="eastAsia"/>
          <w:b/>
          <w:bCs/>
          <w:spacing w:val="-2"/>
          <w:lang w:val="en-US" w:eastAsia="zh-CN"/>
        </w:rPr>
        <w:t>4</w:t>
      </w:r>
      <w:r>
        <w:rPr>
          <w:rFonts w:hint="default"/>
          <w:b/>
          <w:bCs/>
          <w:spacing w:val="-2"/>
        </w:rPr>
        <w:t xml:space="preserve"> </w:t>
      </w:r>
      <w:r>
        <w:rPr>
          <w:rFonts w:hint="eastAsia"/>
          <w:b/>
          <w:bCs/>
          <w:spacing w:val="-2"/>
          <w:lang w:val="en-US" w:eastAsia="zh-CN"/>
        </w:rPr>
        <w:t xml:space="preserve">   </w:t>
      </w:r>
      <w:r>
        <w:rPr>
          <w:rFonts w:hint="default"/>
          <w:b/>
          <w:bCs/>
          <w:spacing w:val="-2"/>
        </w:rPr>
        <w:t>结论与边界</w:t>
      </w:r>
    </w:p>
    <w:p w14:paraId="60530FAA">
      <w:pPr>
        <w:pStyle w:val="3"/>
        <w:spacing w:before="67" w:line="236" w:lineRule="auto"/>
        <w:ind w:left="6" w:right="119" w:firstLine="479"/>
        <w:jc w:val="both"/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在给定成本函数、离散上下文长度与附件口径下，预算从低到高出现结构性转移：低预算偏向质量优先，高预算转为规模优先。临界长度</w:t>
      </w:r>
      <m:oMath>
        <m:sSub>
          <m:sSub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zh-CN" w:bidi="ar-SA"/>
              </w:rPr>
              <m:t>ctx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24"/>
                <w:szCs w:val="24"/>
                <w:shd w:val="clear" w:fill="FFFFFF"/>
                <w:lang w:val="en-US" w:eastAsia="en-US" w:bidi="ar-SA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snapToGrid w:val="0"/>
          <w:color w:val="0F1115"/>
          <w:spacing w:val="0"/>
          <w:kern w:val="0"/>
          <w:sz w:val="24"/>
          <w:szCs w:val="24"/>
          <w:shd w:val="clear" w:fill="FFFFFF"/>
          <w:lang w:val="en-US" w:eastAsia="en-US" w:bidi="ar-SA"/>
        </w:rPr>
        <w:t>=30000为解析结果，超过该值后注意力开销主导预算。配比固定为问题一推荐配方，未与N,D,Q联立优化。上述配置为条件最优，不宣称全局最优，也不将结果外推到附件观测范围之外。</w:t>
      </w:r>
    </w:p>
    <w:p w14:paraId="4B097BB1">
      <w:pPr>
        <w:spacing w:line="258" w:lineRule="auto"/>
        <w:rPr>
          <w:rFonts w:ascii="Arial"/>
          <w:sz w:val="21"/>
        </w:rPr>
      </w:pPr>
    </w:p>
    <w:p w14:paraId="75BBA1FD">
      <w:pPr>
        <w:spacing w:before="91" w:line="221" w:lineRule="auto"/>
        <w:ind w:left="2940"/>
        <w:outlineLvl w:val="0"/>
        <w:rPr>
          <w:rFonts w:ascii="黑体" w:hAnsi="黑体" w:eastAsia="黑体" w:cs="黑体"/>
          <w:spacing w:val="-1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    </w:t>
      </w:r>
      <w:r>
        <w:rPr>
          <w:rFonts w:ascii="黑体" w:hAnsi="黑体" w:eastAsia="黑体" w:cs="黑体"/>
          <w:spacing w:val="-1"/>
          <w:sz w:val="28"/>
          <w:szCs w:val="28"/>
        </w:rPr>
        <w:t>能力度量与技术演进面板</w:t>
      </w:r>
    </w:p>
    <w:p w14:paraId="7805C5A0">
      <w:pPr>
        <w:pStyle w:val="3"/>
        <w:bidi w:val="0"/>
        <w:ind w:firstLine="500" w:firstLineChars="0"/>
        <w:rPr>
          <w:rFonts w:ascii="黑体" w:hAnsi="黑体" w:eastAsia="黑体" w:cs="黑体"/>
          <w:spacing w:val="-1"/>
          <w:szCs w:val="28"/>
        </w:rPr>
      </w:pPr>
      <w:r>
        <w:rPr>
          <w:rFonts w:hint="eastAsia"/>
        </w:rPr>
        <w:t>本章完成问题四：以六维Benchmark均分度量综合能力，按提交日期与可复现许可证筛选模型，分离规模扩张与非规模技术进步贡献，建立Loss—分数分层桥接，并在算力增长放缓情景下预测未来12/24个月开源模型能力前沿。</w:t>
      </w:r>
    </w:p>
    <w:p w14:paraId="110FE483">
      <w:pPr>
        <w:pStyle w:val="3"/>
        <w:spacing w:before="78" w:line="220" w:lineRule="auto"/>
        <w:ind w:left="8"/>
        <w:outlineLvl w:val="1"/>
        <w:rPr>
          <w:rFonts w:hint="default"/>
          <w:b/>
          <w:bCs/>
          <w:spacing w:val="-2"/>
        </w:rPr>
      </w:pPr>
      <w:r>
        <w:rPr>
          <w:rFonts w:hint="default"/>
          <w:b/>
          <w:bCs/>
          <w:spacing w:val="-2"/>
        </w:rPr>
        <w:t xml:space="preserve">6.1 </w:t>
      </w:r>
      <w:r>
        <w:rPr>
          <w:rFonts w:hint="eastAsia"/>
          <w:b/>
          <w:bCs/>
          <w:spacing w:val="-2"/>
          <w:lang w:val="en-US" w:eastAsia="zh-CN"/>
        </w:rPr>
        <w:t xml:space="preserve">   </w:t>
      </w:r>
      <w:r>
        <w:rPr>
          <w:rFonts w:hint="default"/>
          <w:b/>
          <w:bCs/>
          <w:spacing w:val="-2"/>
        </w:rPr>
        <w:t>能力度量与数据筛选</w:t>
      </w:r>
    </w:p>
    <w:p w14:paraId="04D1FA80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综合能力分S采用榜单六维归一化Benchmark的等权均值，保持0–100分口径：</w:t>
      </w:r>
    </w:p>
    <w:p w14:paraId="4CCA485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right="0" w:firstLine="500" w:firstLineChars="0"/>
      </w:pPr>
      <w:r>
        <w:drawing>
          <wp:inline distT="0" distB="0" distL="114300" distR="114300">
            <wp:extent cx="5836920" cy="685800"/>
            <wp:effectExtent l="0" t="0" r="0" b="0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CA18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ij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为模型i在第j维的归一化得分。时间轴按提交日期计，不混用发布日期或版本日期。模型类型区分pretrained与chat/finetuned。</w:t>
      </w:r>
    </w:p>
    <w:p w14:paraId="2097861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right="0" w:firstLine="500" w:firstLineChars="0"/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t>许可证筛选仅保留Apache、MIT、Llama、Gemma等可复现类型。筛选条件记为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br w:type="textWrapping"/>
      </w:r>
      <w:r>
        <w:drawing>
          <wp:inline distT="0" distB="0" distL="114300" distR="114300">
            <wp:extent cx="5829300" cy="464820"/>
            <wp:effectExtent l="0" t="0" r="7620" b="762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0377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  <w:lang w:val="en-US" w:eastAsia="zh-CN"/>
        </w:rPr>
        <w:t>W</w:t>
      </w:r>
      <w:r>
        <w:rPr>
          <w:rFonts w:hint="eastAsia"/>
        </w:rPr>
        <w:t>为许可证白名单。该筛选不等于每一行的权重可下载性均经实时核验，仅用于构造条件面板。开放权重模型按Epoch发布日期统计宏观算力与数据量。</w:t>
      </w:r>
    </w:p>
    <w:p w14:paraId="399D20CA">
      <w:pPr>
        <w:pStyle w:val="3"/>
        <w:bidi w:val="0"/>
        <w:ind w:firstLine="500" w:firstLineChars="0"/>
        <w:rPr>
          <w:rFonts w:hint="eastAsia"/>
        </w:rPr>
      </w:pPr>
    </w:p>
    <w:p w14:paraId="1E2E8AA9">
      <w:pPr>
        <w:pStyle w:val="3"/>
        <w:spacing w:before="78" w:line="220" w:lineRule="auto"/>
        <w:ind w:left="8"/>
        <w:outlineLvl w:val="1"/>
        <w:rPr>
          <w:b/>
          <w:bCs/>
          <w:spacing w:val="-2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6.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2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</w:t>
      </w:r>
      <w:r>
        <w:rPr>
          <w:b/>
          <w:bCs/>
          <w:spacing w:val="-2"/>
        </w:rPr>
        <w:t>有界条件前沿与时间检验</w:t>
      </w:r>
    </w:p>
    <w:p w14:paraId="375645DF">
      <w:pPr>
        <w:pStyle w:val="3"/>
        <w:bidi w:val="0"/>
        <w:ind w:firstLine="500" w:firstLineChars="0"/>
        <w:rPr>
          <w:rFonts w:hint="eastAsia"/>
        </w:rPr>
      </w:pPr>
      <w:r>
        <w:rPr>
          <w:rFonts w:hint="eastAsia"/>
        </w:rPr>
        <w:t>对综合能力分作有界变换：</w:t>
      </w:r>
    </w:p>
    <w:p w14:paraId="1241E98A">
      <w:pPr>
        <w:pStyle w:val="3"/>
        <w:bidi w:val="0"/>
      </w:pPr>
      <w:r>
        <w:drawing>
          <wp:inline distT="0" distB="0" distL="114300" distR="114300">
            <wp:extent cx="5775960" cy="594360"/>
            <wp:effectExtent l="0" t="0" r="0" b="0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291B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其中log</w:t>
      </w:r>
      <w:r>
        <w:rPr>
          <w:rFonts w:hint="default"/>
        </w:rPr>
        <w:t>it(x)=</w:t>
      </w:r>
      <w:r>
        <w:rPr>
          <w:rFonts w:hint="eastAsia"/>
          <w:lang w:val="en-US" w:eastAsia="zh-CN"/>
        </w:rPr>
        <w:t>ln</w:t>
      </w:r>
      <m:oMath>
        <m:f>
          <m:fPr>
            <m:ctrlPr>
              <w:rPr>
                <w:rFonts w:hint="eastAsia"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x</m:t>
            </m:r>
            <m:ctrlPr>
              <w:rPr>
                <w:rFonts w:hint="eastAsia"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1−x</m:t>
            </m:r>
            <m:ctrlPr>
              <w:rPr>
                <w:rFonts w:hint="eastAsia" w:ascii="Cambria Math" w:hAnsi="Cambria Math"/>
              </w:rPr>
            </m:ctrlPr>
          </m:den>
        </m:f>
      </m:oMath>
      <w:r>
        <w:rPr>
          <w:rFonts w:hint="default"/>
        </w:rPr>
        <w:t>。以参数对数lnNi、提交时间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和类型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拟合0.9分位回归：</w:t>
      </w:r>
    </w:p>
    <w:p w14:paraId="0421AC05">
      <w:pPr>
        <w:pStyle w:val="3"/>
        <w:bidi w:val="0"/>
      </w:pPr>
      <w:r>
        <w:drawing>
          <wp:inline distT="0" distB="0" distL="114300" distR="114300">
            <wp:extent cx="5875020" cy="472440"/>
            <wp:effectExtent l="0" t="0" r="7620" b="0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7F24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约束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≥0、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≥0，类型系数自由。分位数回归采用pinball损失：</w:t>
      </w:r>
    </w:p>
    <w:p w14:paraId="6175EADA">
      <w:pPr>
        <w:pStyle w:val="3"/>
        <w:bidi w:val="0"/>
      </w:pPr>
      <w:r>
        <w:drawing>
          <wp:inline distT="0" distB="0" distL="114300" distR="114300">
            <wp:extent cx="5806440" cy="419100"/>
            <wp:effectExtent l="0" t="0" r="0" b="762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3632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其中u</w:t>
      </w:r>
      <w:r>
        <w:rPr>
          <w:rFonts w:hint="default"/>
        </w:rPr>
        <w:t>=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−</w:t>
      </w:r>
      <m:oMath>
        <m:sSub>
          <m:sSubPr>
            <m:ctrlPr>
              <w:rPr>
                <w:rFonts w:hint="eastAsia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F^</m:t>
            </m:r>
            <m:ctrlPr>
              <w:rPr>
                <w:rFonts w:hint="eastAsia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</w:rPr>
            </m:ctrlPr>
          </m:sub>
        </m:sSub>
      </m:oMath>
      <w:r>
        <w:rPr>
          <w:rFonts w:hint="default"/>
        </w:rPr>
        <w:t>。覆盖率定义为</w:t>
      </w:r>
    </w:p>
    <w:p w14:paraId="6428939C">
      <w:pPr>
        <w:pStyle w:val="3"/>
        <w:bidi w:val="0"/>
      </w:pPr>
      <w:r>
        <w:drawing>
          <wp:inline distT="0" distB="0" distL="114300" distR="114300">
            <wp:extent cx="5859780" cy="632460"/>
            <wp:effectExtent l="0" t="0" r="7620" b="7620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B3CE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开发期滚动检验中，动态模型pinball为1.303，优于静态的1.587。末期探索性检验中，组合pinball为1.092，静态为1.146；但组合RMSE为12.489，反而高于静态的10.800。组合相对静态的pinball差值家族重采样95%区间跨越零，不能宣称收益已被确认。覆盖率方面，时间模型约98.2%，组合约93.6%。</w:t>
      </w:r>
    </w:p>
    <w:p w14:paraId="51A403FB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011545" cy="2296795"/>
            <wp:effectExtent l="0" t="0" r="8255" b="4445"/>
            <wp:docPr id="44" name="图片 44" descr="3768e8e7-195f-4ed1-ab1c-6f19e589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3768e8e7-195f-4ed1-ab1c-6f19e589159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2C0">
      <w:pPr>
        <w:pStyle w:val="3"/>
        <w:spacing w:before="132" w:line="242" w:lineRule="auto"/>
        <w:ind w:left="4" w:right="120" w:firstLine="28"/>
        <w:jc w:val="center"/>
        <w:rPr>
          <w:rFonts w:ascii="Times New Roman" w:hAnsi="Times New Roman" w:eastAsia="Times New Roman" w:cs="Times New Roman"/>
          <w:b/>
          <w:bCs/>
          <w:spacing w:val="-3"/>
        </w:rPr>
      </w:pPr>
      <w:r>
        <w:rPr>
          <w:spacing w:val="6"/>
        </w:rPr>
        <w:t>图</w:t>
      </w:r>
      <w:r>
        <w:rPr>
          <w:spacing w:val="-31"/>
        </w:rPr>
        <w:t xml:space="preserve"> </w:t>
      </w:r>
      <w:r>
        <w:rPr>
          <w:rFonts w:hint="eastAsia"/>
          <w:spacing w:val="-31"/>
          <w:lang w:val="en-US" w:eastAsia="zh-CN"/>
        </w:rPr>
        <w:t>9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6"/>
        </w:rPr>
        <w:t>时间前沿的开发与末期探索性检验</w:t>
      </w:r>
      <w:r>
        <w:rPr>
          <w:spacing w:val="-7"/>
        </w:rPr>
        <w:t>。</w:t>
      </w:r>
    </w:p>
    <w:p w14:paraId="17013015">
      <w:pPr>
        <w:pStyle w:val="3"/>
        <w:spacing w:before="152" w:line="220" w:lineRule="auto"/>
        <w:ind w:left="8"/>
        <w:outlineLvl w:val="1"/>
      </w:pPr>
      <w:r>
        <w:rPr>
          <w:rFonts w:ascii="Times New Roman" w:hAnsi="Times New Roman" w:eastAsia="Times New Roman" w:cs="Times New Roman"/>
          <w:b/>
          <w:bCs/>
          <w:spacing w:val="-3"/>
        </w:rPr>
        <w:t>6.</w:t>
      </w:r>
      <w:r>
        <w:rPr>
          <w:rFonts w:hint="eastAsia" w:ascii="Times New Roman" w:hAnsi="Times New Roman" w:cs="Times New Roman"/>
          <w:b/>
          <w:bCs/>
          <w:spacing w:val="-3"/>
          <w:lang w:val="en-US" w:eastAsia="zh-CN"/>
        </w:rPr>
        <w:t>3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    </w:t>
      </w:r>
      <w:r>
        <w:rPr>
          <w:rFonts w:hint="eastAsia"/>
          <w:b/>
          <w:bCs/>
          <w:spacing w:val="-3"/>
        </w:rPr>
        <w:t>规模与非规模贡献分解</w:t>
      </w:r>
    </w:p>
    <w:p w14:paraId="4224F5C5">
      <w:pPr>
        <w:pStyle w:val="3"/>
        <w:bidi w:val="0"/>
        <w:ind w:firstLine="500" w:firstLineChars="0"/>
        <w:rPr>
          <w:rFonts w:hint="default"/>
        </w:rPr>
      </w:pPr>
      <w:r>
        <w:rPr>
          <w:rFonts w:hint="eastAsia"/>
        </w:rPr>
        <w:t>记F</w:t>
      </w:r>
      <w:r>
        <w:rPr>
          <w:rFonts w:hint="default"/>
        </w:rPr>
        <w:t>(N,t)为固定类型的前沿函数。早期与末期代表规模为N0,N1，时间为t0,t1。采用对称两因素分解：</w:t>
      </w:r>
    </w:p>
    <w:p w14:paraId="19105CF9">
      <w:pPr>
        <w:pStyle w:val="3"/>
        <w:bidi w:val="0"/>
        <w:jc w:val="center"/>
        <w:rPr>
          <w:rFonts w:hint="default"/>
        </w:rPr>
      </w:pPr>
      <w:r>
        <w:drawing>
          <wp:inline distT="0" distB="0" distL="114300" distR="114300">
            <wp:extent cx="5783580" cy="975360"/>
            <wp:effectExtent l="0" t="0" r="7620" b="0"/>
            <wp:docPr id="4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A070">
      <w:pPr>
        <w:pStyle w:val="3"/>
        <w:bidi w:val="0"/>
        <w:ind w:firstLine="500" w:firstLineChars="0"/>
        <w:rPr>
          <w:rFonts w:ascii="Arial"/>
          <w:sz w:val="21"/>
        </w:rPr>
      </w:pPr>
      <w:r>
        <w:rPr>
          <w:rFonts w:hint="eastAsia"/>
        </w:rPr>
        <w:t>对话/微调模型中，规模扩张贡献约30%，非规模技术进步约70%。预训练模型后期提交的参数量并没有变大，分数上升主要来自非规模因素。剩余时间项同时包含架构、数据工程、对齐、提交选择及未观测口径变化，不能等同于纯技术进步的因果贡献。</w:t>
      </w:r>
    </w:p>
    <w:p w14:paraId="0C30C7DB">
      <w:pPr>
        <w:pStyle w:val="3"/>
        <w:spacing w:before="275" w:line="220" w:lineRule="auto"/>
        <w:jc w:val="center"/>
      </w:pPr>
      <w:r>
        <w:rPr>
          <w:spacing w:val="-2"/>
        </w:rPr>
        <w:t>表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10    </w:t>
      </w:r>
      <w:r>
        <w:rPr>
          <w:rFonts w:hint="eastAsia"/>
          <w:spacing w:val="-2"/>
        </w:rPr>
        <w:t>规模与非规模贡献分解</w:t>
      </w:r>
    </w:p>
    <w:p w14:paraId="7FA1C001">
      <w:pPr>
        <w:spacing w:line="134" w:lineRule="exact"/>
      </w:pPr>
    </w:p>
    <w:tbl>
      <w:tblPr>
        <w:tblStyle w:val="10"/>
        <w:tblW w:w="4861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1790"/>
        <w:gridCol w:w="1588"/>
      </w:tblGrid>
      <w:tr w14:paraId="2D3283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  <w:jc w:val="center"/>
        </w:trPr>
        <w:tc>
          <w:tcPr>
            <w:tcW w:w="1483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093700D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模型类型</w:t>
            </w:r>
          </w:p>
        </w:tc>
        <w:tc>
          <w:tcPr>
            <w:tcW w:w="1790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0CC81BE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规模项占比</w:t>
            </w:r>
          </w:p>
        </w:tc>
        <w:tc>
          <w:tcPr>
            <w:tcW w:w="1588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2EE9010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非规模项占比</w:t>
            </w:r>
          </w:p>
        </w:tc>
      </w:tr>
      <w:tr w14:paraId="7F55D0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  <w:jc w:val="center"/>
        </w:trPr>
        <w:tc>
          <w:tcPr>
            <w:tcW w:w="1483" w:type="dxa"/>
            <w:tcBorders>
              <w:top w:val="single" w:color="000000" w:sz="4" w:space="0"/>
            </w:tcBorders>
            <w:vAlign w:val="center"/>
          </w:tcPr>
          <w:p w14:paraId="03DAA9C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对话/微调</w:t>
            </w:r>
          </w:p>
        </w:tc>
        <w:tc>
          <w:tcPr>
            <w:tcW w:w="1790" w:type="dxa"/>
            <w:tcBorders>
              <w:top w:val="single" w:color="000000" w:sz="4" w:space="0"/>
            </w:tcBorders>
            <w:vAlign w:val="center"/>
          </w:tcPr>
          <w:p w14:paraId="11C6D99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约 30%</w:t>
            </w:r>
          </w:p>
        </w:tc>
        <w:tc>
          <w:tcPr>
            <w:tcW w:w="1588" w:type="dxa"/>
            <w:tcBorders>
              <w:top w:val="single" w:color="000000" w:sz="4" w:space="0"/>
            </w:tcBorders>
            <w:vAlign w:val="center"/>
          </w:tcPr>
          <w:p w14:paraId="495593C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约 70%</w:t>
            </w:r>
          </w:p>
        </w:tc>
      </w:tr>
      <w:tr w14:paraId="4D2411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483" w:type="dxa"/>
            <w:tcBorders>
              <w:bottom w:val="single" w:color="000000" w:sz="6" w:space="0"/>
            </w:tcBorders>
            <w:vAlign w:val="center"/>
          </w:tcPr>
          <w:p w14:paraId="0D7456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预训练</w:t>
            </w:r>
          </w:p>
        </w:tc>
        <w:tc>
          <w:tcPr>
            <w:tcW w:w="1790" w:type="dxa"/>
            <w:tcBorders>
              <w:bottom w:val="single" w:color="000000" w:sz="6" w:space="0"/>
            </w:tcBorders>
            <w:vAlign w:val="center"/>
          </w:tcPr>
          <w:p w14:paraId="5DDA356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后期参数量未增大，分数上升主要来自非规模因素</w:t>
            </w:r>
          </w:p>
        </w:tc>
        <w:tc>
          <w:tcPr>
            <w:tcW w:w="1588" w:type="dxa"/>
            <w:tcBorders>
              <w:bottom w:val="single" w:color="000000" w:sz="6" w:space="0"/>
            </w:tcBorders>
            <w:vAlign w:val="center"/>
          </w:tcPr>
          <w:p w14:paraId="41AED72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</w:tbl>
    <w:p w14:paraId="393E44E4">
      <w:pPr>
        <w:pStyle w:val="3"/>
        <w:bidi w:val="0"/>
        <w:rPr>
          <w:rFonts w:hint="eastAsia" w:eastAsia="宋体"/>
          <w:lang w:eastAsia="zh-CN"/>
        </w:rPr>
      </w:pPr>
    </w:p>
    <w:p w14:paraId="058ED45F">
      <w:pPr>
        <w:pStyle w:val="3"/>
        <w:bidi w:val="0"/>
        <w:rPr>
          <w:rFonts w:hint="eastAsia" w:eastAsia="宋体"/>
          <w:lang w:eastAsia="zh-CN"/>
        </w:rPr>
      </w:pPr>
    </w:p>
    <w:p w14:paraId="27B05BE9">
      <w:pPr>
        <w:pStyle w:val="3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72455" cy="3831590"/>
            <wp:effectExtent l="0" t="0" r="12065" b="8890"/>
            <wp:docPr id="71" name="图片 71" descr="规模与技术贡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规模与技术贡献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F323">
      <w:pPr>
        <w:pStyle w:val="3"/>
        <w:bidi w:val="0"/>
        <w:jc w:val="center"/>
      </w:pPr>
      <w:r>
        <w:rPr>
          <w:rFonts w:hint="default" w:ascii="Arial" w:hAnsi="Arial" w:eastAsia="宋体" w:cs="Arial"/>
          <w:color w:val="000000"/>
          <w:kern w:val="0"/>
          <w:sz w:val="21"/>
          <w:szCs w:val="21"/>
        </w:rPr>
        <w:t>图</w:t>
      </w:r>
      <w:r>
        <w:rPr>
          <w:rFonts w:hint="default" w:ascii="Arial" w:hAnsi="Arial" w:eastAsia="宋体" w:cs="Arial"/>
          <w:color w:val="000000"/>
          <w:spacing w:val="-38"/>
          <w:kern w:val="0"/>
          <w:sz w:val="21"/>
          <w:szCs w:val="21"/>
        </w:rPr>
        <w:t xml:space="preserve"> </w:t>
      </w:r>
      <w:r>
        <w:rPr>
          <w:rFonts w:hint="eastAsia" w:ascii="Arial" w:hAnsi="Arial" w:cs="Arial"/>
          <w:color w:val="000000"/>
          <w:spacing w:val="-38"/>
          <w:kern w:val="0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</w:rPr>
        <w:t xml:space="preserve">    规模与技术贡献</w:t>
      </w:r>
    </w:p>
    <w:p w14:paraId="46E80561">
      <w:pPr>
        <w:pStyle w:val="3"/>
        <w:spacing w:before="162" w:line="220" w:lineRule="auto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>6.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4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</w:t>
      </w:r>
      <w:r>
        <w:rPr>
          <w:b/>
          <w:bCs/>
          <w:spacing w:val="-2"/>
        </w:rPr>
        <w:t>算力增长放缓的未来情景</w:t>
      </w:r>
    </w:p>
    <w:p w14:paraId="6E6FA153">
      <w:pPr>
        <w:pStyle w:val="3"/>
        <w:spacing w:before="106" w:line="192" w:lineRule="auto"/>
        <w:ind w:left="1" w:right="120" w:firstLine="478"/>
        <w:jc w:val="both"/>
        <w:rPr>
          <w:rFonts w:hint="eastAsia" w:ascii="Times New Roman" w:hAnsi="Times New Roman" w:eastAsia="Times New Roman" w:cs="Times New Roman"/>
          <w:spacing w:val="2"/>
        </w:rPr>
      </w:pPr>
      <w:r>
        <w:rPr>
          <w:rFonts w:hint="eastAsia" w:ascii="Times New Roman" w:hAnsi="Times New Roman" w:eastAsia="Times New Roman" w:cs="Times New Roman"/>
          <w:spacing w:val="2"/>
        </w:rPr>
        <w:t>以最后观测日T0的规模N0为锚点，规模代理为</w:t>
      </w:r>
    </w:p>
    <w:p w14:paraId="38775CC4">
      <w:pPr>
        <w:pStyle w:val="3"/>
        <w:spacing w:before="106" w:line="192" w:lineRule="auto"/>
        <w:ind w:left="1" w:right="120" w:firstLine="478"/>
        <w:jc w:val="center"/>
      </w:pPr>
      <w:r>
        <w:drawing>
          <wp:inline distT="0" distB="0" distL="114300" distR="114300">
            <wp:extent cx="5821680" cy="609600"/>
            <wp:effectExtent l="0" t="0" r="0" b="0"/>
            <wp:docPr id="4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1363E">
      <w:pPr>
        <w:pStyle w:val="3"/>
        <w:spacing w:before="106" w:line="192" w:lineRule="auto"/>
        <w:ind w:left="1" w:right="120" w:firstLine="478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</w:t>
      </w:r>
      <m:oMath>
        <m:sSub>
          <m:sSubP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m:t>r</m:t>
            </m: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e>
          <m:sub>
            <m:r>
              <m:rPr/>
              <w:rPr>
                <w:rFonts w:hint="default" w:ascii="Cambria Math" w:hAnsi="Cambria Math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m:t>hist</m:t>
            </m:r>
            <m:ctrlPr>
              <w:rPr>
                <w:rFonts w:ascii="Cambria Math" w:hAnsi="Cambria Math" w:cs="Segoe UI"/>
                <w:i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为历史年对数算力增速，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为增长倍率，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ξ=β/(α+β)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。取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f=1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为基线，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f=1/2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为放缓情景。以2025年开源最高分47.2为起点，条件前沿预测为</w:t>
      </w:r>
    </w:p>
    <w:p w14:paraId="61ECFCCB">
      <w:pPr>
        <w:pStyle w:val="3"/>
        <w:spacing w:before="106" w:line="192" w:lineRule="auto"/>
        <w:ind w:left="1" w:right="120" w:firstLine="478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867400" cy="365760"/>
            <wp:effectExtent l="0" t="0" r="0" b="0"/>
            <wp:docPr id="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CC49">
      <w:pPr>
        <w:pStyle w:val="3"/>
        <w:spacing w:before="78" w:line="220" w:lineRule="auto"/>
        <w:ind w:left="2131"/>
        <w:rPr>
          <w:spacing w:val="-5"/>
        </w:rPr>
      </w:pPr>
    </w:p>
    <w:p w14:paraId="207440FE">
      <w:pPr>
        <w:pStyle w:val="3"/>
        <w:spacing w:before="78" w:line="220" w:lineRule="auto"/>
        <w:ind w:left="2131"/>
        <w:rPr>
          <w:spacing w:val="-5"/>
        </w:rPr>
      </w:pPr>
    </w:p>
    <w:p w14:paraId="263AB81F">
      <w:pPr>
        <w:pStyle w:val="3"/>
        <w:spacing w:before="78" w:line="220" w:lineRule="auto"/>
        <w:ind w:left="2131"/>
        <w:rPr>
          <w:spacing w:val="-5"/>
        </w:rPr>
      </w:pPr>
    </w:p>
    <w:p w14:paraId="1D617985">
      <w:pPr>
        <w:pStyle w:val="3"/>
        <w:spacing w:before="78" w:line="220" w:lineRule="auto"/>
        <w:ind w:left="2131"/>
        <w:rPr>
          <w:spacing w:val="-5"/>
        </w:rPr>
      </w:pPr>
    </w:p>
    <w:p w14:paraId="68EDB0B2">
      <w:pPr>
        <w:pStyle w:val="3"/>
        <w:spacing w:before="78" w:line="220" w:lineRule="auto"/>
        <w:ind w:left="2131"/>
      </w:pPr>
      <w:r>
        <w:rPr>
          <w:spacing w:val="-5"/>
        </w:rPr>
        <w:t>表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11    </w:t>
      </w:r>
      <w:r>
        <w:rPr>
          <w:spacing w:val="-5"/>
        </w:rPr>
        <w:t>从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2026</w:t>
      </w:r>
      <w:r>
        <w:rPr>
          <w:spacing w:val="-5"/>
        </w:rPr>
        <w:t>年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9</w:t>
      </w:r>
      <w:r>
        <w:rPr>
          <w:spacing w:val="-5"/>
        </w:rPr>
        <w:t>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24</w:t>
      </w:r>
      <w:r>
        <w:rPr>
          <w:spacing w:val="-5"/>
        </w:rPr>
        <w:t>日</w:t>
      </w:r>
      <w:r>
        <w:rPr>
          <w:rFonts w:hint="eastAsia"/>
          <w:spacing w:val="-5"/>
          <w:lang w:val="en-US" w:eastAsia="zh-CN"/>
        </w:rPr>
        <w:t>进行的</w:t>
      </w:r>
      <w:r>
        <w:rPr>
          <w:spacing w:val="-5"/>
        </w:rPr>
        <w:t>预训练</w:t>
      </w:r>
    </w:p>
    <w:p w14:paraId="093392EF">
      <w:pPr>
        <w:spacing w:line="135" w:lineRule="exact"/>
      </w:pPr>
    </w:p>
    <w:tbl>
      <w:tblPr>
        <w:tblStyle w:val="10"/>
        <w:tblW w:w="9196" w:type="dxa"/>
        <w:tblInd w:w="7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1886"/>
        <w:gridCol w:w="2015"/>
        <w:gridCol w:w="3658"/>
      </w:tblGrid>
      <w:tr w14:paraId="1924B5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63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3C09F51">
            <w:pPr>
              <w:spacing w:before="11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目标日</w:t>
            </w:r>
          </w:p>
        </w:tc>
        <w:tc>
          <w:tcPr>
            <w:tcW w:w="188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55470BF">
            <w:pPr>
              <w:spacing w:before="112" w:line="220" w:lineRule="auto"/>
              <w:ind w:left="5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201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0CDAAC5">
            <w:pPr>
              <w:spacing w:before="111" w:line="220" w:lineRule="auto"/>
              <w:ind w:left="4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条件前沿分</w:t>
            </w:r>
          </w:p>
        </w:tc>
        <w:tc>
          <w:tcPr>
            <w:tcW w:w="365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87AA412">
            <w:pPr>
              <w:spacing w:before="111" w:line="219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参数重采样区间</w:t>
            </w:r>
          </w:p>
        </w:tc>
      </w:tr>
      <w:tr w14:paraId="5BC465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37" w:type="dxa"/>
            <w:tcBorders>
              <w:top w:val="single" w:color="000000" w:sz="4" w:space="0"/>
            </w:tcBorders>
            <w:vAlign w:val="top"/>
          </w:tcPr>
          <w:p w14:paraId="5215AFBA">
            <w:pPr>
              <w:pStyle w:val="11"/>
              <w:spacing w:before="147" w:line="188" w:lineRule="auto"/>
              <w:ind w:left="5"/>
            </w:pPr>
            <w:r>
              <w:rPr>
                <w:spacing w:val="-1"/>
              </w:rPr>
              <w:t>2027-09-24</w:t>
            </w:r>
          </w:p>
        </w:tc>
        <w:tc>
          <w:tcPr>
            <w:tcW w:w="1886" w:type="dxa"/>
            <w:tcBorders>
              <w:top w:val="single" w:color="000000" w:sz="4" w:space="0"/>
            </w:tcBorders>
            <w:vAlign w:val="top"/>
          </w:tcPr>
          <w:p w14:paraId="2DA3F9FD">
            <w:pPr>
              <w:spacing w:before="105" w:line="219" w:lineRule="auto"/>
              <w:ind w:left="5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静态</w:t>
            </w:r>
          </w:p>
        </w:tc>
        <w:tc>
          <w:tcPr>
            <w:tcW w:w="2015" w:type="dxa"/>
            <w:tcBorders>
              <w:top w:val="single" w:color="000000" w:sz="4" w:space="0"/>
            </w:tcBorders>
            <w:vAlign w:val="top"/>
          </w:tcPr>
          <w:p w14:paraId="2C0A0188">
            <w:pPr>
              <w:pStyle w:val="11"/>
              <w:spacing w:before="147" w:line="188" w:lineRule="auto"/>
              <w:ind w:left="422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34.</w:t>
            </w:r>
            <w:r>
              <w:rPr>
                <w:rFonts w:hint="eastAsia" w:eastAsia="宋体"/>
                <w:spacing w:val="-2"/>
                <w:lang w:val="en-US" w:eastAsia="zh-CN"/>
              </w:rPr>
              <w:t>18</w:t>
            </w:r>
          </w:p>
        </w:tc>
        <w:tc>
          <w:tcPr>
            <w:tcW w:w="3658" w:type="dxa"/>
            <w:tcBorders>
              <w:top w:val="single" w:color="000000" w:sz="4" w:space="0"/>
            </w:tcBorders>
            <w:vAlign w:val="top"/>
          </w:tcPr>
          <w:p w14:paraId="50873E10">
            <w:pPr>
              <w:pStyle w:val="11"/>
              <w:spacing w:before="147" w:line="188" w:lineRule="auto"/>
              <w:ind w:left="422"/>
            </w:pPr>
            <w:r>
              <w:rPr>
                <w:spacing w:val="-2"/>
              </w:rPr>
              <w:t>[27.24, 36.66]</w:t>
            </w:r>
          </w:p>
        </w:tc>
      </w:tr>
      <w:tr w14:paraId="0E1CA4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637" w:type="dxa"/>
            <w:vAlign w:val="top"/>
          </w:tcPr>
          <w:p w14:paraId="496F82E8">
            <w:pPr>
              <w:pStyle w:val="11"/>
              <w:spacing w:before="92" w:line="188" w:lineRule="auto"/>
              <w:ind w:left="5"/>
            </w:pPr>
            <w:r>
              <w:rPr>
                <w:spacing w:val="-1"/>
              </w:rPr>
              <w:t>2027-09-24</w:t>
            </w:r>
          </w:p>
        </w:tc>
        <w:tc>
          <w:tcPr>
            <w:tcW w:w="1886" w:type="dxa"/>
            <w:vAlign w:val="top"/>
          </w:tcPr>
          <w:p w14:paraId="1650E979">
            <w:pPr>
              <w:spacing w:before="51" w:line="220" w:lineRule="auto"/>
              <w:ind w:left="5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动态</w:t>
            </w:r>
          </w:p>
        </w:tc>
        <w:tc>
          <w:tcPr>
            <w:tcW w:w="2015" w:type="dxa"/>
            <w:vAlign w:val="top"/>
          </w:tcPr>
          <w:p w14:paraId="0653CC40">
            <w:pPr>
              <w:pStyle w:val="11"/>
              <w:spacing w:before="92" w:line="188" w:lineRule="auto"/>
              <w:ind w:left="421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73.0</w:t>
            </w:r>
            <w:r>
              <w:rPr>
                <w:rFonts w:hint="eastAsia" w:eastAsia="宋体"/>
                <w:spacing w:val="-2"/>
                <w:lang w:val="en-US" w:eastAsia="zh-CN"/>
              </w:rPr>
              <w:t>3</w:t>
            </w:r>
          </w:p>
        </w:tc>
        <w:tc>
          <w:tcPr>
            <w:tcW w:w="3658" w:type="dxa"/>
            <w:vAlign w:val="top"/>
          </w:tcPr>
          <w:p w14:paraId="191CADF0">
            <w:pPr>
              <w:pStyle w:val="11"/>
              <w:spacing w:before="92" w:line="188" w:lineRule="auto"/>
              <w:ind w:left="422"/>
            </w:pPr>
            <w:r>
              <w:rPr>
                <w:spacing w:val="-3"/>
              </w:rPr>
              <w:t>[54.65,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86.19]</w:t>
            </w:r>
          </w:p>
        </w:tc>
      </w:tr>
      <w:tr w14:paraId="054F46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637" w:type="dxa"/>
            <w:vAlign w:val="top"/>
          </w:tcPr>
          <w:p w14:paraId="15A7AE2C">
            <w:pPr>
              <w:pStyle w:val="11"/>
              <w:spacing w:before="95" w:line="188" w:lineRule="auto"/>
              <w:ind w:left="5"/>
            </w:pPr>
            <w:r>
              <w:rPr>
                <w:spacing w:val="-1"/>
              </w:rPr>
              <w:t>2027-09-24</w:t>
            </w:r>
          </w:p>
        </w:tc>
        <w:tc>
          <w:tcPr>
            <w:tcW w:w="1886" w:type="dxa"/>
            <w:vAlign w:val="top"/>
          </w:tcPr>
          <w:p w14:paraId="7A43CF38">
            <w:pPr>
              <w:spacing w:before="53" w:line="220" w:lineRule="auto"/>
              <w:ind w:left="5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固定组合</w:t>
            </w:r>
          </w:p>
        </w:tc>
        <w:tc>
          <w:tcPr>
            <w:tcW w:w="2015" w:type="dxa"/>
            <w:vAlign w:val="top"/>
          </w:tcPr>
          <w:p w14:paraId="1C23D7C3">
            <w:pPr>
              <w:pStyle w:val="11"/>
              <w:spacing w:before="95" w:line="188" w:lineRule="auto"/>
              <w:ind w:left="424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53.5</w:t>
            </w:r>
            <w:r>
              <w:rPr>
                <w:rFonts w:hint="eastAsia" w:eastAsia="宋体"/>
                <w:spacing w:val="-2"/>
                <w:lang w:val="en-US" w:eastAsia="zh-CN"/>
              </w:rPr>
              <w:t>4</w:t>
            </w:r>
          </w:p>
        </w:tc>
        <w:tc>
          <w:tcPr>
            <w:tcW w:w="3658" w:type="dxa"/>
            <w:vAlign w:val="top"/>
          </w:tcPr>
          <w:p w14:paraId="02FC0176">
            <w:pPr>
              <w:pStyle w:val="11"/>
              <w:spacing w:before="95" w:line="188" w:lineRule="auto"/>
              <w:ind w:left="422"/>
            </w:pPr>
            <w:r>
              <w:rPr>
                <w:spacing w:val="-3"/>
              </w:rPr>
              <w:t>[44.36,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59.68]</w:t>
            </w:r>
          </w:p>
        </w:tc>
      </w:tr>
      <w:tr w14:paraId="6EE37F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637" w:type="dxa"/>
            <w:vAlign w:val="top"/>
          </w:tcPr>
          <w:p w14:paraId="068B13BC">
            <w:pPr>
              <w:pStyle w:val="11"/>
              <w:spacing w:before="97" w:line="188" w:lineRule="auto"/>
              <w:ind w:left="5"/>
            </w:pPr>
            <w:r>
              <w:rPr>
                <w:spacing w:val="-1"/>
              </w:rPr>
              <w:t>2028-09-24</w:t>
            </w:r>
          </w:p>
        </w:tc>
        <w:tc>
          <w:tcPr>
            <w:tcW w:w="1886" w:type="dxa"/>
            <w:vAlign w:val="top"/>
          </w:tcPr>
          <w:p w14:paraId="379D6067">
            <w:pPr>
              <w:spacing w:before="55" w:line="219" w:lineRule="auto"/>
              <w:ind w:left="5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静态</w:t>
            </w:r>
          </w:p>
        </w:tc>
        <w:tc>
          <w:tcPr>
            <w:tcW w:w="2015" w:type="dxa"/>
            <w:vAlign w:val="top"/>
          </w:tcPr>
          <w:p w14:paraId="1707C33B">
            <w:pPr>
              <w:pStyle w:val="11"/>
              <w:spacing w:before="97" w:line="188" w:lineRule="auto"/>
              <w:ind w:left="422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35.3</w:t>
            </w:r>
            <w:r>
              <w:rPr>
                <w:rFonts w:hint="eastAsia" w:eastAsia="宋体"/>
                <w:spacing w:val="-2"/>
                <w:lang w:val="en-US" w:eastAsia="zh-CN"/>
              </w:rPr>
              <w:t>0</w:t>
            </w:r>
          </w:p>
        </w:tc>
        <w:tc>
          <w:tcPr>
            <w:tcW w:w="3658" w:type="dxa"/>
            <w:vAlign w:val="top"/>
          </w:tcPr>
          <w:p w14:paraId="31FA89BB">
            <w:pPr>
              <w:pStyle w:val="11"/>
              <w:spacing w:before="97" w:line="188" w:lineRule="auto"/>
              <w:ind w:left="422"/>
            </w:pPr>
            <w:r>
              <w:rPr>
                <w:spacing w:val="-2"/>
              </w:rPr>
              <w:t>[28.18, 38.02]</w:t>
            </w:r>
          </w:p>
        </w:tc>
      </w:tr>
      <w:tr w14:paraId="085BDC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637" w:type="dxa"/>
            <w:vAlign w:val="top"/>
          </w:tcPr>
          <w:p w14:paraId="790177FA">
            <w:pPr>
              <w:pStyle w:val="11"/>
              <w:spacing w:before="99" w:line="188" w:lineRule="auto"/>
              <w:ind w:left="5"/>
            </w:pPr>
            <w:r>
              <w:rPr>
                <w:spacing w:val="-1"/>
              </w:rPr>
              <w:t>2028-09-24</w:t>
            </w:r>
          </w:p>
        </w:tc>
        <w:tc>
          <w:tcPr>
            <w:tcW w:w="1886" w:type="dxa"/>
            <w:vAlign w:val="top"/>
          </w:tcPr>
          <w:p w14:paraId="344AC12B">
            <w:pPr>
              <w:spacing w:before="57" w:line="218" w:lineRule="auto"/>
              <w:ind w:left="5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动态</w:t>
            </w:r>
          </w:p>
        </w:tc>
        <w:tc>
          <w:tcPr>
            <w:tcW w:w="2015" w:type="dxa"/>
            <w:vAlign w:val="top"/>
          </w:tcPr>
          <w:p w14:paraId="71517D29">
            <w:pPr>
              <w:pStyle w:val="11"/>
              <w:spacing w:before="99" w:line="188" w:lineRule="auto"/>
              <w:ind w:left="427"/>
              <w:rPr>
                <w:rFonts w:hint="eastAsia" w:eastAsia="宋体"/>
                <w:lang w:val="en-US" w:eastAsia="zh-CN"/>
              </w:rPr>
            </w:pPr>
            <w:r>
              <w:rPr>
                <w:spacing w:val="-3"/>
              </w:rPr>
              <w:t>83.4</w:t>
            </w:r>
            <w:r>
              <w:rPr>
                <w:rFonts w:hint="eastAsia" w:eastAsia="宋体"/>
                <w:spacing w:val="-3"/>
                <w:lang w:val="en-US" w:eastAsia="zh-CN"/>
              </w:rPr>
              <w:t>0</w:t>
            </w:r>
          </w:p>
        </w:tc>
        <w:tc>
          <w:tcPr>
            <w:tcW w:w="3658" w:type="dxa"/>
            <w:vAlign w:val="top"/>
          </w:tcPr>
          <w:p w14:paraId="37A2DC24">
            <w:pPr>
              <w:pStyle w:val="11"/>
              <w:spacing w:before="99" w:line="188" w:lineRule="auto"/>
              <w:ind w:left="422"/>
            </w:pPr>
            <w:r>
              <w:rPr>
                <w:spacing w:val="-2"/>
              </w:rPr>
              <w:t>[64.18, 94.37]</w:t>
            </w:r>
          </w:p>
        </w:tc>
      </w:tr>
      <w:tr w14:paraId="082A92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637" w:type="dxa"/>
            <w:tcBorders>
              <w:bottom w:val="single" w:color="000000" w:sz="6" w:space="0"/>
            </w:tcBorders>
            <w:vAlign w:val="top"/>
          </w:tcPr>
          <w:p w14:paraId="6F0D5097">
            <w:pPr>
              <w:pStyle w:val="11"/>
              <w:spacing w:before="100" w:line="188" w:lineRule="auto"/>
              <w:ind w:left="5"/>
            </w:pPr>
            <w:r>
              <w:rPr>
                <w:spacing w:val="-1"/>
              </w:rPr>
              <w:t>2028-09-24</w:t>
            </w:r>
          </w:p>
        </w:tc>
        <w:tc>
          <w:tcPr>
            <w:tcW w:w="1886" w:type="dxa"/>
            <w:tcBorders>
              <w:bottom w:val="single" w:color="000000" w:sz="6" w:space="0"/>
            </w:tcBorders>
            <w:vAlign w:val="top"/>
          </w:tcPr>
          <w:p w14:paraId="38B38C4D">
            <w:pPr>
              <w:spacing w:before="59" w:line="220" w:lineRule="auto"/>
              <w:ind w:left="5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固定组合</w:t>
            </w:r>
          </w:p>
        </w:tc>
        <w:tc>
          <w:tcPr>
            <w:tcW w:w="2015" w:type="dxa"/>
            <w:tcBorders>
              <w:bottom w:val="single" w:color="000000" w:sz="6" w:space="0"/>
            </w:tcBorders>
            <w:vAlign w:val="top"/>
          </w:tcPr>
          <w:p w14:paraId="3126EDD8">
            <w:pPr>
              <w:pStyle w:val="11"/>
              <w:spacing w:before="100" w:line="188" w:lineRule="auto"/>
              <w:ind w:left="424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59.3</w:t>
            </w:r>
            <w:r>
              <w:rPr>
                <w:rFonts w:hint="eastAsia" w:eastAsia="宋体"/>
                <w:spacing w:val="-2"/>
                <w:lang w:val="en-US" w:eastAsia="zh-CN"/>
              </w:rPr>
              <w:t>5</w:t>
            </w:r>
          </w:p>
        </w:tc>
        <w:tc>
          <w:tcPr>
            <w:tcW w:w="3658" w:type="dxa"/>
            <w:tcBorders>
              <w:bottom w:val="single" w:color="000000" w:sz="6" w:space="0"/>
            </w:tcBorders>
            <w:vAlign w:val="top"/>
          </w:tcPr>
          <w:p w14:paraId="35DAE023">
            <w:pPr>
              <w:pStyle w:val="11"/>
              <w:spacing w:before="100" w:line="188" w:lineRule="auto"/>
              <w:ind w:left="422"/>
            </w:pPr>
            <w:r>
              <w:rPr>
                <w:spacing w:val="-2"/>
              </w:rPr>
              <w:t>[48.89, 64.66]</w:t>
            </w:r>
          </w:p>
        </w:tc>
      </w:tr>
    </w:tbl>
    <w:p w14:paraId="42CA25F2">
      <w:pPr>
        <w:pStyle w:val="3"/>
        <w:spacing w:before="290" w:line="241" w:lineRule="auto"/>
        <w:ind w:left="1" w:right="119" w:firstLine="480"/>
        <w:jc w:val="both"/>
        <w:rPr>
          <w:rFonts w:hint="eastAsia" w:eastAsia="宋体"/>
          <w:lang w:eastAsia="zh-CN"/>
        </w:rPr>
      </w:pPr>
      <w:r>
        <w:rPr>
          <w:rFonts w:hint="eastAsia"/>
          <w:spacing w:val="-1"/>
        </w:rPr>
        <w:t>数据支持窗口仅为278天，而最后观测日至当前参考日已过去560天；所以从当前时点外推未来12/24个月，等同于从最后观测点向外推约30.4/42.4个月。结果表同时保留按数据截止日起算和按当前日起算的预测。上述数值只是家族聚合分数的条件90%分位代理，不代表全球最强模型的确切上限；新评测出现或分数饱和，都可能让外推不再成立。</w:t>
      </w:r>
    </w:p>
    <w:p w14:paraId="1EE01560">
      <w:pPr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12815" cy="2266950"/>
            <wp:effectExtent l="0" t="0" r="0" b="0"/>
            <wp:docPr id="49" name="图片 49" descr="dfcb277b-d6db-4a87-a8a8-85f470469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dfcb277b-d6db-4a87-a8a8-85f47046999c"/>
                    <pic:cNvPicPr>
                      <a:picLocks noChangeAspect="1"/>
                    </pic:cNvPicPr>
                  </pic:nvPicPr>
                  <pic:blipFill>
                    <a:blip r:embed="rId62"/>
                    <a:srcRect b="17628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DE2">
      <w:pPr>
        <w:pStyle w:val="3"/>
        <w:spacing w:before="132" w:line="242" w:lineRule="auto"/>
        <w:ind w:left="8" w:firstLine="24"/>
        <w:jc w:val="center"/>
        <w:rPr>
          <w:spacing w:val="-4"/>
        </w:rPr>
      </w:pPr>
      <w:r>
        <w:rPr>
          <w:spacing w:val="-4"/>
        </w:rPr>
        <w:t>图</w:t>
      </w:r>
      <w:r>
        <w:rPr>
          <w:spacing w:val="-40"/>
        </w:rPr>
        <w:t xml:space="preserve"> </w:t>
      </w:r>
      <w:r>
        <w:rPr>
          <w:rFonts w:hint="eastAsia"/>
          <w:spacing w:val="-40"/>
          <w:lang w:val="en-US" w:eastAsia="zh-CN"/>
        </w:rPr>
        <w:t>11</w:t>
      </w:r>
      <w:r>
        <w:rPr>
          <w:rFonts w:ascii="Times New Roman" w:hAnsi="Times New Roman" w:eastAsia="Times New Roman" w:cs="Times New Roman"/>
          <w:spacing w:val="-4"/>
        </w:rPr>
        <w:t xml:space="preserve">    </w:t>
      </w:r>
      <w:r>
        <w:rPr>
          <w:spacing w:val="-4"/>
        </w:rPr>
        <w:t>将历史算力增速缩放至1/4的情景中，预训练模型的条件前沿</w:t>
      </w:r>
    </w:p>
    <w:p w14:paraId="109E4A02">
      <w:pPr>
        <w:spacing w:line="333" w:lineRule="auto"/>
        <w:rPr>
          <w:rFonts w:ascii="Arial"/>
          <w:sz w:val="21"/>
        </w:rPr>
      </w:pPr>
    </w:p>
    <w:p w14:paraId="564FAE93">
      <w:pPr>
        <w:pStyle w:val="3"/>
        <w:spacing w:before="78" w:line="220" w:lineRule="auto"/>
        <w:ind w:left="8"/>
        <w:outlineLvl w:val="1"/>
      </w:pPr>
      <w:r>
        <w:rPr>
          <w:rFonts w:ascii="Times New Roman" w:hAnsi="Times New Roman" w:eastAsia="Times New Roman" w:cs="Times New Roman"/>
          <w:b/>
          <w:bCs/>
          <w:spacing w:val="-2"/>
        </w:rPr>
        <w:t>6.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5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Loss </w:t>
      </w:r>
      <w:r>
        <w:rPr>
          <w:b/>
          <w:bCs/>
          <w:spacing w:val="-2"/>
        </w:rPr>
        <w:t>与能力分的分级桥接</w:t>
      </w:r>
    </w:p>
    <w:p w14:paraId="5D3B7770">
      <w:pPr>
        <w:pStyle w:val="3"/>
        <w:spacing w:before="104" w:line="238" w:lineRule="auto"/>
        <w:ind w:left="8" w:firstLine="481"/>
        <w:jc w:val="both"/>
        <w:rPr>
          <w:rFonts w:hint="eastAsia"/>
          <w:spacing w:val="-4"/>
        </w:rPr>
      </w:pPr>
      <w:r>
        <w:rPr>
          <w:rFonts w:hint="eastAsia"/>
          <w:spacing w:val="-4"/>
        </w:rPr>
        <w:t>按可比性分层建立 Loss 到能力分的单调映射：</w:t>
      </w:r>
    </w:p>
    <w:p w14:paraId="2005F85A">
      <w:pPr>
        <w:pStyle w:val="3"/>
        <w:spacing w:before="104" w:line="238" w:lineRule="auto"/>
        <w:ind w:left="8" w:firstLine="481"/>
        <w:jc w:val="both"/>
      </w:pPr>
      <w:r>
        <w:drawing>
          <wp:inline distT="0" distB="0" distL="114300" distR="114300">
            <wp:extent cx="5783580" cy="449580"/>
            <wp:effectExtent l="0" t="0" r="7620" b="7620"/>
            <wp:docPr id="5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E080">
      <w:pPr>
        <w:pStyle w:val="3"/>
        <w:spacing w:before="104" w:line="238" w:lineRule="auto"/>
        <w:ind w:left="8" w:firstLine="481"/>
        <w:jc w:val="both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分层单调回归。高可比层仅7个Pythia模型，映射到约5.8分；中可比层68个模型映射到约20.7分，但误差约10分。留家族验证中，中可比单调模型逐模型留一RMSE为9.045，留家族后增至13.201，反而差于均值基线11.984；高可比单调模型RMSE=0.437，也未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优于均值基线0.424。因此这里建立的是局部条件关联，不是通用损失到能力的换算器。</w:t>
      </w:r>
    </w:p>
    <w:p w14:paraId="37785C2D">
      <w:pPr>
        <w:spacing w:before="208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15990" cy="2621915"/>
            <wp:effectExtent l="0" t="0" r="3810" b="14605"/>
            <wp:docPr id="51" name="图片 51" descr="acc368b2-3f9e-4ae6-90a7-26cf7276f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acc368b2-3f9e-4ae6-90a7-26cf7276f1db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F981">
      <w:pPr>
        <w:pStyle w:val="3"/>
        <w:spacing w:before="133" w:line="242" w:lineRule="auto"/>
        <w:ind w:left="9" w:right="120" w:firstLine="23"/>
        <w:jc w:val="center"/>
      </w:pPr>
      <w:r>
        <w:rPr>
          <w:spacing w:val="-3"/>
        </w:rPr>
        <w:t>图</w:t>
      </w:r>
      <w:r>
        <w:rPr>
          <w:rFonts w:hint="eastAsia"/>
          <w:spacing w:val="-3"/>
          <w:lang w:val="en-US" w:eastAsia="zh-CN"/>
        </w:rPr>
        <w:t>12</w:t>
      </w:r>
      <w:r>
        <w:rPr>
          <w:rFonts w:ascii="Times New Roman" w:hAnsi="Times New Roman" w:eastAsia="Times New Roman" w:cs="Times New Roman"/>
          <w:spacing w:val="-3"/>
        </w:rPr>
        <w:t xml:space="preserve">   </w:t>
      </w:r>
      <w:r>
        <w:rPr>
          <w:rFonts w:hint="eastAsia" w:ascii="Times New Roman" w:hAnsi="Times New Roman" w:cs="Times New Roman"/>
          <w:spacing w:val="-3"/>
          <w:lang w:val="en-US" w:eastAsia="zh-CN"/>
        </w:rPr>
        <w:t xml:space="preserve"> </w:t>
      </w:r>
      <w:r>
        <w:rPr>
          <w:spacing w:val="-3"/>
        </w:rPr>
        <w:t>逐模型和留家族</w:t>
      </w:r>
      <w:r>
        <w:rPr>
          <w:rFonts w:hint="eastAsia"/>
          <w:spacing w:val="-3"/>
          <w:lang w:val="en-US" w:eastAsia="zh-CN"/>
        </w:rPr>
        <w:t>计算表明</w:t>
      </w:r>
      <w:r>
        <w:rPr>
          <w:spacing w:val="-3"/>
        </w:rPr>
        <w:t>不同的桥接误差</w:t>
      </w:r>
    </w:p>
    <w:p w14:paraId="1212A527">
      <w:pPr>
        <w:spacing w:line="262" w:lineRule="auto"/>
        <w:rPr>
          <w:rFonts w:ascii="Arial"/>
          <w:sz w:val="21"/>
        </w:rPr>
      </w:pPr>
    </w:p>
    <w:p w14:paraId="035EB626">
      <w:pPr>
        <w:pStyle w:val="3"/>
        <w:spacing w:before="78" w:line="241" w:lineRule="auto"/>
        <w:ind w:left="10" w:right="120" w:firstLine="501"/>
        <w:jc w:val="both"/>
      </w:pPr>
      <w:r>
        <w:rPr>
          <w:spacing w:val="-1"/>
        </w:rPr>
        <w:t>中可比单调模型逐模型留一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RMSE</w:t>
      </w:r>
      <w:r>
        <w:rPr>
          <w:spacing w:val="-1"/>
        </w:rPr>
        <w:t>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9.045222</w:t>
      </w:r>
      <w:r>
        <w:rPr>
          <w:spacing w:val="-1"/>
        </w:rPr>
        <w:t>，优于均值基线</w:t>
      </w:r>
      <w:r>
        <w:rPr>
          <w:rFonts w:ascii="Times New Roman" w:hAnsi="Times New Roman" w:eastAsia="Times New Roman" w:cs="Times New Roman"/>
          <w:spacing w:val="-1"/>
        </w:rPr>
        <w:t>11.531764</w:t>
      </w:r>
      <w:r>
        <w:rPr>
          <w:spacing w:val="-1"/>
        </w:rPr>
        <w:t>；留家族后</w:t>
      </w:r>
      <w:r>
        <w:rPr>
          <w:spacing w:val="-2"/>
        </w:rPr>
        <w:t>增至</w:t>
      </w:r>
      <w:r>
        <w:rPr>
          <w:rFonts w:ascii="Times New Roman" w:hAnsi="Times New Roman" w:eastAsia="Times New Roman" w:cs="Times New Roman"/>
          <w:spacing w:val="-2"/>
        </w:rPr>
        <w:t>13.200938</w:t>
      </w:r>
      <w:r>
        <w:rPr>
          <w:spacing w:val="-2"/>
        </w:rPr>
        <w:t>，反而差于相应均值基线</w:t>
      </w:r>
      <w:r>
        <w:rPr>
          <w:rFonts w:ascii="Times New Roman" w:hAnsi="Times New Roman" w:eastAsia="Times New Roman" w:cs="Times New Roman"/>
          <w:spacing w:val="-2"/>
        </w:rPr>
        <w:t>11.</w:t>
      </w:r>
      <w:r>
        <w:rPr>
          <w:rFonts w:ascii="Times New Roman" w:hAnsi="Times New Roman" w:eastAsia="Times New Roman" w:cs="Times New Roman"/>
          <w:spacing w:val="-3"/>
        </w:rPr>
        <w:t>984335</w:t>
      </w:r>
      <w:r>
        <w:rPr>
          <w:spacing w:val="-3"/>
        </w:rPr>
        <w:t>。高可比单调模型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RMSE=0.436635</w:t>
      </w:r>
      <w:r>
        <w:rPr>
          <w:spacing w:val="-3"/>
        </w:rPr>
        <w:t>，也</w:t>
      </w:r>
      <w:r>
        <w:rPr>
          <w:spacing w:val="1"/>
        </w:rPr>
        <w:t>未优于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RMSE</w:t>
      </w:r>
      <w:r>
        <w:rPr>
          <w:spacing w:val="1"/>
        </w:rPr>
        <w:t>为</w:t>
      </w:r>
      <w:r>
        <w:rPr>
          <w:rFonts w:ascii="Times New Roman" w:hAnsi="Times New Roman" w:eastAsia="Times New Roman" w:cs="Times New Roman"/>
          <w:spacing w:val="1"/>
        </w:rPr>
        <w:t>0.424448</w:t>
      </w:r>
      <w:r>
        <w:rPr>
          <w:spacing w:val="1"/>
        </w:rPr>
        <w:t>的均值基线。故这里建立的是</w:t>
      </w:r>
      <w:r>
        <w:t>局部条件关联，而不是通用损失</w:t>
      </w:r>
      <w:r>
        <w:rPr>
          <w:spacing w:val="-5"/>
        </w:rPr>
        <w:t>到能力的换算器。</w:t>
      </w:r>
    </w:p>
    <w:p w14:paraId="0A8D9631">
      <w:pPr>
        <w:pStyle w:val="3"/>
        <w:spacing w:before="205" w:line="220" w:lineRule="auto"/>
        <w:ind w:left="2368"/>
      </w:pPr>
      <w:r>
        <w:rPr>
          <w:spacing w:val="-2"/>
        </w:rPr>
        <w:t>表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12    </w:t>
      </w:r>
      <w:r>
        <w:rPr>
          <w:spacing w:val="-2"/>
        </w:rPr>
        <w:t>一致链条的条件桥接数值非能力预测</w:t>
      </w:r>
    </w:p>
    <w:p w14:paraId="118212DB">
      <w:pPr>
        <w:spacing w:line="134" w:lineRule="exact"/>
      </w:pPr>
    </w:p>
    <w:tbl>
      <w:tblPr>
        <w:tblStyle w:val="10"/>
        <w:tblW w:w="9195" w:type="dxa"/>
        <w:tblInd w:w="7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1922"/>
        <w:gridCol w:w="2530"/>
        <w:gridCol w:w="2857"/>
      </w:tblGrid>
      <w:tr w14:paraId="1C0223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886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1508C54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可比层</w:t>
            </w:r>
          </w:p>
        </w:tc>
        <w:tc>
          <w:tcPr>
            <w:tcW w:w="1922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6DC1C29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模型数</w:t>
            </w:r>
          </w:p>
        </w:tc>
        <w:tc>
          <w:tcPr>
            <w:tcW w:w="2530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19C6F35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映射分</w:t>
            </w:r>
          </w:p>
        </w:tc>
        <w:tc>
          <w:tcPr>
            <w:tcW w:w="2857" w:type="dxa"/>
            <w:tcBorders>
              <w:top w:val="single" w:color="000000" w:sz="6" w:space="0"/>
              <w:bottom w:val="single" w:color="000000" w:sz="4" w:space="0"/>
            </w:tcBorders>
            <w:vAlign w:val="center"/>
          </w:tcPr>
          <w:p w14:paraId="2335F70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误差</w:t>
            </w:r>
          </w:p>
        </w:tc>
      </w:tr>
      <w:tr w14:paraId="67C77D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886" w:type="dxa"/>
            <w:tcBorders>
              <w:top w:val="single" w:color="000000" w:sz="4" w:space="0"/>
            </w:tcBorders>
            <w:vAlign w:val="center"/>
          </w:tcPr>
          <w:p w14:paraId="66CF936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高可比</w:t>
            </w:r>
          </w:p>
        </w:tc>
        <w:tc>
          <w:tcPr>
            <w:tcW w:w="1922" w:type="dxa"/>
            <w:tcBorders>
              <w:top w:val="single" w:color="000000" w:sz="4" w:space="0"/>
            </w:tcBorders>
            <w:vAlign w:val="center"/>
          </w:tcPr>
          <w:p w14:paraId="0FE90E6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7（Pythia）</w:t>
            </w:r>
          </w:p>
        </w:tc>
        <w:tc>
          <w:tcPr>
            <w:tcW w:w="2530" w:type="dxa"/>
            <w:tcBorders>
              <w:top w:val="single" w:color="000000" w:sz="4" w:space="0"/>
            </w:tcBorders>
            <w:vAlign w:val="center"/>
          </w:tcPr>
          <w:p w14:paraId="26AFD29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约 5.8</w:t>
            </w:r>
          </w:p>
        </w:tc>
        <w:tc>
          <w:tcPr>
            <w:tcW w:w="2857" w:type="dxa"/>
            <w:tcBorders>
              <w:top w:val="single" w:color="000000" w:sz="4" w:space="0"/>
            </w:tcBorders>
            <w:vAlign w:val="center"/>
          </w:tcPr>
          <w:p w14:paraId="38D9F6E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ECBF6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886" w:type="dxa"/>
            <w:vAlign w:val="center"/>
          </w:tcPr>
          <w:p w14:paraId="7D89F65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中可比</w:t>
            </w:r>
          </w:p>
        </w:tc>
        <w:tc>
          <w:tcPr>
            <w:tcW w:w="1922" w:type="dxa"/>
            <w:vAlign w:val="center"/>
          </w:tcPr>
          <w:p w14:paraId="39071B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2530" w:type="dxa"/>
            <w:vAlign w:val="center"/>
          </w:tcPr>
          <w:p w14:paraId="3560EBD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约 20.7</w:t>
            </w:r>
          </w:p>
        </w:tc>
        <w:tc>
          <w:tcPr>
            <w:tcW w:w="2857" w:type="dxa"/>
            <w:vAlign w:val="center"/>
          </w:tcPr>
          <w:p w14:paraId="6736B9A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约 10 分</w:t>
            </w:r>
          </w:p>
        </w:tc>
      </w:tr>
    </w:tbl>
    <w:p w14:paraId="0A00D071">
      <w:pPr>
        <w:spacing w:line="256" w:lineRule="auto"/>
        <w:rPr>
          <w:rFonts w:ascii="Arial"/>
          <w:sz w:val="21"/>
        </w:rPr>
      </w:pPr>
    </w:p>
    <w:p w14:paraId="1A588E82">
      <w:pPr>
        <w:pStyle w:val="3"/>
        <w:spacing w:before="78" w:line="220" w:lineRule="auto"/>
        <w:ind w:left="8"/>
        <w:outlineLvl w:val="1"/>
        <w:rPr>
          <w:rFonts w:hint="eastAsia" w:ascii="Times New Roman" w:hAnsi="Times New Roman" w:eastAsia="Times New Roman" w:cs="Times New Roman"/>
          <w:b/>
          <w:bCs/>
          <w:spacing w:val="-2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6.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>6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   </w:t>
      </w:r>
      <w:r>
        <w:rPr>
          <w:rFonts w:hint="eastAsia" w:ascii="Times New Roman" w:hAnsi="Times New Roman" w:eastAsia="Times New Roman" w:cs="Times New Roman"/>
          <w:b/>
          <w:bCs/>
          <w:spacing w:val="-2"/>
        </w:rPr>
        <w:t>逐任务聚合与任务异质性</w:t>
      </w:r>
    </w:p>
    <w:p w14:paraId="43D38C85">
      <w:pPr>
        <w:pStyle w:val="3"/>
        <w:spacing w:before="78" w:line="241" w:lineRule="auto"/>
        <w:ind w:left="10" w:right="120" w:firstLine="501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C8 逐任务聚合1860个模型的BBH子任务。对模型i，子任务均值与内部标准差为</w:t>
      </w:r>
    </w:p>
    <w:p w14:paraId="5FB6A294">
      <w:pPr>
        <w:pStyle w:val="3"/>
        <w:spacing w:before="78" w:line="241" w:lineRule="auto"/>
        <w:ind w:left="10" w:right="120" w:firstLine="501"/>
        <w:jc w:val="both"/>
      </w:pPr>
      <w:r>
        <w:drawing>
          <wp:inline distT="0" distB="0" distL="114300" distR="114300">
            <wp:extent cx="5783580" cy="708660"/>
            <wp:effectExtent l="0" t="0" r="7620" b="7620"/>
            <wp:docPr id="5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D3E0">
      <w:pPr>
        <w:pStyle w:val="3"/>
        <w:spacing w:before="78" w:line="241" w:lineRule="auto"/>
        <w:ind w:left="10" w:right="120" w:firstLine="501"/>
        <w:jc w:val="both"/>
        <w:rPr>
          <w:rFonts w:hint="eastAsia"/>
        </w:rPr>
      </w:pPr>
      <w:r>
        <w:rPr>
          <w:rFonts w:hint="eastAsia"/>
        </w:rPr>
        <w:t>子任务均值的中位数为0.49，同一模型内部标准差的中位数为0.17。任务之间存在明显异质性，单一平均分不能表征所有能力。仅看总分会掩盖任务短板，因此逐任务聚合是能力评估的必要补充。</w:t>
      </w:r>
    </w:p>
    <w:p w14:paraId="3A92B41D">
      <w:pPr>
        <w:pStyle w:val="3"/>
        <w:spacing w:before="78" w:line="220" w:lineRule="auto"/>
        <w:ind w:left="8"/>
        <w:outlineLvl w:val="1"/>
        <w:rPr>
          <w:rFonts w:hint="default" w:ascii="Times New Roman" w:hAnsi="Times New Roman" w:eastAsia="Times New Roman" w:cs="Times New Roman"/>
          <w:b/>
          <w:bCs/>
          <w:spacing w:val="-2"/>
        </w:rPr>
      </w:pPr>
      <w:r>
        <w:rPr>
          <w:rFonts w:hint="default" w:ascii="Times New Roman" w:hAnsi="Times New Roman" w:eastAsia="Times New Roman" w:cs="Times New Roman"/>
          <w:b/>
          <w:bCs/>
          <w:spacing w:val="-2"/>
        </w:rPr>
        <w:t xml:space="preserve">6.7 </w:t>
      </w:r>
      <w:r>
        <w:rPr>
          <w:rFonts w:hint="eastAsia" w:ascii="Times New Roman" w:hAnsi="Times New Roman" w:cs="Times New Roman"/>
          <w:b/>
          <w:bCs/>
          <w:spacing w:val="-2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b/>
          <w:bCs/>
          <w:spacing w:val="-2"/>
        </w:rPr>
        <w:t>结论与边界</w:t>
      </w:r>
    </w:p>
    <w:p w14:paraId="3458400D">
      <w:pPr>
        <w:pStyle w:val="3"/>
        <w:spacing w:before="78" w:line="241" w:lineRule="auto"/>
        <w:ind w:left="10" w:right="120" w:firstLine="501"/>
        <w:jc w:val="both"/>
        <w:rPr>
          <w:rFonts w:hint="eastAsia" w:ascii="Times New Roman" w:hAnsi="Times New Roman" w:eastAsia="Times New Roman" w:cs="Times New Roman"/>
          <w:b/>
          <w:bCs/>
          <w:spacing w:val="-2"/>
        </w:rPr>
      </w:pPr>
      <w:r>
        <w:rPr>
          <w:rFonts w:hint="eastAsia"/>
        </w:rPr>
        <w:t>综合能力采用六维均分，时间按提交日期，许可证仅保留可复现类型。对话/微调模型中规模贡献约30%，非规模约70%。未来12/24个月条件前沿约57.4/67.6，算力放缓时约54.2/61.2，区间约±15分。Loss—分数映射必须分层，且留家族验证误差大；逐任务聚合显示模型内部任务差异明显。上述结论限于已检查数据、假设与候选集，不宣称普适能力上界或全局最优。</w:t>
      </w:r>
      <w:bookmarkStart w:id="4" w:name="_GoBack"/>
      <w:bookmarkEnd w:id="4"/>
    </w:p>
    <w:p w14:paraId="6D5C3DD4">
      <w:pPr>
        <w:pStyle w:val="3"/>
        <w:spacing w:before="78" w:line="241" w:lineRule="auto"/>
        <w:ind w:right="120"/>
        <w:jc w:val="both"/>
        <w:rPr>
          <w:rFonts w:hint="eastAsia"/>
        </w:rPr>
      </w:pPr>
    </w:p>
    <w:p w14:paraId="1A1EE03B">
      <w:pPr>
        <w:pStyle w:val="3"/>
        <w:spacing w:before="78" w:line="241" w:lineRule="auto"/>
        <w:ind w:right="120"/>
        <w:jc w:val="both"/>
        <w:rPr>
          <w:rFonts w:hint="eastAsia"/>
        </w:rPr>
      </w:pPr>
    </w:p>
    <w:p w14:paraId="0759D90F">
      <w:pPr>
        <w:pStyle w:val="3"/>
        <w:spacing w:before="78" w:line="241" w:lineRule="auto"/>
        <w:ind w:right="120"/>
        <w:jc w:val="both"/>
        <w:rPr>
          <w:rFonts w:hint="eastAsia"/>
        </w:rPr>
      </w:pPr>
    </w:p>
    <w:p w14:paraId="71116500">
      <w:pPr>
        <w:pStyle w:val="3"/>
        <w:spacing w:before="78" w:line="241" w:lineRule="auto"/>
        <w:ind w:right="120"/>
        <w:jc w:val="both"/>
        <w:rPr>
          <w:rFonts w:hint="eastAsia"/>
        </w:rPr>
      </w:pPr>
    </w:p>
    <w:p w14:paraId="04948536">
      <w:pPr>
        <w:spacing w:before="322" w:line="222" w:lineRule="auto"/>
        <w:ind w:left="3069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 </w:t>
      </w: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 </w:t>
      </w:r>
      <w:r>
        <w:rPr>
          <w:rFonts w:ascii="黑体" w:hAnsi="黑体" w:eastAsia="黑体" w:cs="黑体"/>
          <w:spacing w:val="-1"/>
          <w:sz w:val="28"/>
          <w:szCs w:val="28"/>
        </w:rPr>
        <w:t>稳健性结论与停止规则</w:t>
      </w:r>
    </w:p>
    <w:p w14:paraId="32503A5D">
      <w:pPr>
        <w:spacing w:line="300" w:lineRule="auto"/>
        <w:rPr>
          <w:rFonts w:ascii="Arial"/>
          <w:sz w:val="21"/>
        </w:rPr>
      </w:pPr>
    </w:p>
    <w:p w14:paraId="360695F1">
      <w:pPr>
        <w:pStyle w:val="3"/>
        <w:spacing w:before="79" w:line="220" w:lineRule="auto"/>
        <w:ind w:left="3207"/>
      </w:pPr>
      <w:r>
        <w:rPr>
          <w:spacing w:val="-3"/>
        </w:rPr>
        <w:t>表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13    </w:t>
      </w:r>
      <w:r>
        <w:rPr>
          <w:spacing w:val="-3"/>
        </w:rPr>
        <w:t>证据强度与结论边界</w:t>
      </w:r>
    </w:p>
    <w:p w14:paraId="6DC5D86B">
      <w:pPr>
        <w:spacing w:line="135" w:lineRule="exact"/>
      </w:pPr>
    </w:p>
    <w:tbl>
      <w:tblPr>
        <w:tblStyle w:val="10"/>
        <w:tblW w:w="9195" w:type="dxa"/>
        <w:tblInd w:w="7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4092"/>
        <w:gridCol w:w="3807"/>
      </w:tblGrid>
      <w:tr w14:paraId="5AFA7C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9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D50EF68">
            <w:pPr>
              <w:spacing w:before="112" w:line="220" w:lineRule="auto"/>
              <w:ind w:left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环节</w:t>
            </w:r>
          </w:p>
        </w:tc>
        <w:tc>
          <w:tcPr>
            <w:tcW w:w="409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91ACB73">
            <w:pPr>
              <w:spacing w:before="111" w:line="220" w:lineRule="auto"/>
              <w:ind w:left="3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已获得的改进或证据</w:t>
            </w:r>
          </w:p>
        </w:tc>
        <w:tc>
          <w:tcPr>
            <w:tcW w:w="38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3BF0267">
            <w:pPr>
              <w:spacing w:before="112" w:line="220" w:lineRule="auto"/>
              <w:ind w:left="41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不能扩张的结论</w:t>
            </w:r>
          </w:p>
        </w:tc>
      </w:tr>
      <w:tr w14:paraId="3C51E3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296" w:type="dxa"/>
            <w:tcBorders>
              <w:top w:val="single" w:color="000000" w:sz="4" w:space="0"/>
            </w:tcBorders>
            <w:vAlign w:val="top"/>
          </w:tcPr>
          <w:p w14:paraId="37D4E82C">
            <w:pPr>
              <w:spacing w:before="106" w:line="216" w:lineRule="auto"/>
              <w:ind w:left="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质量评价</w:t>
            </w:r>
          </w:p>
        </w:tc>
        <w:tc>
          <w:tcPr>
            <w:tcW w:w="4092" w:type="dxa"/>
            <w:tcBorders>
              <w:top w:val="single" w:color="000000" w:sz="4" w:space="0"/>
            </w:tcBorders>
            <w:vAlign w:val="top"/>
          </w:tcPr>
          <w:p w14:paraId="4F60B957">
            <w:pPr>
              <w:spacing w:before="106" w:line="216" w:lineRule="auto"/>
              <w:ind w:left="3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全量记录统一方向并熵权合成；扩展集冲突比例与抽样集接近（抽样7.6%，arXiv7.6%，GitHub12.0%）；arXiv质量分抽样0.441、全量0.449，GitHub两边均0.184</w:t>
            </w:r>
          </w:p>
        </w:tc>
        <w:tc>
          <w:tcPr>
            <w:tcW w:w="3807" w:type="dxa"/>
            <w:tcBorders>
              <w:top w:val="single" w:color="000000" w:sz="4" w:space="0"/>
            </w:tcBorders>
            <w:vAlign w:val="top"/>
          </w:tcPr>
          <w:p w14:paraId="17FFAF80">
            <w:pPr>
              <w:spacing w:before="106" w:line="216" w:lineRule="auto"/>
              <w:ind w:left="41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评分即人工质量真值或因果标签；小样本领域具有同等代表性</w:t>
            </w:r>
          </w:p>
        </w:tc>
      </w:tr>
      <w:tr w14:paraId="46D41C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296" w:type="dxa"/>
            <w:vAlign w:val="top"/>
          </w:tcPr>
          <w:p w14:paraId="24A0DB90">
            <w:pPr>
              <w:spacing w:before="61" w:line="214" w:lineRule="auto"/>
              <w:ind w:left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配比预测</w:t>
            </w:r>
          </w:p>
        </w:tc>
        <w:tc>
          <w:tcPr>
            <w:tcW w:w="4092" w:type="dxa"/>
            <w:vAlign w:val="top"/>
          </w:tcPr>
          <w:p w14:paraId="0F809BA1">
            <w:pPr>
              <w:keepNext w:val="0"/>
              <w:keepLines w:val="0"/>
              <w:pageBreakBefore w:val="0"/>
              <w:widowControl/>
              <w:kinsoku w:val="0"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1" w:line="214" w:lineRule="auto"/>
              <w:ind w:left="34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1M同规模检验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=0.33、Spearman=0.62；60M与1B排序相关分别为0.56和0.38；10B/70B外推排序相关为负</w:t>
            </w:r>
          </w:p>
        </w:tc>
        <w:tc>
          <w:tcPr>
            <w:tcW w:w="3807" w:type="dxa"/>
            <w:vAlign w:val="top"/>
          </w:tcPr>
          <w:p w14:paraId="04DC11C1">
            <w:pPr>
              <w:spacing w:before="61" w:line="214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所有模型的全局最优配方；全领域同步改善；无条件跨尺度泛化</w:t>
            </w:r>
          </w:p>
        </w:tc>
      </w:tr>
      <w:tr w14:paraId="27CB7B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296" w:type="dxa"/>
            <w:vAlign w:val="top"/>
          </w:tcPr>
          <w:p w14:paraId="4A671F6F">
            <w:pPr>
              <w:spacing w:before="64" w:line="212" w:lineRule="auto"/>
              <w:ind w:left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配方推荐</w:t>
            </w:r>
          </w:p>
        </w:tc>
        <w:tc>
          <w:tcPr>
            <w:tcW w:w="4092" w:type="dxa"/>
            <w:vAlign w:val="top"/>
          </w:tcPr>
          <w:p w14:paraId="274909BF">
            <w:pPr>
              <w:spacing w:before="64" w:line="212" w:lineRule="auto"/>
              <w:ind w:left="3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Pythia样本内近乎贴合；跨族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=0.60，文献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=0.73；Cerebras半合成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pacing w:val="3"/>
                      <w:sz w:val="18"/>
                      <w:szCs w:val="18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pacing w:val="3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为负；质量指数0.29来自B6，B7得0.30，B8不支持正γ</w:t>
            </w:r>
          </w:p>
        </w:tc>
        <w:tc>
          <w:tcPr>
            <w:tcW w:w="3807" w:type="dxa"/>
            <w:vAlign w:val="top"/>
          </w:tcPr>
          <w:p w14:paraId="52C20BBB">
            <w:pPr>
              <w:spacing w:before="64" w:line="212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跨模型族通用；真实训练中清洗数据必然产生同等收益；超大尺度外推</w:t>
            </w:r>
          </w:p>
        </w:tc>
      </w:tr>
      <w:tr w14:paraId="0B1449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296" w:type="dxa"/>
            <w:vAlign w:val="top"/>
          </w:tcPr>
          <w:p w14:paraId="0F8D13B8">
            <w:pPr>
              <w:spacing w:before="66" w:line="211" w:lineRule="auto"/>
              <w:ind w:left="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资源配置</w:t>
            </w:r>
          </w:p>
        </w:tc>
        <w:tc>
          <w:tcPr>
            <w:tcW w:w="4092" w:type="dxa"/>
            <w:vAlign w:val="top"/>
          </w:tcPr>
          <w:p w14:paraId="722915C6">
            <w:pPr>
              <w:pStyle w:val="11"/>
              <w:spacing w:before="66" w:line="211" w:lineRule="auto"/>
              <w:ind w:left="3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三档预算下三种质量成本函数均出现结构性转移：低预算质量花费占比18%–27%，偏向质量优先；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pacing w:val="-4"/>
                      <w:sz w:val="18"/>
                      <w:szCs w:val="18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pacing w:val="-4"/>
                      <w:sz w:val="18"/>
                      <w:szCs w:val="18"/>
                      <w:lang w:val="en-US" w:eastAsia="zh-CN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pacing w:val="-4"/>
                      <w:sz w:val="18"/>
                      <w:szCs w:val="18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pacing w:val="-4"/>
                      <w:sz w:val="18"/>
                      <w:szCs w:val="18"/>
                      <w:lang w:val="en-US" w:eastAsia="zh-CN"/>
                    </w:rPr>
                    <m:t>24</m:t>
                  </m:r>
                  <m:ctrlPr>
                    <w:rPr>
                      <w:rFonts w:ascii="Cambria Math" w:hAnsi="Cambria Math"/>
                      <w:i/>
                      <w:spacing w:val="-4"/>
                      <w:sz w:val="18"/>
                      <w:szCs w:val="18"/>
                    </w:rPr>
                  </m:ctrlPr>
                </m:sup>
              </m:sSup>
            </m:oMath>
            <w:r>
              <w:rPr>
                <w:rFonts w:hint="eastAsia"/>
                <w:spacing w:val="-4"/>
                <w:sz w:val="18"/>
                <w:szCs w:val="18"/>
              </w:rPr>
              <w:t>时降至1%以下，转为规模优先；临界长度30000</w:t>
            </w:r>
          </w:p>
        </w:tc>
        <w:tc>
          <w:tcPr>
            <w:tcW w:w="3807" w:type="dxa"/>
            <w:vAlign w:val="top"/>
          </w:tcPr>
          <w:p w14:paraId="340F0DE3">
            <w:pPr>
              <w:spacing w:before="64" w:line="212" w:lineRule="auto"/>
              <w:ind w:left="4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全局最优；所有成本函数下结论完全一致；超出附件观测范围的配置</w:t>
            </w:r>
          </w:p>
        </w:tc>
      </w:tr>
      <w:tr w14:paraId="53ADAA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296" w:type="dxa"/>
            <w:vAlign w:val="top"/>
          </w:tcPr>
          <w:p w14:paraId="5B3DF27C">
            <w:pPr>
              <w:spacing w:before="68" w:line="209" w:lineRule="auto"/>
              <w:ind w:left="1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能力前沿</w:t>
            </w:r>
          </w:p>
        </w:tc>
        <w:tc>
          <w:tcPr>
            <w:tcW w:w="4092" w:type="dxa"/>
            <w:vAlign w:val="top"/>
          </w:tcPr>
          <w:p w14:paraId="0E3C80F5">
            <w:pPr>
              <w:keepNext w:val="0"/>
              <w:keepLines w:val="0"/>
              <w:pageBreakBefore w:val="0"/>
              <w:widowControl/>
              <w:kinsoku w:val="0"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209" w:lineRule="auto"/>
              <w:ind w:left="35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对话/微调模型中规模贡献约30%、非规模约70%；以2025年开源最高分47.2为起点，12/24个月基线前沿约57.4/67.6，算力放缓时约54.2/61.2，区间约±15分</w:t>
            </w:r>
          </w:p>
        </w:tc>
        <w:tc>
          <w:tcPr>
            <w:tcW w:w="3807" w:type="dxa"/>
            <w:vAlign w:val="top"/>
          </w:tcPr>
          <w:p w14:paraId="35DCE894">
            <w:pPr>
              <w:spacing w:before="68" w:line="209" w:lineRule="auto"/>
              <w:ind w:left="41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动态预测已可靠获胜；普适能力上界；全球最强模型的确定上限</w:t>
            </w:r>
          </w:p>
        </w:tc>
      </w:tr>
      <w:tr w14:paraId="6182D2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296" w:type="dxa"/>
            <w:tcBorders>
              <w:bottom w:val="single" w:color="000000" w:sz="6" w:space="0"/>
            </w:tcBorders>
            <w:vAlign w:val="top"/>
          </w:tcPr>
          <w:p w14:paraId="3C5DC349">
            <w:pPr>
              <w:spacing w:before="71" w:line="220" w:lineRule="auto"/>
              <w:ind w:left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跨域桥接</w:t>
            </w:r>
          </w:p>
        </w:tc>
        <w:tc>
          <w:tcPr>
            <w:tcW w:w="4092" w:type="dxa"/>
            <w:tcBorders>
              <w:bottom w:val="single" w:color="000000" w:sz="6" w:space="0"/>
            </w:tcBorders>
            <w:vAlign w:val="top"/>
          </w:tcPr>
          <w:p w14:paraId="556D0E8E">
            <w:pPr>
              <w:spacing w:before="70" w:line="220" w:lineRule="auto"/>
              <w:ind w:left="34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Loss—分数分层映射：高可比7个Pythia映射约5.8分；中可比68个模型映射约20.7分，误差约10分；留家族验证误差增大</w:t>
            </w:r>
          </w:p>
        </w:tc>
        <w:tc>
          <w:tcPr>
            <w:tcW w:w="3807" w:type="dxa"/>
            <w:tcBorders>
              <w:bottom w:val="single" w:color="000000" w:sz="6" w:space="0"/>
            </w:tcBorders>
            <w:vAlign w:val="top"/>
          </w:tcPr>
          <w:p w14:paraId="69A19580">
            <w:pPr>
              <w:pStyle w:val="11"/>
              <w:spacing w:before="70" w:line="220" w:lineRule="auto"/>
              <w:ind w:left="408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</w:rPr>
              <w:t>Loss通用换算Benchmark；桥接结果可直接解释为真实能力提升</w:t>
            </w:r>
          </w:p>
        </w:tc>
      </w:tr>
    </w:tbl>
    <w:p w14:paraId="2B5A8A96">
      <w:pPr>
        <w:spacing w:line="277" w:lineRule="auto"/>
        <w:rPr>
          <w:rFonts w:ascii="Arial"/>
          <w:sz w:val="21"/>
        </w:rPr>
      </w:pPr>
    </w:p>
    <w:p w14:paraId="7E42B6BB">
      <w:pPr>
        <w:pStyle w:val="3"/>
        <w:spacing w:before="78" w:line="241" w:lineRule="auto"/>
        <w:ind w:firstLine="480"/>
        <w:jc w:val="both"/>
        <w:rPr>
          <w:rFonts w:hint="eastAsia"/>
          <w:spacing w:val="-5"/>
        </w:rPr>
      </w:pPr>
      <w:r>
        <w:rPr>
          <w:rFonts w:hint="eastAsia"/>
          <w:spacing w:val="-5"/>
        </w:rPr>
        <w:t>本轮停止规则为：在预先声明的候选、数据划分、目标与容差内，继续搜索未出现支配现有选择的方案；对于资源配置，结构性转移已识别，数值子问题差距低于指定容差。该规则把“优化是否足够”转化为可核验的有限问题，避免追逐已看过的检验分数。</w:t>
      </w:r>
    </w:p>
    <w:p w14:paraId="3800F4EC">
      <w:pPr>
        <w:pStyle w:val="3"/>
        <w:spacing w:before="78" w:line="241" w:lineRule="auto"/>
        <w:ind w:firstLine="480"/>
        <w:jc w:val="both"/>
        <w:rPr>
          <w:rFonts w:hint="eastAsia"/>
          <w:spacing w:val="-5"/>
        </w:rPr>
      </w:pPr>
      <w:r>
        <w:rPr>
          <w:rFonts w:hint="eastAsia"/>
          <w:spacing w:val="-5"/>
        </w:rPr>
        <w:t>本轮已检验候选中未发现单一方案同时改善所有相关指标。配比推荐在单域≤30%约束下条件最优，但部分领域占比为零；低预算偏向质量优先，高预算转为规模优先，二者存在预算量级上的取舍；Loss—分数分层桥接误差较大，留家族验证中优势消失；逐任务聚合显示模型内部任务差异明显。这些取舍决定最终选择必须对应清楚的任务偏好。</w:t>
      </w:r>
    </w:p>
    <w:p w14:paraId="097726A2">
      <w:pPr>
        <w:pStyle w:val="3"/>
        <w:spacing w:before="78" w:line="241" w:lineRule="auto"/>
        <w:ind w:firstLine="480"/>
        <w:jc w:val="both"/>
        <w:rPr>
          <w:rFonts w:hint="eastAsia"/>
          <w:spacing w:val="-5"/>
        </w:rPr>
      </w:pPr>
      <w:r>
        <w:rPr>
          <w:rFonts w:hint="eastAsia"/>
          <w:spacing w:val="-5"/>
        </w:rPr>
        <w:t>仍可通过新增信息改善的部分：第一，补充同一 N⋅D下可控改变</w:t>
      </w:r>
      <w:r>
        <w:rPr>
          <w:rFonts w:hint="eastAsia"/>
          <w:spacing w:val="-5"/>
          <w:lang w:val="en-US" w:eastAsia="zh-CN"/>
        </w:rPr>
        <w:t>Q</w:t>
      </w:r>
      <w:r>
        <w:rPr>
          <w:rFonts w:hint="eastAsia"/>
          <w:spacing w:val="-5"/>
        </w:rPr>
        <w:t>与p的联合训练实验，识别质量标尺与跨尺度配比效应；第二，留出未参与任何候选设计的新配方及新家族数据，复核当前候选的泛化；第三，增加同一验证集、分词器与Benchmark口径的桥接模型，缩小能力换算误差；第四，获取2025年3月之后的同口径评测，缩短长期前沿预测的观测空档。上述提升依赖新证据，不能通过对现有数据继续调参替代。</w:t>
      </w:r>
    </w:p>
    <w:p w14:paraId="1971585F">
      <w:pPr>
        <w:pStyle w:val="3"/>
        <w:spacing w:before="78" w:line="241" w:lineRule="auto"/>
        <w:ind w:firstLine="480"/>
        <w:jc w:val="both"/>
      </w:pPr>
      <w:r>
        <w:rPr>
          <w:rFonts w:hint="eastAsia"/>
          <w:spacing w:val="-5"/>
        </w:rPr>
        <w:t>综上，可辩护的最终成果是给定假设内的改善、权衡边界与验证失败的完整呈现，而不是对全部指标已达全局最优的宣称。</w:t>
      </w:r>
    </w:p>
    <w:p w14:paraId="6CB6CE68">
      <w:pPr>
        <w:spacing w:before="324" w:line="226" w:lineRule="auto"/>
        <w:ind w:left="4196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>8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-8"/>
          <w:sz w:val="28"/>
          <w:szCs w:val="28"/>
        </w:rPr>
        <w:t>结论</w:t>
      </w:r>
    </w:p>
    <w:p w14:paraId="276A1610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>本文完成了一条可复核的质量评价、配比回归、广义标度、算力配置与能力前沿分析链。全量质量评价统一了抽样集51230条、arXiv扩展17523条、GitHub扩展203752条记录的指标方向，熵权合成质量分并定义冲突消解规则；扩展集冲突比例与抽样集接近，arXiv质量分为0.441/0.449，GitHub均为0.184。配比岭回归在1M同规模检验上</w:t>
      </w:r>
      <m:oMath>
        <m:sSup>
          <m:sSupPr>
            <m:ctrlPr>
              <w:rPr>
                <w:rFonts w:ascii="Cambria Math" w:hAnsi="Cambria Math" w:cs="Times New Roman"/>
                <w:i/>
                <w:spacing w:val="3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pacing w:val="3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pacing w:val="3"/>
              </w:rPr>
            </m:ctrlPr>
          </m:sup>
        </m:sSup>
      </m:oMath>
      <w:r>
        <w:rPr>
          <w:rFonts w:hint="eastAsia"/>
        </w:rPr>
        <w:t>=0.33、Spearman=0.62，60M与1B排序相关降至0.56和0.38，10B/70B外推排序相关为负；单域≤30%约束下条件最优配比约为数学30%、Hacker News30%、Ubuntu IRC30%、古腾堡10%，参照质量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=0.333。</w:t>
      </w:r>
    </w:p>
    <w:p w14:paraId="14AAC130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 xml:space="preserve">在Pythia轨迹上拟合的经典双项幂律为 </w:t>
      </w:r>
    </w:p>
    <w:p w14:paraId="1C390140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>L=1.690+0.354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−0.340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+1.240</m:t>
        </m:r>
        <m:sSup>
          <m:sSup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−0.280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p>
        </m:sSup>
      </m:oMath>
      <w:r>
        <w:rPr>
          <w:rFonts w:hint="eastAsia"/>
        </w:rPr>
        <w:t>，跨族与文献检验尚可，半合成轨迹失效。引入质量修正后，在</w:t>
      </w:r>
      <w:r>
        <w:rPr>
          <w:rFonts w:hint="eastAsia"/>
          <w:lang w:val="en-US" w:eastAsia="zh-CN"/>
        </w:rPr>
        <w:t>Q=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ref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</m:oMath>
      <w:r>
        <w:rPr>
          <w:rFonts w:hint="eastAsia"/>
        </w:rPr>
        <w:t>处退回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经典形式，质量指数约0.29；6.9B/300B处质量提高0.1在等损失意义下约等价于参数增至9.47B，即1.37倍，但该等价为条件性能等价而非成本等价。</w:t>
      </w:r>
    </w:p>
    <w:p w14:paraId="4FAC454D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>三档预算下，三种质量成本函数均出现结构性转移：低预算质量花费占比约18%–27%，偏向质量优先；到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24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时降至约1%以下，转为规模优先；上下文长度超过临界值30000后注意力开销吃掉过半预算，最优参数量下降。上述配置限于给定成本函数与附件口径。</w:t>
      </w:r>
    </w:p>
    <w:p w14:paraId="2AA4965D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>能力度量采用六维均分，时间按提交日期，许可证限于可复现类型。对话/微调模型中规模贡献约30%、非规模技术进步约70%。以2025年开源最高分47.2为起点，12/24个月基线前沿约57.4/67.6，算力放缓时约54.2/61.2，条件区间约±15分。Loss—分数映射分层误差较大，高可比7个Pythia约5.8分，中可比68个模型约20.7分但误差约10分；C8逐任务聚合显示模型内部任务差异明显。可辩护的最终成果是给定假设内的改善、权衡边界与验证失败的完整呈现，而不是对全部指标已达全局最优的宣称。</w:t>
      </w:r>
    </w:p>
    <w:p w14:paraId="3CC1ACBE">
      <w:pPr>
        <w:pStyle w:val="3"/>
        <w:spacing w:before="3" w:line="239" w:lineRule="auto"/>
        <w:jc w:val="both"/>
        <w:rPr>
          <w:rFonts w:hint="eastAsia"/>
        </w:rPr>
      </w:pPr>
    </w:p>
    <w:p w14:paraId="077DF568">
      <w:pPr>
        <w:spacing w:before="91" w:line="222" w:lineRule="auto"/>
        <w:ind w:left="4120"/>
        <w:rPr>
          <w:rFonts w:ascii="黑体" w:hAnsi="黑体" w:eastAsia="黑体" w:cs="黑体"/>
          <w:sz w:val="28"/>
          <w:szCs w:val="28"/>
        </w:rPr>
      </w:pPr>
      <w:bookmarkStart w:id="0" w:name="bookmark1"/>
      <w:bookmarkEnd w:id="0"/>
      <w:r>
        <w:rPr>
          <w:rFonts w:ascii="黑体" w:hAnsi="黑体" w:eastAsia="黑体" w:cs="黑体"/>
          <w:spacing w:val="-3"/>
          <w:sz w:val="28"/>
          <w:szCs w:val="28"/>
        </w:rPr>
        <w:t>参考文献</w:t>
      </w:r>
    </w:p>
    <w:p w14:paraId="189946A6">
      <w:pPr>
        <w:spacing w:before="205" w:line="246" w:lineRule="auto"/>
        <w:ind w:left="514" w:right="453" w:hanging="383"/>
        <w:rPr>
          <w:rFonts w:ascii="Courier New" w:hAnsi="Courier New" w:eastAsia="Courier New" w:cs="Courier New"/>
          <w:sz w:val="24"/>
          <w:szCs w:val="24"/>
        </w:rPr>
      </w:pPr>
      <w:bookmarkStart w:id="1" w:name="bookmark5"/>
      <w:bookmarkEnd w:id="1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[1]  Hoffmann J, Borgeaud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S, Mensch A, et al. Training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Compute-Optimal Large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2" w:name="bookmark2"/>
      <w:bookmarkEnd w:id="2"/>
      <w:r>
        <w:rPr>
          <w:rFonts w:ascii="Times New Roman" w:hAnsi="Times New Roman" w:eastAsia="Times New Roman" w:cs="Times New Roman"/>
          <w:sz w:val="24"/>
          <w:szCs w:val="24"/>
        </w:rPr>
        <w:t xml:space="preserve">Models. 2022. arXiv:2203.15556. </w:t>
      </w:r>
      <w:r>
        <w:fldChar w:fldCharType="begin"/>
      </w:r>
      <w:r>
        <w:instrText xml:space="preserve"> HYPERLINK "https://arxiv.org/abs/2203.15556" </w:instrText>
      </w:r>
      <w:r>
        <w:fldChar w:fldCharType="separate"/>
      </w:r>
      <w:r>
        <w:rPr>
          <w:rFonts w:ascii="Courier New" w:hAnsi="Courier New" w:eastAsia="Courier New" w:cs="Courier New"/>
          <w:sz w:val="24"/>
          <w:szCs w:val="24"/>
        </w:rPr>
        <w:t>https://arxiv.org/abs/2203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t>.15556</w:t>
      </w:r>
      <w:r>
        <w:rPr>
          <w:rFonts w:ascii="Courier New" w:hAnsi="Courier New" w:eastAsia="Courier New" w:cs="Courier New"/>
          <w:spacing w:val="-1"/>
          <w:sz w:val="24"/>
          <w:szCs w:val="24"/>
        </w:rPr>
        <w:fldChar w:fldCharType="end"/>
      </w:r>
    </w:p>
    <w:p w14:paraId="2DDCC7BE">
      <w:pPr>
        <w:pStyle w:val="3"/>
        <w:spacing w:before="1" w:line="235" w:lineRule="auto"/>
        <w:ind w:left="519" w:right="314" w:hanging="388"/>
        <w:rPr>
          <w:spacing w:val="-1"/>
        </w:rPr>
      </w:pPr>
      <w:r>
        <w:rPr>
          <w:rFonts w:ascii="Times New Roman" w:hAnsi="Times New Roman" w:eastAsia="Times New Roman" w:cs="Times New Roman"/>
        </w:rPr>
        <w:t xml:space="preserve">[2]  </w:t>
      </w:r>
      <w:r>
        <w:t>赛题所附资料</w:t>
      </w:r>
      <w:r>
        <w:rPr>
          <w:rFonts w:ascii="Times New Roman" w:hAnsi="Times New Roman" w:eastAsia="Times New Roman" w:cs="Times New Roman"/>
        </w:rPr>
        <w:t xml:space="preserve">. </w:t>
      </w:r>
      <w:r>
        <w:t>算力约束下提升大语言模型能</w:t>
      </w:r>
      <w:r>
        <w:rPr>
          <w:spacing w:val="-1"/>
        </w:rPr>
        <w:t>力的资源配置建模；数据说明；</w:t>
      </w:r>
      <w:r>
        <w:rPr>
          <w:rFonts w:ascii="Times New Roman" w:hAnsi="Times New Roman" w:eastAsia="Times New Roman" w:cs="Times New Roman"/>
          <w:spacing w:val="-1"/>
        </w:rPr>
        <w:t>real_</w:t>
      </w:r>
      <w:r>
        <w:rPr>
          <w:rFonts w:ascii="Times New Roman" w:hAnsi="Times New Roman" w:eastAsia="Times New Roman" w:cs="Times New Roman"/>
        </w:rPr>
        <w:t xml:space="preserve"> </w:t>
      </w:r>
      <w:bookmarkStart w:id="3" w:name="bookmark3"/>
      <w:bookmarkEnd w:id="3"/>
      <w:r>
        <w:rPr>
          <w:rFonts w:ascii="Times New Roman" w:hAnsi="Times New Roman" w:eastAsia="Times New Roman" w:cs="Times New Roman"/>
        </w:rPr>
        <w:t xml:space="preserve">attachments. </w:t>
      </w:r>
      <w:r>
        <w:t>本地附件版本，</w:t>
      </w:r>
      <w:r>
        <w:rPr>
          <w:rFonts w:ascii="Times New Roman" w:hAnsi="Times New Roman" w:eastAsia="Times New Roman" w:cs="Times New Roman"/>
        </w:rPr>
        <w:t xml:space="preserve">2026. </w:t>
      </w:r>
      <w:r>
        <w:t>数据编号与性质以原</w:t>
      </w:r>
      <w:r>
        <w:rPr>
          <w:spacing w:val="-1"/>
        </w:rPr>
        <w:t>文件及来源台账核。</w:t>
      </w:r>
    </w:p>
    <w:p w14:paraId="1ABF4343">
      <w:pPr>
        <w:pStyle w:val="3"/>
        <w:spacing w:before="1" w:line="235" w:lineRule="auto"/>
        <w:ind w:left="519" w:right="314" w:hanging="388"/>
        <w:rPr>
          <w:spacing w:val="-1"/>
        </w:rPr>
      </w:pPr>
    </w:p>
    <w:p w14:paraId="533367FE">
      <w:pPr>
        <w:pStyle w:val="3"/>
        <w:spacing w:before="3" w:line="239" w:lineRule="auto"/>
        <w:jc w:val="both"/>
        <w:rPr>
          <w:spacing w:val="-1"/>
        </w:rPr>
      </w:pPr>
      <w:r>
        <w:rPr>
          <w:rFonts w:hint="default"/>
          <w:lang w:val="en-US" w:eastAsia="zh-CN"/>
        </w:rPr>
        <w:t xml:space="preserve">AI </w:t>
      </w:r>
      <w:r>
        <w:rPr>
          <w:rFonts w:hint="eastAsia"/>
          <w:lang w:val="en-US" w:eastAsia="zh-CN"/>
        </w:rPr>
        <w:t>使用披露与核验范围</w:t>
      </w:r>
    </w:p>
    <w:p w14:paraId="534015E4">
      <w:pPr>
        <w:pStyle w:val="3"/>
        <w:spacing w:before="3" w:line="239" w:lineRule="auto"/>
        <w:ind w:firstLine="490"/>
        <w:jc w:val="both"/>
        <w:rPr>
          <w:rFonts w:hint="eastAsia"/>
        </w:rPr>
      </w:pPr>
      <w:r>
        <w:rPr>
          <w:rFonts w:hint="eastAsia"/>
        </w:rPr>
        <w:t>本文含有AI生成的分析与文字，因此不能据此认为参赛队伍已独立完成或核验了全部核心论证。本版本在OpenAI Codex辅助下，完成了资料读取、文献核验、实验脚本编写与调试、建模及推导表述补充、数值比较、图表制作和全文整理。若用于竞赛或正式发表，作者应依照适用规则自行完成理解、复算、取舍和修订，并完整、如实地保留AI的参与范围。任何将本披露弱化为“仅提供排版辅助”的改写，均不符合要求。</w:t>
      </w:r>
    </w:p>
    <w:sectPr>
      <w:headerReference r:id="rId12" w:type="default"/>
      <w:footerReference r:id="rId13" w:type="default"/>
      <w:pgSz w:w="11910" w:h="16840"/>
      <w:pgMar w:top="400" w:right="1153" w:bottom="1143" w:left="1282" w:header="0" w:footer="981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960C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8" name="文本框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F8693E">
                          <w:pPr>
                            <w:pStyle w:val="4"/>
                            <w:rPr>
                              <w:rFonts w:hint="eastAsia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m2dr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zm2dr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F8693E">
                    <w:pPr>
                      <w:pStyle w:val="4"/>
                      <w:rPr>
                        <w:rFonts w:hint="eastAsia" w:eastAsia="宋体"/>
                        <w:lang w:val="en-US" w:eastAsia="zh-CN"/>
                      </w:rPr>
                    </w:pPr>
                    <w:r>
                      <w:rPr>
                        <w:rFonts w:hint="eastAsia" w:eastAsia="宋体"/>
                        <w:lang w:val="en-US" w:eastAsia="zh-CN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64D4E">
    <w:pPr>
      <w:pStyle w:val="4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9" name="文本框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7036E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rZ53DeAgAAJg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rZ53D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7036E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3EF06">
    <w:pPr>
      <w:spacing w:line="176" w:lineRule="auto"/>
      <w:ind w:left="4638"/>
      <w:rPr>
        <w:rFonts w:hint="eastAsia" w:ascii="Times New Roman" w:hAnsi="Times New Roman" w:eastAsia="宋体" w:cs="Times New Roman"/>
        <w:sz w:val="18"/>
        <w:szCs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0" name="文本框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895FC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F3Qnd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cXdC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895FC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E4625">
    <w:pPr>
      <w:spacing w:line="176" w:lineRule="auto"/>
      <w:ind w:left="4608"/>
      <w:rPr>
        <w:rFonts w:hint="default" w:ascii="Times New Roman" w:hAnsi="Times New Roman" w:eastAsia="宋体" w:cs="Times New Roman"/>
        <w:spacing w:val="-6"/>
        <w:sz w:val="18"/>
        <w:szCs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1" name="文本框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4A6F6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/rjo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4A6F6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512DA">
    <w:pPr>
      <w:pStyle w:val="4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4115B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90Ib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i90I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4115B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F8365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05EBA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4728A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332E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6571A5"/>
    <w:rsid w:val="08B2092B"/>
    <w:rsid w:val="140C1272"/>
    <w:rsid w:val="19B749E9"/>
    <w:rsid w:val="1AA34894"/>
    <w:rsid w:val="1E261CBD"/>
    <w:rsid w:val="33896CD6"/>
    <w:rsid w:val="341B1857"/>
    <w:rsid w:val="35280ACB"/>
    <w:rsid w:val="5A93604A"/>
    <w:rsid w:val="68CF0BF9"/>
    <w:rsid w:val="695F3038"/>
    <w:rsid w:val="6A3B3388"/>
    <w:rsid w:val="708632F4"/>
    <w:rsid w:val="76944931"/>
    <w:rsid w:val="787F1E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宋体" w:hAnsi="宋体" w:eastAsia="宋体" w:cs="宋体"/>
      <w:sz w:val="24"/>
      <w:szCs w:val="24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51.png"/><Relationship Id="rId64" Type="http://schemas.openxmlformats.org/officeDocument/2006/relationships/image" Target="media/image50.jpeg"/><Relationship Id="rId63" Type="http://schemas.openxmlformats.org/officeDocument/2006/relationships/image" Target="media/image49.png"/><Relationship Id="rId62" Type="http://schemas.openxmlformats.org/officeDocument/2006/relationships/image" Target="media/image48.jpe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header" Target="header1.xml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jpeg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jpeg"/><Relationship Id="rId5" Type="http://schemas.openxmlformats.org/officeDocument/2006/relationships/footer" Target="footer1.xm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jpe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jpe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jpeg"/><Relationship Id="rId18" Type="http://schemas.openxmlformats.org/officeDocument/2006/relationships/image" Target="media/image4.jpe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47fcc122-a20f-49b3-8e96-27b4d3c06ad2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 5040ADB</paraID>
      <start>2</start>
      <end>3</end>
      <status>unmodified</status>
      <modifiedWord/>
      <trackRevisions>false</trackRevisions>
    </reviewItem>
    <reviewItem>
      <errorID>88f3b5ea-5471-4596-9e6b-6009debbb271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706523F8</paraID>
      <start>3</start>
      <end>4</end>
      <status>unmodified</status>
      <modifiedWord/>
      <trackRevisions>false</trackRevisions>
    </reviewItem>
    <reviewItem>
      <errorID>fe72ba16-7ea2-4ea1-8a1a-d6f773b2186b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345AA835</paraID>
      <start>6</start>
      <end>7</end>
      <status>unmodified</status>
      <modifiedWord/>
      <trackRevisions>false</trackRevisions>
    </reviewItem>
    <reviewItem>
      <errorID>e3630bab-be18-4c33-bce2-ae5cda17cffe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 1DA318F</paraID>
      <start>2</start>
      <end>3</end>
      <status>unmodified</status>
      <modifiedWord/>
      <trackRevisions>false</trackRevisions>
    </reviewItem>
    <reviewItem>
      <errorID>b5bb4bba-d062-4bd6-97ce-9184250f8231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225719ED</paraID>
      <start>6</start>
      <end>7</end>
      <status>unmodified</status>
      <modifiedWord/>
      <trackRevisions>false</trackRevisions>
    </reviewItem>
    <reviewItem>
      <errorID>ad4b7867-9b2b-4cce-bed8-993b4f944069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5793A327</paraID>
      <start>3</start>
      <end>4</end>
      <status>unmodified</status>
      <modifiedWord/>
      <trackRevisions>false</trackRevisions>
    </reviewItem>
    <reviewItem>
      <errorID>013f1696-8647-44b1-8a4e-276d6f20f79d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5793A327</paraID>
      <start>6</start>
      <end>7</end>
      <status>unmodified</status>
      <modifiedWord/>
      <trackRevisions>false</trackRevisions>
    </reviewItem>
    <reviewItem>
      <errorID>5a1ec4a7-90fa-4ce3-a0d4-56a021806f30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5793A327</paraID>
      <start>9</start>
      <end>10</end>
      <status>unmodified</status>
      <modifiedWord/>
      <trackRevisions>false</trackRevisions>
    </reviewItem>
    <reviewItem>
      <errorID>03f18b55-26e3-48c6-9aee-3052da6c5e30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7084CAEA</paraID>
      <start>7</start>
      <end>8</end>
      <status>unmodified</status>
      <modifiedWord/>
      <trackRevisions>false</trackRevisions>
    </reviewItem>
    <reviewItem>
      <errorID>13b294d4-74ae-47e2-8c97-3e2131ae086c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576835B4</paraID>
      <start>5</start>
      <end>6</end>
      <status>unmodified</status>
      <modifiedWord/>
      <trackRevisions>false</trackRevisions>
    </reviewItem>
    <reviewItem>
      <errorID>d2c9dcd7-adfc-43f2-926a-63f7da7eb9e1</errorID>
      <errorWord>commoncrawl</errorWord>
      <group>L1_English</group>
      <groupName>英文问题</groupName>
      <ability>L2_Other_Grammar</ability>
      <abilityName>其他语法问题</abilityName>
      <candidateList>
        <item>Common Crawl</item>
      </candidateList>
      <explain>名词使用不当, 建议将commoncrawl修改为Common Crawl</explain>
      <paraID> 2549272</paraID>
      <start>0</start>
      <end>11</end>
      <status>unmodified</status>
      <modifiedWord/>
      <trackRevisions>false</trackRevisions>
    </reviewItem>
    <reviewItem>
      <errorID>10d6a9a1-1b0a-4253-81a9-d66ab5403276</errorID>
      <errorWord>stackexchange</errorWord>
      <group>L1_English</group>
      <groupName>英文问题</groupName>
      <ability>L2_Other_Grammar</ability>
      <abilityName>其他语法问题</abilityName>
      <candidateList>
        <item>Stack Exchange</item>
      </candidateList>
      <explain>疑似单词/词组使用不当, 建议将stackexchange修改为Stack Exchange</explain>
      <paraID>7F4E8125</paraID>
      <start>0</start>
      <end>13</end>
      <status>unmodified</status>
      <modifiedWord/>
      <trackRevisions>false</trackRevisions>
    </reviewItem>
    <reviewItem>
      <errorID>d7a5b4ec-c559-45d9-aaeb-fbb7873d61a6</errorID>
      <errorWord>、…、</errorWord>
      <group>L1_Punc</group>
      <groupName>标点问题</groupName>
      <ability>L2_Punc_CN</ability>
      <abilityName>标点符号问题</abilityName>
      <candidateList>
        <item>、</item>
      </candidateList>
      <explain/>
      <paraID>18655837</paraID>
      <start>17</start>
      <end>20</end>
      <status>unmodified</status>
      <modifiedWord/>
      <trackRevisions>false</trackRevisions>
    </reviewItem>
    <reviewItem>
      <errorID>9f5deb0a-8756-417e-b69c-24569d2b5e8d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207E215E</paraID>
      <start>74</start>
      <end>75</end>
      <status>unmodified</status>
      <modifiedWord/>
      <trackRevisions>false</trackRevisions>
    </reviewItem>
    <reviewItem>
      <errorID>505683a6-d664-43c8-a2fe-b2a4f97a2ed0</errorID>
      <errorWord>。</errorWord>
      <group>L1_Format</group>
      <groupName>格式问题</groupName>
      <ability>L2_HalfPunc_CN</ability>
      <abilityName>全半角问题</abilityName>
      <candidateList>
        <item>.</item>
      </candidateList>
      <explain>文本全半角错误。</explain>
      <paraID>64251C0E</paraID>
      <start>15</start>
      <end>16</end>
      <status>unmodified</status>
      <modifiedWord/>
      <trackRevisions>false</trackRevisions>
    </reviewItem>
    <reviewItem>
      <errorID>932f054b-b8f1-4ae9-a65c-3eaf7ea2e0f1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3D383CB2</paraID>
      <start>171</start>
      <end>172</end>
      <status>unmodified</status>
      <modifiedWord/>
      <trackRevisions>false</trackRevisions>
    </reviewItem>
    <reviewItem>
      <errorID>c4d57edc-d588-4209-90e4-78e04d66ed34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3D383CB2</paraID>
      <start>176</start>
      <end>177</end>
      <status>unmodified</status>
      <modifiedWord/>
      <trackRevisions>false</trackRevisions>
    </reviewItem>
    <reviewItem>
      <errorID>94540e6d-f447-447a-a9ee-ba20fd86e827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3D383CB2</paraID>
      <start>181</start>
      <end>182</end>
      <status>unmodified</status>
      <modifiedWord/>
      <trackRevisions>false</trackRevisions>
    </reviewItem>
    <reviewItem>
      <errorID>6a190a7f-c339-46a0-bf7e-cb0c58ffedb0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6E7E6E36</paraID>
      <start>2</start>
      <end>3</end>
      <status>unmodified</status>
      <modifiedWord/>
      <trackRevisions>false</trackRevisions>
    </reviewItem>
    <reviewItem>
      <errorID>25a6b66f-e1f4-4e19-bd05-9313cf7baeaf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59FEA3BF</paraID>
      <start>9</start>
      <end>10</end>
      <status>unmodified</status>
      <modifiedWord/>
      <trackRevisions>false</trackRevisions>
    </reviewItem>
    <reviewItem>
      <errorID>619f855b-1ab2-400b-a4a3-d29bc12818be</errorID>
      <errorWord>1 十</errorWord>
      <group>L1_Knowledge</group>
      <groupName>知识性问题</groupName>
      <ability>L2_Knowledge</ability>
      <abilityName>其他知识</abilityName>
      <candidateList>
        <item>10</item>
      </candidateList>
      <explain>根据GB/T 15835-2011规定，只有“万”、“亿可以与阿拉伯数字混用，例如：“4万”、“4亿”、“4万亿”等。其他情况应统一使用阿拉伯数字。</explain>
      <paraID>7398D59E</paraID>
      <start>1</start>
      <end>4</end>
      <status>unmodified</status>
      <modifiedWord/>
      <trackRevisions>false</trackRevisions>
    </reviewItem>
    <reviewItem>
      <errorID>ae05d440-e138-4581-80a9-766a8cc65902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1ECAB9CD</paraID>
      <start>9</start>
      <end>10</end>
      <status>unmodified</status>
      <modifiedWord/>
      <trackRevisions>false</trackRevisions>
    </reviewItem>
    <reviewItem>
      <errorID>87e71f4c-7476-4903-b7dc-1a93f80315e5</errorID>
      <errorWord>，</errorWord>
      <group>L1_Format</group>
      <groupName>格式问题</groupName>
      <ability>L2_HalfPunc_CN</ability>
      <abilityName>全半角问题</abilityName>
      <candidateList>
        <item>, </item>
      </candidateList>
      <explain>文本全半角错误。</explain>
      <paraID> 73EDA91</paraID>
      <start>3</start>
      <end>4</end>
      <status>unmodified</status>
      <modifiedWord/>
      <trackRevisions>false</trackRevisions>
    </reviewItem>
    <reviewItem>
      <errorID>26364165-062f-41fc-8cd8-753b9a29f954</errorID>
      <errorWord>，</errorWord>
      <group>L1_Format</group>
      <groupName>格式问题</groupName>
      <ability>L2_HalfPunc_CN</ability>
      <abilityName>全半角问题</abilityName>
      <candidateList>
        <item>,</item>
      </candidateList>
      <explain>文本全半角错误。</explain>
      <paraID>52F5B652</paraID>
      <start>9</start>
      <end>10</end>
      <status>unmodified</status>
      <modifiedWord/>
      <trackRevisions>false</trackRevisions>
    </reviewItem>
    <reviewItem>
      <errorID>8ac9d069-12a0-4c66-9d3b-2f79afb84b95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7D797B90</paraID>
      <start>34</start>
      <end>35</end>
      <status>unmodified</status>
      <modifiedWord/>
      <trackRevisions>false</trackRevisions>
    </reviewItem>
    <reviewItem>
      <errorID>f8c35e28-fff3-4684-929d-f6a317a87373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6366441C</paraID>
      <start>118</start>
      <end>119</end>
      <status>unmodified</status>
      <modifiedWord/>
      <trackRevisions>false</trackRevisions>
    </reviewItem>
    <reviewItem>
      <errorID>809fedba-d046-4ddc-8e70-1785890e3327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6366441C</paraID>
      <start>131</start>
      <end>132</end>
      <status>unmodified</status>
      <modifiedWord/>
      <trackRevisions>false</trackRevisions>
    </reviewItem>
    <reviewItem>
      <errorID>cc9aa876-07e6-4314-8e55-efa9391a930b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6366441C</paraID>
      <start>147</start>
      <end>148</end>
      <status>unmodified</status>
      <modifiedWord/>
      <trackRevisions>false</trackRevisions>
    </reviewItem>
    <reviewItem>
      <errorID>2ef5aef5-8a2d-4567-8b17-2e327a19b6c5</errorID>
      <errorWord>}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5E2C5D0</paraID>
      <start>108</start>
      <end>109</end>
      <status>unmodified</status>
      <modifiedWord/>
      <trackRevisions>false</trackRevisions>
    </reviewItem>
    <reviewItem>
      <errorID>08f4d40d-28c6-4f47-b286-edf0daa7c2af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5E2C5D0</paraID>
      <start>175</start>
      <end>176</end>
      <status>unmodified</status>
      <modifiedWord/>
      <trackRevisions>false</trackRevisions>
    </reviewItem>
    <reviewItem>
      <errorID>8f014526-7f4c-4c05-afdb-25b0b36e56e9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5E2C5D0</paraID>
      <start>177</start>
      <end>178</end>
      <status>unmodified</status>
      <modifiedWord/>
      <trackRevisions>false</trackRevisions>
    </reviewItem>
    <reviewItem>
      <errorID>4a6e0782-d5bf-4958-b18d-53d3011f25b1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5E2C5D0</paraID>
      <start>182</start>
      <end>183</end>
      <status>unmodified</status>
      <modifiedWord/>
      <trackRevisions>false</trackRevisions>
    </reviewItem>
    <reviewItem>
      <errorID>a478c14a-c61d-473d-bfe8-66a4f28b3a4c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5E2C5D0</paraID>
      <start>184</start>
      <end>185</end>
      <status>unmodified</status>
      <modifiedWord/>
      <trackRevisions>false</trackRevisions>
    </reviewItem>
    <reviewItem>
      <errorID>642f8e8b-4f55-4090-a1fb-20c4c92a3d18</errorID>
      <errorWord>时间前沿的</errorWord>
      <group>L1_Word</group>
      <groupName>字词问题</groupName>
      <ability>L2_Typo</ability>
      <abilityName>字词错误</abilityName>
      <candidateList>
        <item>时代前沿的</item>
      </candidateList>
      <explain/>
      <paraID>281F33C0</paraID>
      <start>7</start>
      <end>12</end>
      <status>unmodified</status>
      <modifiedWord/>
      <trackRevisions>false</trackRevisions>
    </reviewItem>
    <reviewItem>
      <errorID>2b0afcee-40e6-401d-b744-0f4dfa483192</errorID>
      <errorWord>作</errorWord>
      <group>L1_Word</group>
      <groupName>字词问题</groupName>
      <ability>L2_Typo</ability>
      <abilityName>字词错误</abilityName>
      <candidateList>
        <item>做</item>
      </candidateList>
      <explain>存在发音相同字词的误用。</explain>
      <paraID>3117C956</paraID>
      <start>31</start>
      <end>32</end>
      <status>unmodified</status>
      <modifiedWord/>
      <trackRevisions>false</trackRevisions>
    </reviewItem>
    <reviewItem>
      <errorID>2e3378ae-9f18-4549-9be3-32cd870d4080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4224F5C5</paraID>
      <start>61</start>
      <end>62</end>
      <status>unmodified</status>
      <modifiedWord/>
      <trackRevisions>false</trackRevisions>
    </reviewItem>
    <reviewItem>
      <errorID>9f88b01f-d46f-4f12-9c44-da4670e50330</errorID>
      <errorWord>日起</errorWord>
      <group>L1_Word</group>
      <groupName>字词问题</groupName>
      <ability>L2_Typo</ability>
      <abilityName>字词错误</abilityName>
      <candidateList>
        <item>日期</item>
      </candidateList>
      <explain/>
      <paraID>4FF5F528</paraID>
      <start>86</start>
      <end>88</end>
      <status>unmodified</status>
      <modifiedWord/>
      <trackRevisions>false</trackRevisions>
    </reviewItem>
    <reviewItem>
      <errorID>18b8beaf-de01-40c5-bb92-a6f13d2fa4dd</errorID>
      <errorWord>一</errorWord>
      <group>L1_Word</group>
      <groupName>字词问题</groupName>
      <ability>L2_Typo</ability>
      <abilityName>字词错误</abilityName>
      <candidateList>
        <item/>
      </candidateList>
      <explain/>
      <paraID>3D3A1555</paraID>
      <start>26</start>
      <end>27</end>
      <status>unmodified</status>
      <modifiedWord/>
      <trackRevisions>false</trackRevisions>
    </reviewItem>
    <reviewItem>
      <errorID>eab7f4f8-9882-45df-884e-03b7e4243b69</errorID>
      <errorWord>达</errorWord>
      <group>L1_Word</group>
      <groupName>字词问题</groupName>
      <ability>L2_Typo</ability>
      <abilityName>字词错误</abilityName>
      <candidateList>
        <item>达到</item>
      </candidateList>
      <explain/>
      <paraID>754DA942</paraID>
      <start>102</start>
      <end>103</end>
      <status>unmodified</status>
      <modifiedWord/>
      <trackRevisions>false</trackRevisions>
    </reviewItem>
    <reviewItem>
      <errorID>504f6fb4-2e2e-4a36-9d31-296663562080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2A502E19</paraID>
      <start>11</start>
      <end>12</end>
      <status>unmodified</status>
      <modifiedWord/>
      <trackRevisions>false</trackRevisions>
    </reviewItem>
    <reviewItem>
      <errorID>d68230ff-2853-421b-871d-0ac4da75a6e8</errorID>
      <errorWord>hackernews</errorWord>
      <group>L1_English</group>
      <groupName>英文问题</groupName>
      <ability>L2_Other_Grammar</ability>
      <abilityName>其他语法问题</abilityName>
      <candidateList>
        <item>Hacker News</item>
      </candidateList>
      <explain>名词使用不当, 建议将hackernews修改为Hacker News</explain>
      <paraID>65AAC4BE</paraID>
      <start>0</start>
      <end>10</end>
      <status>unmodified</status>
      <modifiedWord/>
      <trackRevisions>false</trackRevisions>
    </reviewItem>
    <reviewItem>
      <errorID>c27c44ad-2029-450a-b8b8-dc1bc76eaf6a</errorID>
      <errorWord>philpapers</errorWord>
      <group>L1_English</group>
      <groupName>英文问题</groupName>
      <ability>L2_Case</ability>
      <abilityName>大小写问题</abilityName>
      <candidateList>
        <item>PhilPapers</item>
      </candidateList>
      <explain>疑似单词大小写错误，建议将philpapers修改为PhilPapers</explain>
      <paraID>6E2BFC47</paraID>
      <start>0</start>
      <end>10</end>
      <status>unmodified</status>
      <modifiedWord/>
      <trackRevisions>false</trackRevisions>
    </reviewItem>
    <reviewItem>
      <errorID>5d2931a9-6c90-4319-8281-7307d8a3776e</errorID>
      <errorWord>stackexchange</errorWord>
      <group>L1_English</group>
      <groupName>英文问题</groupName>
      <ability>L2_Other_Grammar</ability>
      <abilityName>其他语法问题</abilityName>
      <candidateList>
        <item>Stack Exchange</item>
      </candidateList>
      <explain>疑似单词/词组使用不当, 建议将stackexchange修改为Stack Exchange</explain>
      <paraID>41826B1B</paraID>
      <start>0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3de694-398b-4665-8e6c-1819b433f6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10410</Words>
  <Characters>12844</Characters>
  <Lines>1</Lines>
  <Paragraphs>1</Paragraphs>
  <TotalTime>11</TotalTime>
  <ScaleCrop>false</ScaleCrop>
  <LinksUpToDate>false</LinksUpToDate>
  <CharactersWithSpaces>13318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2026-09-24T20:50:00Z</dcterms:created>
  <dc:creator>HP</dc:creator>
  <cp:lastModifiedBy>幻-城</cp:lastModifiedBy>
  <dcterms:modified xsi:type="dcterms:W3CDTF">2026-09-27T01:24:54Z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2026-09-26T11:50:27Z</vt:filetime>
  </property>
  <property fmtid="{D5CDD505-2E9C-101B-9397-08002B2CF9AE}" pid="4" name="KSOTemplateDocerSaveRecord">
    <vt:lpwstr>eyJoZGlkIjoiODMwNjU4ZDE2NmM1MGU3YzM5ZjU5NDk2OGM4YWMwYTUiLCJ1c2VySWQiOiI4NzUxMDEzODMifQ==</vt:lpwstr>
  </property>
  <property fmtid="{D5CDD505-2E9C-101B-9397-08002B2CF9AE}" pid="5" name="KSOProductBuildVer">
    <vt:lpwstr>2052-12.1.0.28505</vt:lpwstr>
  </property>
  <property fmtid="{D5CDD505-2E9C-101B-9397-08002B2CF9AE}" pid="6" name="ICV">
    <vt:lpwstr>A22C781D08F048CAB79AF771907AF186_12</vt:lpwstr>
  </property>
</Properties>
</file>