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黑体" w:hAnsi="黑体" w:eastAsia="黑体"/>
          <w:b/>
          <w:sz w:val="52"/>
        </w:rPr>
        <w:t>制造智能技术课程设计报告</w:t>
      </w:r>
    </w:p>
    <w:p/>
    <w:p>
      <w:pPr>
        <w:jc w:val="center"/>
      </w:pPr>
      <w:r>
        <w:rPr>
          <w:rFonts w:ascii="黑体" w:hAnsi="黑体" w:eastAsia="黑体"/>
          <w:b/>
          <w:sz w:val="40"/>
        </w:rPr>
        <w:t>数字孪生车间智能监控与运维平台</w:t>
      </w:r>
    </w:p>
    <w:p/>
    <w:p/>
    <w:p/>
    <w:p/>
    <w:p/>
    <w:p/>
    <w:p>
      <w:pPr>
        <w:jc w:val="center"/>
      </w:pPr>
      <w:r>
        <w:rPr>
          <w:b/>
          <w:sz w:val="28"/>
        </w:rPr>
        <w:t>课程名称：</w:t>
      </w:r>
      <w:r>
        <w:rPr>
          <w:sz w:val="28"/>
        </w:rPr>
        <w:t>制造智能技术</w:t>
      </w:r>
    </w:p>
    <w:p>
      <w:pPr>
        <w:jc w:val="center"/>
      </w:pPr>
      <w:r>
        <w:rPr>
          <w:b/>
          <w:sz w:val="28"/>
        </w:rPr>
        <w:t>设计题目：</w:t>
      </w:r>
      <w:r>
        <w:rPr>
          <w:sz w:val="28"/>
        </w:rPr>
        <w:t>数字孪生车间智能监控与运维平台</w:t>
      </w:r>
    </w:p>
    <w:p>
      <w:pPr>
        <w:jc w:val="center"/>
      </w:pPr>
      <w:r>
        <w:rPr>
          <w:b/>
          <w:sz w:val="28"/>
        </w:rPr>
        <w:t>学生姓名：</w:t>
      </w:r>
      <w:r>
        <w:rPr>
          <w:sz w:val="28"/>
        </w:rPr>
        <w:t>×××</w:t>
      </w:r>
    </w:p>
    <w:p>
      <w:pPr>
        <w:jc w:val="center"/>
      </w:pPr>
      <w:r>
        <w:rPr>
          <w:b/>
          <w:sz w:val="28"/>
        </w:rPr>
        <w:t>学　　号：</w:t>
      </w:r>
      <w:r>
        <w:rPr>
          <w:sz w:val="28"/>
        </w:rPr>
        <w:t>××××××××</w:t>
      </w:r>
    </w:p>
    <w:p>
      <w:pPr>
        <w:jc w:val="center"/>
      </w:pPr>
      <w:r>
        <w:rPr>
          <w:b/>
          <w:sz w:val="28"/>
        </w:rPr>
        <w:t>专业班级：</w:t>
      </w:r>
      <w:r>
        <w:rPr>
          <w:sz w:val="28"/>
        </w:rPr>
        <w:t>××××</w:t>
      </w:r>
    </w:p>
    <w:p>
      <w:pPr>
        <w:jc w:val="center"/>
      </w:pPr>
      <w:r>
        <w:rPr>
          <w:b/>
          <w:sz w:val="28"/>
        </w:rPr>
        <w:t>完成日期：</w:t>
      </w:r>
      <w:r>
        <w:rPr>
          <w:sz w:val="28"/>
        </w:rPr>
        <w:t>2026 年 9 月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摘要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本课程设计面向制造工业设备运维场景，运用 vibe coding 方法开发了一套数字孪生车间智能监控与运维平台。系统采用 B/S 架构，基于 NASA C-MAPSS 公开工业设备时序数据集（FD001 子集），构建了从设备台账、数字孪生可视化、实时数据监测、健康与能耗评估、异常预警到智能诊断、运维工单的完整业务闭环。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系统覆盖课程四大技术方向：数字孪生技术（虚实映射与状态可视化）、机器学习（随机森林 RUL 预测，测试集 MAE 10.55、R² 0.72）、深度学习（LSTM 时序预测，MAE 9.02、R² 0.77）、数据挖掘（孤立森林异常检测，精确率 0.49、召回率 0.29）及专家系统（20 条 IF-THEN 规则故障诊断）。后端基于 FastAPI + SQLite，前端基于 Vue3 + Element Plus + ECharts，全部本机可运行。后端自动化测试 52 个用例全部通过，包含预警-诊断-工单闭环集成测试。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关键词：数字孪生；预测性维护；随机森林；LSTM；孤立森林；专家系统；B/S 架构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目录</w:t>
      </w:r>
    </w:p>
    <w:p>
      <w:pPr>
        <w:spacing w:after="80"/>
      </w:pPr>
      <w:r>
        <w:t>一、背景调研与研究意义</w:t>
      </w:r>
    </w:p>
    <w:p>
      <w:pPr>
        <w:spacing w:after="80"/>
      </w:pPr>
      <w:r>
        <w:t>二、方案设计</w:t>
      </w:r>
    </w:p>
    <w:p>
      <w:pPr>
        <w:spacing w:after="80"/>
      </w:pPr>
      <w:r>
        <w:t>三、数据资源构建</w:t>
      </w:r>
    </w:p>
    <w:p>
      <w:pPr>
        <w:spacing w:after="80"/>
      </w:pPr>
      <w:r>
        <w:t>四、系统实现</w:t>
      </w:r>
    </w:p>
    <w:p>
      <w:pPr>
        <w:spacing w:after="80"/>
      </w:pPr>
      <w:r>
        <w:t xml:space="preserve">　4.1 后端服务与数据库</w:t>
      </w:r>
    </w:p>
    <w:p>
      <w:pPr>
        <w:spacing w:after="80"/>
      </w:pPr>
      <w:r>
        <w:t xml:space="preserve">　4.2 前端界面</w:t>
      </w:r>
    </w:p>
    <w:p>
      <w:pPr>
        <w:spacing w:after="80"/>
      </w:pPr>
      <w:r>
        <w:t xml:space="preserve">　4.3 算法模块</w:t>
      </w:r>
    </w:p>
    <w:p>
      <w:pPr>
        <w:spacing w:after="80"/>
      </w:pPr>
      <w:r>
        <w:t>五、测试与集成调试</w:t>
      </w:r>
    </w:p>
    <w:p>
      <w:pPr>
        <w:spacing w:after="80"/>
      </w:pPr>
      <w:r>
        <w:t>六、AI 使用披露</w:t>
      </w:r>
    </w:p>
    <w:p>
      <w:pPr>
        <w:spacing w:after="80"/>
      </w:pPr>
      <w:r>
        <w:t>七、总结与展望</w:t>
      </w:r>
    </w:p>
    <w:p>
      <w:pPr>
        <w:spacing w:after="80"/>
      </w:pPr>
      <w:r>
        <w:t>参考文献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一、背景调研与研究意义</w:t>
      </w:r>
    </w:p>
    <w:p>
      <w:pPr>
        <w:pStyle w:val="Heading2"/>
      </w:pPr>
      <w:r>
        <w:rPr>
          <w:rFonts w:ascii="黑体" w:hAnsi="黑体" w:eastAsia="黑体"/>
        </w:rPr>
        <w:t>1.1 工业设备运维的发展历程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工业设备运维模式经历了三个阶段的演进：第一阶段为事后维修（Run-to-Failure），设备发生故障后才进行维修，存在停机损失大、安全风险高等问题；第二阶段为定期检修（Preventive Maintenance），按固定周期进行维护，存在过度维修或维修不足的矛盾；第三阶段为预测性维护（Predictive Maintenance），基于设备运行数据和智能算法预测剩余使用寿命（RUL），在故障发生前精准干预，是当前智能制造领域的研究热点。</w:t>
      </w:r>
    </w:p>
    <w:p>
      <w:pPr>
        <w:pStyle w:val="Heading2"/>
      </w:pPr>
      <w:r>
        <w:rPr>
          <w:rFonts w:ascii="黑体" w:hAnsi="黑体" w:eastAsia="黑体"/>
        </w:rPr>
        <w:t>1.2 数字孪生技术在智能制造中的应用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数字孪生（Digital Twin）通过构建物理实体的虚拟模型，实现全要素、全流程的虚实映射与实时同步。在车间运维场景中，数字孪生可将物理设备的运行状态、传感器数据、报警信息实时映射到虚拟车间，使管理人员"所见即所得"，从"被动响应"转向"主动预判"。数字孪生与预测性维护结合，可形成"数据采集—状态监测—异常预警—智能诊断—运维执行"的完整闭环。</w:t>
      </w:r>
    </w:p>
    <w:p>
      <w:pPr>
        <w:pStyle w:val="Heading2"/>
      </w:pPr>
      <w:r>
        <w:rPr>
          <w:rFonts w:ascii="黑体" w:hAnsi="黑体" w:eastAsia="黑体"/>
        </w:rPr>
        <w:t>1.3 研究意义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本设计的意义在于：（1）将数字孪生、机器学习、深度学习、数据挖掘、专家系统等课程技术手段集成到一个完整的工业运维系统中，验证多技术融合的可行性；（2）基于公开数据集构建可复现、可演示的系统，为同类课程设计和小型工业项目提供参考架构；（3）通过 vibe coding 方法实践 AI 辅助开发全流程，包括提示词工程、上下文工程、规格驱动开发和自动化测试，形成可复用的开发规范。</w:t>
      </w:r>
    </w:p>
    <w:p>
      <w:pPr>
        <w:pStyle w:val="Heading1"/>
      </w:pPr>
      <w:r>
        <w:rPr>
          <w:rFonts w:ascii="黑体" w:hAnsi="黑体" w:eastAsia="黑体"/>
        </w:rPr>
        <w:t>二、方案设计</w:t>
      </w:r>
    </w:p>
    <w:p>
      <w:pPr>
        <w:pStyle w:val="Heading2"/>
      </w:pPr>
      <w:r>
        <w:rPr>
          <w:rFonts w:ascii="黑体" w:hAnsi="黑体" w:eastAsia="黑体"/>
        </w:rPr>
        <w:t>2.1 系统目标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构建一套单机可运行的数字孪生车间智能监控与运维平台，实现以下核心目标：</w:t>
      </w:r>
    </w:p>
    <w:p>
      <w:r>
        <w:rPr>
          <w:rFonts w:ascii="宋体" w:hAnsi="宋体" w:eastAsia="宋体"/>
          <w:b w:val="0"/>
          <w:sz w:val="24"/>
        </w:rPr>
        <w:t>（1）设备台账管理：支持车间设备信息的增删改查，绑定传感器点位；</w:t>
      </w:r>
    </w:p>
    <w:p>
      <w:r>
        <w:rPr>
          <w:rFonts w:ascii="宋体" w:hAnsi="宋体" w:eastAsia="宋体"/>
          <w:b w:val="0"/>
          <w:sz w:val="24"/>
        </w:rPr>
        <w:t>（2）数字孪生可视化：2D 虚拟车间与物理设备实时同步，状态、报警直观呈现；</w:t>
      </w:r>
    </w:p>
    <w:p>
      <w:r>
        <w:rPr>
          <w:rFonts w:ascii="宋体" w:hAnsi="宋体" w:eastAsia="宋体"/>
          <w:b w:val="0"/>
          <w:sz w:val="24"/>
        </w:rPr>
        <w:t>（3）实时数据监测：多传感器时序曲线展示，异常点自动标记；</w:t>
      </w:r>
    </w:p>
    <w:p>
      <w:r>
        <w:rPr>
          <w:rFonts w:ascii="宋体" w:hAnsi="宋体" w:eastAsia="宋体"/>
          <w:b w:val="0"/>
          <w:sz w:val="24"/>
        </w:rPr>
        <w:t>（4）健康与能耗评估：基于机器学习模型一键评估设备健康度、RUL、负载率；</w:t>
      </w:r>
    </w:p>
    <w:p>
      <w:r>
        <w:rPr>
          <w:rFonts w:ascii="宋体" w:hAnsi="宋体" w:eastAsia="宋体"/>
          <w:b w:val="0"/>
          <w:sz w:val="24"/>
        </w:rPr>
        <w:t>（5）异常预警与智能诊断：孤立森林自动检测异常，专家系统给出故障诊断与维修建议；</w:t>
      </w:r>
    </w:p>
    <w:p>
      <w:r>
        <w:rPr>
          <w:rFonts w:ascii="宋体" w:hAnsi="宋体" w:eastAsia="宋体"/>
          <w:b w:val="0"/>
          <w:sz w:val="24"/>
        </w:rPr>
        <w:t>（6）运维工单管理：预警一键生成工单，支持状态流转（待处理→维修中→已完成）。</w:t>
      </w:r>
    </w:p>
    <w:p>
      <w:pPr>
        <w:pStyle w:val="Heading2"/>
      </w:pPr>
      <w:r>
        <w:rPr>
          <w:rFonts w:ascii="黑体" w:hAnsi="黑体" w:eastAsia="黑体"/>
        </w:rPr>
        <w:t>2.2 技术方向映射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系统覆盖课程至少 3 章技术手段，实际覆盖四个方向，每项均服务真实业务：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21"/>
              </w:rPr>
              <w:t>课程技术方向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/>
                <w:sz w:val="21"/>
              </w:rPr>
              <w:t>具体方法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rPr>
                <w:b/>
                <w:sz w:val="21"/>
              </w:rPr>
              <w:t>在系统中的作用</w:t>
            </w:r>
          </w:p>
        </w:tc>
      </w:tr>
      <w:tr>
        <w:tc>
          <w:tcPr>
            <w:tcW w:type="dxa" w:w="1984"/>
          </w:tcPr>
          <w:p>
            <w:r>
              <w:rPr>
                <w:sz w:val="21"/>
              </w:rPr>
              <w:t>数字孪生技术</w:t>
            </w:r>
          </w:p>
        </w:tc>
        <w:tc>
          <w:tcPr>
            <w:tcW w:type="dxa" w:w="2835"/>
          </w:tcPr>
          <w:p>
            <w:r>
              <w:rPr>
                <w:sz w:val="21"/>
              </w:rPr>
              <w:t>虚实映射、数据驱动同步、状态可视化</w:t>
            </w:r>
          </w:p>
        </w:tc>
        <w:tc>
          <w:tcPr>
            <w:tcW w:type="dxa" w:w="3969"/>
          </w:tcPr>
          <w:p>
            <w:r>
              <w:rPr>
                <w:sz w:val="21"/>
              </w:rPr>
              <w:t>构建虚拟车间，实时同步设备数据、状态、报警</w:t>
            </w:r>
          </w:p>
        </w:tc>
      </w:tr>
      <w:tr>
        <w:tc>
          <w:tcPr>
            <w:tcW w:type="dxa" w:w="1984"/>
          </w:tcPr>
          <w:p>
            <w:r>
              <w:rPr>
                <w:sz w:val="21"/>
              </w:rPr>
              <w:t>机器学习</w:t>
            </w:r>
          </w:p>
        </w:tc>
        <w:tc>
          <w:tcPr>
            <w:tcW w:type="dxa" w:w="2835"/>
          </w:tcPr>
          <w:p>
            <w:r>
              <w:rPr>
                <w:sz w:val="21"/>
              </w:rPr>
              <w:t>随机森林回归（77 维窗口特征）</w:t>
            </w:r>
          </w:p>
        </w:tc>
        <w:tc>
          <w:tcPr>
            <w:tcW w:type="dxa" w:w="3969"/>
          </w:tcPr>
          <w:p>
            <w:r>
              <w:rPr>
                <w:sz w:val="21"/>
              </w:rPr>
              <w:t>设备健康度与剩余寿命 RUL 预测</w:t>
            </w:r>
          </w:p>
        </w:tc>
      </w:tr>
      <w:tr>
        <w:tc>
          <w:tcPr>
            <w:tcW w:type="dxa" w:w="1984"/>
          </w:tcPr>
          <w:p>
            <w:r>
              <w:rPr>
                <w:sz w:val="21"/>
              </w:rPr>
              <w:t>深度学习</w:t>
            </w:r>
          </w:p>
        </w:tc>
        <w:tc>
          <w:tcPr>
            <w:tcW w:type="dxa" w:w="2835"/>
          </w:tcPr>
          <w:p>
            <w:r>
              <w:rPr>
                <w:sz w:val="21"/>
              </w:rPr>
              <w:t>LSTM 时序模型（30 周期×17 特征）</w:t>
            </w:r>
          </w:p>
        </w:tc>
        <w:tc>
          <w:tcPr>
            <w:tcW w:type="dxa" w:w="3969"/>
          </w:tcPr>
          <w:p>
            <w:r>
              <w:rPr>
                <w:sz w:val="21"/>
              </w:rPr>
              <w:t>传感器时序数据的 RUL 预测，与随机森林对比优化</w:t>
            </w:r>
          </w:p>
        </w:tc>
      </w:tr>
      <w:tr>
        <w:tc>
          <w:tcPr>
            <w:tcW w:type="dxa" w:w="1984"/>
          </w:tcPr>
          <w:p>
            <w:r>
              <w:rPr>
                <w:sz w:val="21"/>
              </w:rPr>
              <w:t>数据挖掘</w:t>
            </w:r>
          </w:p>
        </w:tc>
        <w:tc>
          <w:tcPr>
            <w:tcW w:type="dxa" w:w="2835"/>
          </w:tcPr>
          <w:p>
            <w:r>
              <w:rPr>
                <w:sz w:val="21"/>
              </w:rPr>
              <w:t>孤立森林异常检测</w:t>
            </w:r>
          </w:p>
        </w:tc>
        <w:tc>
          <w:tcPr>
            <w:tcW w:type="dxa" w:w="3969"/>
          </w:tcPr>
          <w:p>
            <w:r>
              <w:rPr>
                <w:sz w:val="21"/>
              </w:rPr>
              <w:t>自动识别传感器异常、能耗超标，触发预警</w:t>
            </w:r>
          </w:p>
        </w:tc>
      </w:tr>
      <w:tr>
        <w:tc>
          <w:tcPr>
            <w:tcW w:type="dxa" w:w="1984"/>
          </w:tcPr>
          <w:p>
            <w:r>
              <w:rPr>
                <w:sz w:val="21"/>
              </w:rPr>
              <w:t>专家系统</w:t>
            </w:r>
          </w:p>
        </w:tc>
        <w:tc>
          <w:tcPr>
            <w:tcW w:type="dxa" w:w="2835"/>
          </w:tcPr>
          <w:p>
            <w:r>
              <w:rPr>
                <w:sz w:val="21"/>
              </w:rPr>
              <w:t>IF-THEN 规则引擎（20 条规则）</w:t>
            </w:r>
          </w:p>
        </w:tc>
        <w:tc>
          <w:tcPr>
            <w:tcW w:type="dxa" w:w="3969"/>
          </w:tcPr>
          <w:p>
            <w:r>
              <w:rPr>
                <w:sz w:val="21"/>
              </w:rPr>
              <w:t>基于异常点位与评估结果，输出故障部位、排查步骤、维修建议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2.3 系统架构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系统采用 B/S 架构，分为表现层、接口层、业务层、算法层和数据层：</w:t>
      </w:r>
    </w:p>
    <w:p>
      <w:r>
        <w:rPr>
          <w:rFonts w:ascii="宋体" w:hAnsi="宋体" w:eastAsia="宋体"/>
          <w:b w:val="0"/>
          <w:sz w:val="24"/>
        </w:rPr>
        <w:t>表现层：Vue3 + Vite + Element Plus + ECharts，六大功能页面，深蓝侧栏布局；</w:t>
      </w:r>
    </w:p>
    <w:p>
      <w:r>
        <w:rPr>
          <w:rFonts w:ascii="宋体" w:hAnsi="宋体" w:eastAsia="宋体"/>
          <w:b w:val="0"/>
          <w:sz w:val="24"/>
        </w:rPr>
        <w:t>接口层：FastAPI 提供 RESTful API，统一返回格式，前缀 /api/v1；</w:t>
      </w:r>
    </w:p>
    <w:p>
      <w:r>
        <w:rPr>
          <w:rFonts w:ascii="宋体" w:hAnsi="宋体" w:eastAsia="宋体"/>
          <w:b w:val="0"/>
          <w:sz w:val="24"/>
        </w:rPr>
        <w:t>业务层：健康评估、异常检测、专家诊断、预警、工单等服务模块；</w:t>
      </w:r>
    </w:p>
    <w:p>
      <w:r>
        <w:rPr>
          <w:rFonts w:ascii="宋体" w:hAnsi="宋体" w:eastAsia="宋体"/>
          <w:b w:val="0"/>
          <w:sz w:val="24"/>
        </w:rPr>
        <w:t>算法层：特征工程、随机森林、LSTM、孤立森林、专家系统规则库；</w:t>
      </w:r>
    </w:p>
    <w:p>
      <w:r>
        <w:rPr>
          <w:rFonts w:ascii="宋体" w:hAnsi="宋体" w:eastAsia="宋体"/>
          <w:b w:val="0"/>
          <w:sz w:val="24"/>
        </w:rPr>
        <w:t>数据层：SQLite 数据库（5 张业务表）+ 固化模型文件 + NASA C-MAPSS 数据集。</w:t>
      </w:r>
    </w:p>
    <w:p>
      <w:pPr>
        <w:pStyle w:val="Heading2"/>
      </w:pPr>
      <w:r>
        <w:rPr>
          <w:rFonts w:ascii="黑体" w:hAnsi="黑体" w:eastAsia="黑体"/>
        </w:rPr>
        <w:t>2.4 业务闭环设计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系统核心价值为完整业务闭环：设备监测 → 孤立森林异常检测 → 风险预警 → 专家系统诊断 → 运维工单生成 → 工单状态流转 → 闭环。前端预警中心页提供"一键闭环演练"按钮，可端到端演示完整流程。</w:t>
      </w:r>
    </w:p>
    <w:p>
      <w:pPr>
        <w:pStyle w:val="Heading1"/>
      </w:pPr>
      <w:r>
        <w:rPr>
          <w:rFonts w:ascii="黑体" w:hAnsi="黑体" w:eastAsia="黑体"/>
        </w:rPr>
        <w:t>三、数据资源构建</w:t>
      </w:r>
    </w:p>
    <w:p>
      <w:pPr>
        <w:pStyle w:val="Heading2"/>
      </w:pPr>
      <w:r>
        <w:rPr>
          <w:rFonts w:ascii="黑体" w:hAnsi="黑体" w:eastAsia="黑体"/>
        </w:rPr>
        <w:t>3.1 数据来源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本项目选用 NASA C-MAPSS 涡扇发动机退化仿真数据集 FD001 子集作为核心实验数据。该数据集由 NASA Prognostics Center of Excellence 公开发布，包含 100 台发动机从健康到失效的全寿命运行数据（run-to-failure），是预测性维护领域的标准基准数据集。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数据集官方链接：https://data.nasa.gov/Aerospace/CMAPSS-Jet-Engine-Simulated-Data/ff5v-kuh6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引用：Saxena A, Goebel K, Simon D, Eklund N. Damage Propagation Modeling for Aircraft Engine Run-to-Failure Simulation [C]. PHM08, 2008.</w:t>
      </w:r>
    </w:p>
    <w:p>
      <w:pPr>
        <w:pStyle w:val="Heading2"/>
      </w:pPr>
      <w:r>
        <w:rPr>
          <w:rFonts w:ascii="黑体" w:hAnsi="黑体" w:eastAsia="黑体"/>
        </w:rPr>
        <w:t>3.2 数据集规模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</w:tcPr>
          <w:p>
            <w:pPr>
              <w:jc w:val="center"/>
            </w:pPr>
            <w:r>
              <w:rPr>
                <w:b/>
                <w:sz w:val="21"/>
              </w:rPr>
              <w:t>指标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b/>
                <w:sz w:val="21"/>
              </w:rPr>
              <w:t>数值</w:t>
            </w:r>
          </w:p>
        </w:tc>
      </w:tr>
      <w:tr>
        <w:tc>
          <w:tcPr>
            <w:tcW w:type="dxa" w:w="2835"/>
          </w:tcPr>
          <w:p>
            <w:r>
              <w:rPr>
                <w:sz w:val="21"/>
              </w:rPr>
              <w:t>训练集行数</w:t>
            </w:r>
          </w:p>
        </w:tc>
        <w:tc>
          <w:tcPr>
            <w:tcW w:type="dxa" w:w="5669"/>
          </w:tcPr>
          <w:p>
            <w:r>
              <w:rPr>
                <w:sz w:val="21"/>
              </w:rPr>
              <w:t>20,631 行（100 台设备全寿命）</w:t>
            </w:r>
          </w:p>
        </w:tc>
      </w:tr>
      <w:tr>
        <w:tc>
          <w:tcPr>
            <w:tcW w:type="dxa" w:w="2835"/>
          </w:tcPr>
          <w:p>
            <w:r>
              <w:rPr>
                <w:sz w:val="21"/>
              </w:rPr>
              <w:t>测试集行数</w:t>
            </w:r>
          </w:p>
        </w:tc>
        <w:tc>
          <w:tcPr>
            <w:tcW w:type="dxa" w:w="5669"/>
          </w:tcPr>
          <w:p>
            <w:r>
              <w:rPr>
                <w:sz w:val="21"/>
              </w:rPr>
              <w:t>13,096 行（100 台设备，含官方 RUL 真值）</w:t>
            </w:r>
          </w:p>
        </w:tc>
      </w:tr>
      <w:tr>
        <w:tc>
          <w:tcPr>
            <w:tcW w:type="dxa" w:w="2835"/>
          </w:tcPr>
          <w:p>
            <w:r>
              <w:rPr>
                <w:sz w:val="21"/>
              </w:rPr>
              <w:t>传感器数量</w:t>
            </w:r>
          </w:p>
        </w:tc>
        <w:tc>
          <w:tcPr>
            <w:tcW w:type="dxa" w:w="5669"/>
          </w:tcPr>
          <w:p>
            <w:r>
              <w:rPr>
                <w:sz w:val="21"/>
              </w:rPr>
              <w:t>15 个（剔除零方差列后）</w:t>
            </w:r>
          </w:p>
        </w:tc>
      </w:tr>
      <w:tr>
        <w:tc>
          <w:tcPr>
            <w:tcW w:type="dxa" w:w="2835"/>
          </w:tcPr>
          <w:p>
            <w:r>
              <w:rPr>
                <w:sz w:val="21"/>
              </w:rPr>
              <w:t>工况参数</w:t>
            </w:r>
          </w:p>
        </w:tc>
        <w:tc>
          <w:tcPr>
            <w:tcW w:type="dxa" w:w="5669"/>
          </w:tcPr>
          <w:p>
            <w:r>
              <w:rPr>
                <w:sz w:val="21"/>
              </w:rPr>
              <w:t>2 个（高度、马赫数等）</w:t>
            </w:r>
          </w:p>
        </w:tc>
      </w:tr>
      <w:tr>
        <w:tc>
          <w:tcPr>
            <w:tcW w:type="dxa" w:w="2835"/>
          </w:tcPr>
          <w:p>
            <w:r>
              <w:rPr>
                <w:sz w:val="21"/>
              </w:rPr>
              <w:t>RUL 截断上限</w:t>
            </w:r>
          </w:p>
        </w:tc>
        <w:tc>
          <w:tcPr>
            <w:tcW w:type="dxa" w:w="5669"/>
          </w:tcPr>
          <w:p>
            <w:r>
              <w:rPr>
                <w:sz w:val="21"/>
              </w:rPr>
              <w:t>125 cycles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3.3 数据预处理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预处理程序 data/preprocess.py 完成以下工作：</w:t>
      </w:r>
    </w:p>
    <w:p>
      <w:r>
        <w:rPr>
          <w:rFonts w:ascii="宋体" w:hAnsi="宋体" w:eastAsia="宋体"/>
          <w:b w:val="0"/>
          <w:sz w:val="24"/>
        </w:rPr>
        <w:t>（1）列名补充：为原始无表头数据添加设备 ID、周期、工况、传感器列名；</w:t>
      </w:r>
    </w:p>
    <w:p>
      <w:r>
        <w:rPr>
          <w:rFonts w:ascii="宋体" w:hAnsi="宋体" w:eastAsia="宋体"/>
          <w:b w:val="0"/>
          <w:sz w:val="24"/>
        </w:rPr>
        <w:t>（2）零方差列剔除：删除无变化的传感器列，保留 15 个有效传感器 + 2 个工况；</w:t>
      </w:r>
    </w:p>
    <w:p>
      <w:r>
        <w:rPr>
          <w:rFonts w:ascii="宋体" w:hAnsi="宋体" w:eastAsia="宋体"/>
          <w:b w:val="0"/>
          <w:sz w:val="24"/>
        </w:rPr>
        <w:t>（3）标签构造：计算每台设备的 RUL（剩余寿命），构造健康度（RUL/125 截断）、健康等级（良好/注意/严重）、异常标签（RUL&lt;30 标记为异常）；</w:t>
      </w:r>
    </w:p>
    <w:p>
      <w:r>
        <w:rPr>
          <w:rFonts w:ascii="宋体" w:hAnsi="宋体" w:eastAsia="宋体"/>
          <w:b w:val="0"/>
          <w:sz w:val="24"/>
        </w:rPr>
        <w:t>（4）归一化：对传感器数据进行 MinMax 归一化，保存归一化参数；</w:t>
      </w:r>
    </w:p>
    <w:p>
      <w:r>
        <w:rPr>
          <w:rFonts w:ascii="宋体" w:hAnsi="宋体" w:eastAsia="宋体"/>
          <w:b w:val="0"/>
          <w:sz w:val="24"/>
        </w:rPr>
        <w:t>（5）数据入库：将预处理后的数据导入 SQLite 数据库，供系统运行时读取。</w:t>
      </w:r>
    </w:p>
    <w:p>
      <w:pPr>
        <w:pStyle w:val="Heading1"/>
      </w:pPr>
      <w:r>
        <w:rPr>
          <w:rFonts w:ascii="黑体" w:hAnsi="黑体" w:eastAsia="黑体"/>
        </w:rPr>
        <w:t>四、系统实现</w:t>
      </w:r>
    </w:p>
    <w:p>
      <w:pPr>
        <w:pStyle w:val="Heading2"/>
      </w:pPr>
      <w:r>
        <w:rPr>
          <w:rFonts w:ascii="黑体" w:hAnsi="黑体" w:eastAsia="黑体"/>
        </w:rPr>
        <w:t>4.1 后端服务与数据库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后端基于 FastAPI 框架（Python 3.10+），使用 SQLAlchemy ORM 操作 SQLite 数据库。数据库包含 5 张业务表：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21"/>
              </w:rPr>
              <w:t>表名</w:t>
            </w:r>
          </w:p>
        </w:tc>
        <w:tc>
          <w:tcPr>
            <w:tcW w:type="dxa" w:w="6236"/>
          </w:tcPr>
          <w:p>
            <w:pPr>
              <w:jc w:val="center"/>
            </w:pPr>
            <w:r>
              <w:rPr>
                <w:b/>
                <w:sz w:val="21"/>
              </w:rPr>
              <w:t>用途</w:t>
            </w:r>
          </w:p>
        </w:tc>
      </w:tr>
      <w:tr>
        <w:tc>
          <w:tcPr>
            <w:tcW w:type="dxa" w:w="2268"/>
          </w:tcPr>
          <w:p>
            <w:r>
              <w:rPr>
                <w:sz w:val="21"/>
              </w:rPr>
              <w:t>equipment</w:t>
            </w:r>
          </w:p>
        </w:tc>
        <w:tc>
          <w:tcPr>
            <w:tcW w:type="dxa" w:w="6236"/>
          </w:tcPr>
          <w:p>
            <w:r>
              <w:rPr>
                <w:sz w:val="21"/>
              </w:rPr>
              <w:t>设备台账（编号、型号、位置、状态、健康度）</w:t>
            </w:r>
          </w:p>
        </w:tc>
      </w:tr>
      <w:tr>
        <w:tc>
          <w:tcPr>
            <w:tcW w:type="dxa" w:w="2268"/>
          </w:tcPr>
          <w:p>
            <w:r>
              <w:rPr>
                <w:sz w:val="21"/>
              </w:rPr>
              <w:t>sensor_data</w:t>
            </w:r>
          </w:p>
        </w:tc>
        <w:tc>
          <w:tcPr>
            <w:tcW w:type="dxa" w:w="6236"/>
          </w:tcPr>
          <w:p>
            <w:r>
              <w:rPr>
                <w:sz w:val="21"/>
              </w:rPr>
              <w:t>传感器时序数据（周期、工况、15 传感器值）</w:t>
            </w:r>
          </w:p>
        </w:tc>
      </w:tr>
      <w:tr>
        <w:tc>
          <w:tcPr>
            <w:tcW w:type="dxa" w:w="2268"/>
          </w:tcPr>
          <w:p>
            <w:r>
              <w:rPr>
                <w:sz w:val="21"/>
              </w:rPr>
              <w:t>health_evaluation</w:t>
            </w:r>
          </w:p>
        </w:tc>
        <w:tc>
          <w:tcPr>
            <w:tcW w:type="dxa" w:w="6236"/>
          </w:tcPr>
          <w:p>
            <w:r>
              <w:rPr>
                <w:sz w:val="21"/>
              </w:rPr>
              <w:t>健康评估记录（设备、健康度、RUL、评估时间）</w:t>
            </w:r>
          </w:p>
        </w:tc>
      </w:tr>
      <w:tr>
        <w:tc>
          <w:tcPr>
            <w:tcW w:type="dxa" w:w="2268"/>
          </w:tcPr>
          <w:p>
            <w:r>
              <w:rPr>
                <w:sz w:val="21"/>
              </w:rPr>
              <w:t>alert</w:t>
            </w:r>
          </w:p>
        </w:tc>
        <w:tc>
          <w:tcPr>
            <w:tcW w:type="dxa" w:w="6236"/>
          </w:tcPr>
          <w:p>
            <w:r>
              <w:rPr>
                <w:sz w:val="21"/>
              </w:rPr>
              <w:t>预警记录（类型、等级、设备、时间）</w:t>
            </w:r>
          </w:p>
        </w:tc>
      </w:tr>
      <w:tr>
        <w:tc>
          <w:tcPr>
            <w:tcW w:type="dxa" w:w="2268"/>
          </w:tcPr>
          <w:p>
            <w:r>
              <w:rPr>
                <w:sz w:val="21"/>
              </w:rPr>
              <w:t>work_order</w:t>
            </w:r>
          </w:p>
        </w:tc>
        <w:tc>
          <w:tcPr>
            <w:tcW w:type="dxa" w:w="6236"/>
          </w:tcPr>
          <w:p>
            <w:r>
              <w:rPr>
                <w:sz w:val="21"/>
              </w:rPr>
              <w:t>运维工单（工单号、设备、描述、优先级、状态）</w:t>
            </w:r>
          </w:p>
        </w:tc>
      </w:tr>
    </w:tbl>
    <w:p/>
    <w:p>
      <w:pPr>
        <w:ind w:firstLine="480"/>
      </w:pPr>
      <w:r>
        <w:rPr>
          <w:rFonts w:ascii="宋体" w:hAnsi="宋体" w:eastAsia="宋体"/>
          <w:b w:val="0"/>
          <w:sz w:val="24"/>
        </w:rPr>
        <w:t>后端接口统一返回 {"code": 0, "message": "success", "data": ...} 格式，前缀 /api/v1，覆盖设备 CRUD、传感器查询、健康评估、异常检测、专家诊断、预警、工单等全部业务功能。服务启动后可通过 /docs 查看 Swagger 接口文档。</w:t>
      </w:r>
    </w:p>
    <w:p>
      <w:pPr>
        <w:pStyle w:val="Heading2"/>
      </w:pPr>
      <w:r>
        <w:rPr>
          <w:rFonts w:ascii="黑体" w:hAnsi="黑体" w:eastAsia="黑体"/>
        </w:rPr>
        <w:t>4.2 前端界面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前端基于 Vue3 + Vite + Element Plus + ECharts，采用深蓝侧栏管理系统布局，共六大页面：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21"/>
              </w:rPr>
              <w:t>页面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21"/>
              </w:rPr>
              <w:t>路由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rPr>
                <w:b/>
                <w:sz w:val="21"/>
              </w:rPr>
              <w:t>核心功能</w:t>
            </w:r>
          </w:p>
        </w:tc>
      </w:tr>
      <w:tr>
        <w:tc>
          <w:tcPr>
            <w:tcW w:type="dxa" w:w="1984"/>
          </w:tcPr>
          <w:p>
            <w:r>
              <w:rPr>
                <w:sz w:val="21"/>
              </w:rPr>
              <w:t>数字孪生可视化</w:t>
            </w:r>
          </w:p>
        </w:tc>
        <w:tc>
          <w:tcPr>
            <w:tcW w:type="dxa" w:w="1417"/>
          </w:tcPr>
          <w:p>
            <w:r>
              <w:rPr>
                <w:sz w:val="21"/>
              </w:rPr>
              <w:t>/twin</w:t>
            </w:r>
          </w:p>
        </w:tc>
        <w:tc>
          <w:tcPr>
            <w:tcW w:type="dxa" w:w="5102"/>
          </w:tcPr>
          <w:p>
            <w:r>
              <w:rPr>
                <w:sz w:val="21"/>
              </w:rPr>
              <w:t>车间设备状态网格、统计概览、设备详情、一键诊断</w:t>
            </w:r>
          </w:p>
        </w:tc>
      </w:tr>
      <w:tr>
        <w:tc>
          <w:tcPr>
            <w:tcW w:type="dxa" w:w="1984"/>
          </w:tcPr>
          <w:p>
            <w:r>
              <w:rPr>
                <w:sz w:val="21"/>
              </w:rPr>
              <w:t>车间设备台账</w:t>
            </w:r>
          </w:p>
        </w:tc>
        <w:tc>
          <w:tcPr>
            <w:tcW w:type="dxa" w:w="1417"/>
          </w:tcPr>
          <w:p>
            <w:r>
              <w:rPr>
                <w:sz w:val="21"/>
              </w:rPr>
              <w:t>/equipment</w:t>
            </w:r>
          </w:p>
        </w:tc>
        <w:tc>
          <w:tcPr>
            <w:tcW w:type="dxa" w:w="5102"/>
          </w:tcPr>
          <w:p>
            <w:r>
              <w:rPr>
                <w:sz w:val="21"/>
              </w:rPr>
              <w:t>设备 CRUD、搜索、状态筛选、分页</w:t>
            </w:r>
          </w:p>
        </w:tc>
      </w:tr>
      <w:tr>
        <w:tc>
          <w:tcPr>
            <w:tcW w:type="dxa" w:w="1984"/>
          </w:tcPr>
          <w:p>
            <w:r>
              <w:rPr>
                <w:sz w:val="21"/>
              </w:rPr>
              <w:t>实时数据监测</w:t>
            </w:r>
          </w:p>
        </w:tc>
        <w:tc>
          <w:tcPr>
            <w:tcW w:type="dxa" w:w="1417"/>
          </w:tcPr>
          <w:p>
            <w:r>
              <w:rPr>
                <w:sz w:val="21"/>
              </w:rPr>
              <w:t>/monitoring</w:t>
            </w:r>
          </w:p>
        </w:tc>
        <w:tc>
          <w:tcPr>
            <w:tcW w:type="dxa" w:w="5102"/>
          </w:tcPr>
          <w:p>
            <w:r>
              <w:rPr>
                <w:sz w:val="21"/>
              </w:rPr>
              <w:t>多传感器折线图、异常红点标记、周期明细</w:t>
            </w:r>
          </w:p>
        </w:tc>
      </w:tr>
      <w:tr>
        <w:tc>
          <w:tcPr>
            <w:tcW w:type="dxa" w:w="1984"/>
          </w:tcPr>
          <w:p>
            <w:r>
              <w:rPr>
                <w:sz w:val="21"/>
              </w:rPr>
              <w:t>健康与能耗评估</w:t>
            </w:r>
          </w:p>
        </w:tc>
        <w:tc>
          <w:tcPr>
            <w:tcW w:type="dxa" w:w="1417"/>
          </w:tcPr>
          <w:p>
            <w:r>
              <w:rPr>
                <w:sz w:val="21"/>
              </w:rPr>
              <w:t>/evaluation</w:t>
            </w:r>
          </w:p>
        </w:tc>
        <w:tc>
          <w:tcPr>
            <w:tcW w:type="dxa" w:w="5102"/>
          </w:tcPr>
          <w:p>
            <w:r>
              <w:rPr>
                <w:sz w:val="21"/>
              </w:rPr>
              <w:t>随机森林评估触发、健康度仪表盘、历史记录</w:t>
            </w:r>
          </w:p>
        </w:tc>
      </w:tr>
      <w:tr>
        <w:tc>
          <w:tcPr>
            <w:tcW w:type="dxa" w:w="1984"/>
          </w:tcPr>
          <w:p>
            <w:r>
              <w:rPr>
                <w:sz w:val="21"/>
              </w:rPr>
              <w:t>孪生预警中心</w:t>
            </w:r>
          </w:p>
        </w:tc>
        <w:tc>
          <w:tcPr>
            <w:tcW w:type="dxa" w:w="1417"/>
          </w:tcPr>
          <w:p>
            <w:r>
              <w:rPr>
                <w:sz w:val="21"/>
              </w:rPr>
              <w:t>/alerts</w:t>
            </w:r>
          </w:p>
        </w:tc>
        <w:tc>
          <w:tcPr>
            <w:tcW w:type="dxa" w:w="5102"/>
          </w:tcPr>
          <w:p>
            <w:r>
              <w:rPr>
                <w:sz w:val="21"/>
              </w:rPr>
              <w:t>预警筛选、生成工单、标记处理、一键闭环演练</w:t>
            </w:r>
          </w:p>
        </w:tc>
      </w:tr>
      <w:tr>
        <w:tc>
          <w:tcPr>
            <w:tcW w:type="dxa" w:w="1984"/>
          </w:tcPr>
          <w:p>
            <w:r>
              <w:rPr>
                <w:sz w:val="21"/>
              </w:rPr>
              <w:t>运维工单管理</w:t>
            </w:r>
          </w:p>
        </w:tc>
        <w:tc>
          <w:tcPr>
            <w:tcW w:type="dxa" w:w="1417"/>
          </w:tcPr>
          <w:p>
            <w:r>
              <w:rPr>
                <w:sz w:val="21"/>
              </w:rPr>
              <w:t>/work-orders</w:t>
            </w:r>
          </w:p>
        </w:tc>
        <w:tc>
          <w:tcPr>
            <w:tcW w:type="dxa" w:w="5102"/>
          </w:tcPr>
          <w:p>
            <w:r>
              <w:rPr>
                <w:sz w:val="21"/>
              </w:rPr>
              <w:t>工单状态流转、新建工单、详情查看</w:t>
            </w:r>
          </w:p>
        </w:tc>
      </w:tr>
    </w:tbl>
    <w:p/>
    <w:p>
      <w:pPr>
        <w:ind w:firstLine="480"/>
      </w:pPr>
      <w:r>
        <w:rPr>
          <w:rFonts w:ascii="宋体" w:hAnsi="宋体" w:eastAsia="宋体"/>
          <w:b w:val="0"/>
          <w:sz w:val="24"/>
        </w:rPr>
        <w:t>前端通过 Vite 代理将 /api 请求转发到后端 8000 端口，实现前后端分离开发。</w:t>
      </w:r>
    </w:p>
    <w:p>
      <w:pPr>
        <w:pStyle w:val="Heading2"/>
      </w:pPr>
      <w:r>
        <w:rPr>
          <w:rFonts w:ascii="黑体" w:hAnsi="黑体" w:eastAsia="黑体"/>
        </w:rPr>
        <w:t>4.3 算法模块</w:t>
      </w:r>
    </w:p>
    <w:p>
      <w:pPr>
        <w:pStyle w:val="Heading3"/>
      </w:pPr>
      <w:r>
        <w:rPr>
          <w:rFonts w:ascii="黑体" w:hAnsi="黑体" w:eastAsia="黑体"/>
        </w:rPr>
        <w:t>4.3.1 特征工程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对每台设备的传感器数据采用 30 周期滑动窗口提取统计特征：每个传感器计算均值、标准差、最小值、最大值（4 个统计量 × 15 传感器 = 60 维），加上 2 个工况特征，共 62 维。阶段 6 升级新增传感器线性趋势斜率特征（15 维），总特征维度提升至 77 维。</w:t>
      </w:r>
    </w:p>
    <w:p>
      <w:pPr>
        <w:pStyle w:val="Heading3"/>
      </w:pPr>
      <w:r>
        <w:rPr>
          <w:rFonts w:ascii="黑体" w:hAnsi="黑体" w:eastAsia="黑体"/>
        </w:rPr>
        <w:t>4.3.2 随机森林 RUL 预测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使用 scikit-learn 的 RandomForestRegressor，基于 77 维窗口特征预测设备剩余寿命。模型参数：n_estimators=100，max_depth 不限。在 FD001 测试集上的表现：MAE 10.55 cycles，R² 0.72（特征工程升级前为 MAE 13.55、R² 0.53）。</w:t>
      </w:r>
    </w:p>
    <w:p>
      <w:pPr>
        <w:pStyle w:val="Heading3"/>
      </w:pPr>
      <w:r>
        <w:rPr>
          <w:rFonts w:ascii="黑体" w:hAnsi="黑体" w:eastAsia="黑体"/>
        </w:rPr>
        <w:t>4.3.3 LSTM 深度学习时序预测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使用 PyTorch 构建 LSTM 模型，输入为 30 周期 × 17 归一化特征（15 传感器 + 2 工况），隐藏层维度 64，2 层 LSTM + 全连接输出层。训练 45 个 epoch，测试集 MAE 9.02 cycles、R² 0.77，优于随机森林，验证了深度学习对时序退化数据的建模优势。</w:t>
      </w:r>
    </w:p>
    <w:p>
      <w:pPr>
        <w:pStyle w:val="Heading3"/>
      </w:pPr>
      <w:r>
        <w:rPr>
          <w:rFonts w:ascii="黑体" w:hAnsi="黑体" w:eastAsia="黑体"/>
        </w:rPr>
        <w:t>4.3.4 孤立森林异常检测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使用 IsolationForest 对传感器窗口特征进行无监督异常检测。训练策略：仅使用每台设备健康早期（前 50% 周期）的数据建立正常基线，模型在偏离基线的样本上标记异常。升级至 77 维特征后，精确率 0.49、召回率 0.29（升级前为精确率 0.43、召回率 0.26）。</w:t>
      </w:r>
    </w:p>
    <w:p>
      <w:pPr>
        <w:pStyle w:val="Heading3"/>
      </w:pPr>
      <w:r>
        <w:rPr>
          <w:rFonts w:ascii="黑体" w:hAnsi="黑体" w:eastAsia="黑体"/>
        </w:rPr>
        <w:t>4.3.5 专家系统故障诊断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构建 20 条 IF-THEN 规则（R001~R020），每条规则包含触发条件（传感器阈值组合 + 健康度范围）、故障部位、排查步骤和维修建议。例如 R001：当 HPT 排气温度持续升高且健康度 &lt; 0.4 时，诊断为涡轮叶片磨损，建议检查涡轮叶片间隙和热腐蚀情况。规则引擎接收异常检测结果和评估数据，输出结构化诊断报告。</w:t>
      </w:r>
    </w:p>
    <w:p>
      <w:pPr>
        <w:pStyle w:val="Heading3"/>
      </w:pPr>
      <w:r>
        <w:rPr>
          <w:rFonts w:ascii="黑体" w:hAnsi="黑体" w:eastAsia="黑体"/>
        </w:rPr>
        <w:t>4.3.6 模型固化与运行机制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所有模型训练完成后固化为文件（random_forest_rul.joblib、isolation_forest.pkl、lstm_rul.pt），存放于 backend/app/model_files/。系统运行时仅加载模型进行推理，不重新训练，保证演示流畅和结果可复现。运行 python -m app.algorithms.train 可一键重训全部模型。</w:t>
      </w:r>
    </w:p>
    <w:p>
      <w:pPr>
        <w:pStyle w:val="Heading1"/>
      </w:pPr>
      <w:r>
        <w:rPr>
          <w:rFonts w:ascii="黑体" w:hAnsi="黑体" w:eastAsia="黑体"/>
        </w:rPr>
        <w:t>五、测试与集成调试</w:t>
      </w:r>
    </w:p>
    <w:p>
      <w:pPr>
        <w:pStyle w:val="Heading2"/>
      </w:pPr>
      <w:r>
        <w:rPr>
          <w:rFonts w:ascii="黑体" w:hAnsi="黑体" w:eastAsia="黑体"/>
        </w:rPr>
        <w:t>5.1 自动化测试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使用 pytest 编写后端自动化测试，共 52 个用例全部通过，覆盖：</w:t>
      </w:r>
    </w:p>
    <w:p>
      <w:r>
        <w:rPr>
          <w:rFonts w:ascii="宋体" w:hAnsi="宋体" w:eastAsia="宋体"/>
          <w:b w:val="0"/>
          <w:sz w:val="24"/>
        </w:rPr>
        <w:t>（1）基础接口测试：设备 CRUD、传感器查询、评估、预警、工单等接口的正常与异常路径；</w:t>
      </w:r>
    </w:p>
    <w:p>
      <w:r>
        <w:rPr>
          <w:rFonts w:ascii="宋体" w:hAnsi="宋体" w:eastAsia="宋体"/>
          <w:b w:val="0"/>
          <w:sz w:val="24"/>
        </w:rPr>
        <w:t>（2）算法模块测试：特征工程输出维度、随机森林预测范围、孤立森林标记、专家系统规则触发；</w:t>
      </w:r>
    </w:p>
    <w:p>
      <w:r>
        <w:rPr>
          <w:rFonts w:ascii="宋体" w:hAnsi="宋体" w:eastAsia="宋体"/>
          <w:b w:val="0"/>
          <w:sz w:val="24"/>
        </w:rPr>
        <w:t>（3）LSTM 深度学习测试：模型加载、前向推理输出形状、预测值范围；</w:t>
      </w:r>
    </w:p>
    <w:p>
      <w:r>
        <w:rPr>
          <w:rFonts w:ascii="宋体" w:hAnsi="宋体" w:eastAsia="宋体"/>
          <w:b w:val="0"/>
          <w:sz w:val="24"/>
        </w:rPr>
        <w:t>（4）闭环集成测试：异常检测→预警、诊断→工单、工单状态流转、预警一键生成工单、全链路闭环。</w:t>
      </w:r>
    </w:p>
    <w:p>
      <w:pPr>
        <w:pStyle w:val="Heading2"/>
      </w:pPr>
      <w:r>
        <w:rPr>
          <w:rFonts w:ascii="黑体" w:hAnsi="黑体" w:eastAsia="黑体"/>
        </w:rPr>
        <w:t>5.2 业务闭环验证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在真实运行的前后端环境中，使用浏览器完成端到端闭环演示：选择末端寿命设备 DEV001（周期 #192，健康度 0.0，等级严重），系统检出异常 → 自动生成预警 → 专家系统命中 R001（严重）→ 自动生成运维工单 → 工单状态从待处理流转至维修中 → 已完成，全链路验证通过。</w:t>
      </w:r>
    </w:p>
    <w:p>
      <w:pPr>
        <w:pStyle w:val="Heading2"/>
      </w:pPr>
      <w:r>
        <w:rPr>
          <w:rFonts w:ascii="黑体" w:hAnsi="黑体" w:eastAsia="黑体"/>
        </w:rPr>
        <w:t>5.3 前端一键闭环演练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前端预警中心页面提供"一键闭环演练"按钮，输入设备 ID 后自动执行完整闭环流程并展示每一步状态变化，便于答辩现场演示。</w:t>
      </w:r>
    </w:p>
    <w:p>
      <w:pPr>
        <w:pStyle w:val="Heading1"/>
      </w:pPr>
      <w:r>
        <w:rPr>
          <w:rFonts w:ascii="黑体" w:hAnsi="黑体" w:eastAsia="黑体"/>
        </w:rPr>
        <w:t>六、AI 使用披露</w:t>
      </w:r>
    </w:p>
    <w:p>
      <w:pPr>
        <w:pStyle w:val="Heading2"/>
      </w:pPr>
      <w:r>
        <w:rPr>
          <w:rFonts w:ascii="黑体" w:hAnsi="黑体" w:eastAsia="黑体"/>
        </w:rPr>
        <w:t>6.1 所用 AI 工具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本项目全程使用豆包 AI 编程助手（Doubao Agent Mode）进行 vibe coding 开发，涉及代码生成、调试、测试、文档撰写等环节。版本控制使用 Git + GitHub。</w:t>
      </w:r>
    </w:p>
    <w:p>
      <w:pPr>
        <w:pStyle w:val="Heading2"/>
      </w:pPr>
      <w:r>
        <w:rPr>
          <w:rFonts w:ascii="黑体" w:hAnsi="黑体" w:eastAsia="黑体"/>
        </w:rPr>
        <w:t>6.2 关键 prompt 策略</w:t>
      </w:r>
    </w:p>
    <w:p>
      <w:r>
        <w:rPr>
          <w:rFonts w:ascii="宋体" w:hAnsi="宋体" w:eastAsia="宋体"/>
          <w:b w:val="0"/>
          <w:sz w:val="24"/>
        </w:rPr>
        <w:t>（1）提示词工程：采用"任务拆解 + 技术约束 + 验收标准"三段式模板，每次 AI 交互明确指定功能范围、技术栈、接口格式和测试要求；</w:t>
      </w:r>
    </w:p>
    <w:p>
      <w:r>
        <w:rPr>
          <w:rFonts w:ascii="宋体" w:hAnsi="宋体" w:eastAsia="宋体"/>
          <w:b w:val="0"/>
          <w:sz w:val="24"/>
        </w:rPr>
        <w:t>（2）上下文工程：创建 PROJECT_RULES.md 项目核心规则文件，明确技术栈、目录结构、代码规范、接口返回格式、测试标准，每次代码修改前要求 AI 先读取规则文件和现有代码；</w:t>
      </w:r>
    </w:p>
    <w:p>
      <w:r>
        <w:rPr>
          <w:rFonts w:ascii="宋体" w:hAnsi="宋体" w:eastAsia="宋体"/>
          <w:b w:val="0"/>
          <w:sz w:val="24"/>
        </w:rPr>
        <w:t>（3）规格驱动开发：先完善需求文档和方案设计，再由 AI 制定分步实现计划，人工审核后单步开发，每步运行验证；</w:t>
      </w:r>
    </w:p>
    <w:p>
      <w:r>
        <w:rPr>
          <w:rFonts w:ascii="宋体" w:hAnsi="宋体" w:eastAsia="宋体"/>
          <w:b w:val="0"/>
          <w:sz w:val="24"/>
        </w:rPr>
        <w:t>（4）过程留痕：所有 AI 核心交互记录按阶段归档为 JSON 文件，存放于 prompt/ 目录，共 6 个阶段记录。</w:t>
      </w:r>
    </w:p>
    <w:p>
      <w:pPr>
        <w:pStyle w:val="Heading2"/>
      </w:pPr>
      <w:r>
        <w:rPr>
          <w:rFonts w:ascii="黑体" w:hAnsi="黑体" w:eastAsia="黑体"/>
        </w:rPr>
        <w:t>6.3 AI 出错案例及纠正过程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案例一：AI 生成的数据库模型字段与接口 schema 不一致，导致前后端联调时数据字段缺失。纠正：缩小改动范围，仅修正模型定义和 schema，重新运行测试验证，通过后提交。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案例二：AI 生成的孤立森林训练逻辑使用了全量数据（含故障期），导致异常检测基线偏移、召回率偏低。纠正：人工审查发现训练集构造问题，修改为仅使用健康早期 50% 数据建基线，重训后精确率从 0.43 提升至 0.49。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案例三：AI 生成的 LSTM 模型输入维度与特征工程输出不匹配（17 维 vs 77 维），导致运行时报错。纠正：回滚到上一可用版本，明确区分"统计特征路径（77 维→随机森林）"和"时序原始路径（30×17→LSTM）"，分别实现数据加载逻辑。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案例四：AI 在前端页面中引入了未安装的依赖包，导致构建失败。纠正：使用最小改动原则，移除多余依赖，改用已有的 Element Plus 组件实现相同功能。</w:t>
      </w:r>
    </w:p>
    <w:p>
      <w:pPr>
        <w:pStyle w:val="Heading2"/>
      </w:pPr>
      <w:r>
        <w:rPr>
          <w:rFonts w:ascii="黑体" w:hAnsi="黑体" w:eastAsia="黑体"/>
        </w:rPr>
        <w:t>6.4 人工审查与代码可靠性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所有 AI 生成代码均经过人工逐行审查，确保逻辑正确、无安全隐患、符合项目规范。每次代码修改后必须运行自动化测试，测试通过后方可提交 Git。Git 提交遵循"功能模块-完成内容"格式，小步提交，全程可追溯。</w:t>
      </w:r>
    </w:p>
    <w:p>
      <w:pPr>
        <w:pStyle w:val="Heading1"/>
      </w:pPr>
      <w:r>
        <w:rPr>
          <w:rFonts w:ascii="黑体" w:hAnsi="黑体" w:eastAsia="黑体"/>
        </w:rPr>
        <w:t>七、总结与展望</w:t>
      </w:r>
    </w:p>
    <w:p>
      <w:pPr>
        <w:pStyle w:val="Heading2"/>
      </w:pPr>
      <w:r>
        <w:rPr>
          <w:rFonts w:ascii="黑体" w:hAnsi="黑体" w:eastAsia="黑体"/>
        </w:rPr>
        <w:t>7.1 工作总结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本课程设计完成了数字孪生车间智能监控与运维平台的全流程开发，包括数据准备、后端服务、算法模块、前端界面、闭环联调和模型重训六个阶段。系统实现了设备台账→数字孪生→实时监测→健康评估→异常预警→智能诊断→运维工单的完整业务闭环，覆盖数字孪生、机器学习、深度学习、数据挖掘、专家系统五个技术方向。后端 52 个自动化测试全部通过，模型指标达到随机森林 R² 0.72、LSTM R² 0.77 的水平。</w:t>
      </w:r>
    </w:p>
    <w:p>
      <w:pPr>
        <w:pStyle w:val="Heading2"/>
      </w:pPr>
      <w:r>
        <w:rPr>
          <w:rFonts w:ascii="黑体" w:hAnsi="黑体" w:eastAsia="黑体"/>
        </w:rPr>
        <w:t>7.2 创新点</w:t>
      </w:r>
    </w:p>
    <w:p>
      <w:r>
        <w:rPr>
          <w:rFonts w:ascii="宋体" w:hAnsi="宋体" w:eastAsia="宋体"/>
          <w:b w:val="0"/>
          <w:sz w:val="24"/>
        </w:rPr>
        <w:t>（1）多技术融合：将数字孪生、机器学习、深度学习、数据挖掘、专家系统集成到一个完整业务系统中，而非单一算法演示；</w:t>
      </w:r>
    </w:p>
    <w:p>
      <w:r>
        <w:rPr>
          <w:rFonts w:ascii="宋体" w:hAnsi="宋体" w:eastAsia="宋体"/>
          <w:b w:val="0"/>
          <w:sz w:val="24"/>
        </w:rPr>
        <w:t>（2）完整业务闭环：从数据监测到维修工单的端到端闭环，可现场一键演示；</w:t>
      </w:r>
    </w:p>
    <w:p>
      <w:r>
        <w:rPr>
          <w:rFonts w:ascii="宋体" w:hAnsi="宋体" w:eastAsia="宋体"/>
          <w:b w:val="0"/>
          <w:sz w:val="24"/>
        </w:rPr>
        <w:t>（3）特征工程升级：在统计特征基础上新增趋势斜率特征，将随机森林 R² 从 0.53 提升至 0.72；</w:t>
      </w:r>
    </w:p>
    <w:p>
      <w:r>
        <w:rPr>
          <w:rFonts w:ascii="宋体" w:hAnsi="宋体" w:eastAsia="宋体"/>
          <w:b w:val="0"/>
          <w:sz w:val="24"/>
        </w:rPr>
        <w:t>（4）深度学习对比：补训 LSTM 模型并与随机森林对比，验证时序模型优势。</w:t>
      </w:r>
    </w:p>
    <w:p>
      <w:pPr>
        <w:pStyle w:val="Heading2"/>
      </w:pPr>
      <w:r>
        <w:rPr>
          <w:rFonts w:ascii="黑体" w:hAnsi="黑体" w:eastAsia="黑体"/>
        </w:rPr>
        <w:t>7.3 不足与展望</w:t>
      </w:r>
    </w:p>
    <w:p>
      <w:r>
        <w:rPr>
          <w:rFonts w:ascii="宋体" w:hAnsi="宋体" w:eastAsia="宋体"/>
          <w:b w:val="0"/>
          <w:sz w:val="24"/>
        </w:rPr>
        <w:t>（1）孪生可视化目前为 2D 网格布局，未来可引入 Three.js 等 3D 引擎实现更真实的车间三维孪生；</w:t>
      </w:r>
    </w:p>
    <w:p>
      <w:r>
        <w:rPr>
          <w:rFonts w:ascii="宋体" w:hAnsi="宋体" w:eastAsia="宋体"/>
          <w:b w:val="0"/>
          <w:sz w:val="24"/>
        </w:rPr>
        <w:t>（2）数据集为仿真数据，未来可接入真实工业设备数据验证模型泛化能力；</w:t>
      </w:r>
    </w:p>
    <w:p>
      <w:r>
        <w:rPr>
          <w:rFonts w:ascii="宋体" w:hAnsi="宋体" w:eastAsia="宋体"/>
          <w:b w:val="0"/>
          <w:sz w:val="24"/>
        </w:rPr>
        <w:t>（3）专家系统规则为人工编写，未来可结合知识图谱和规则挖掘实现自动规则生成；</w:t>
      </w:r>
    </w:p>
    <w:p>
      <w:r>
        <w:rPr>
          <w:rFonts w:ascii="宋体" w:hAnsi="宋体" w:eastAsia="宋体"/>
          <w:b w:val="0"/>
          <w:sz w:val="24"/>
        </w:rPr>
        <w:t>（4）系统目前为单机运行，未来可容器化部署，支持多用户并发访问。</w:t>
      </w:r>
    </w:p>
    <w:p>
      <w:pPr>
        <w:pStyle w:val="Heading1"/>
      </w:pPr>
      <w:r>
        <w:rPr>
          <w:rFonts w:ascii="黑体" w:hAnsi="黑体" w:eastAsia="黑体"/>
        </w:rPr>
        <w:t>参考文献</w:t>
      </w:r>
    </w:p>
    <w:p>
      <w:pPr>
        <w:spacing w:after="80"/>
        <w:ind w:firstLine="0"/>
      </w:pPr>
      <w:r>
        <w:t>[1] 数字孪生与智能制造 [M]. 电子工业出版社.</w:t>
      </w:r>
    </w:p>
    <w:p>
      <w:pPr>
        <w:spacing w:after="80"/>
        <w:ind w:firstLine="0"/>
      </w:pPr>
      <w:r>
        <w:t>[2] 工业互联网平台技术 [M]. 机械工业出版社.</w:t>
      </w:r>
    </w:p>
    <w:p>
      <w:pPr>
        <w:spacing w:after="80"/>
        <w:ind w:firstLine="0"/>
      </w:pPr>
      <w:r>
        <w:t>[3] 数字孪生体技术白皮书 [EB/OL].</w:t>
      </w:r>
    </w:p>
    <w:p>
      <w:pPr>
        <w:spacing w:after="80"/>
        <w:ind w:firstLine="0"/>
      </w:pPr>
      <w:r>
        <w:t>[4] Saxena A, Goebel K, Simon D, Eklund N. Damage Propagation Modeling for Aircraft Engine Run-to-Failure Simulation [C]. PHM08, 2008.</w:t>
      </w:r>
    </w:p>
    <w:p>
      <w:pPr>
        <w:spacing w:after="80"/>
        <w:ind w:firstLine="0"/>
      </w:pPr>
      <w:r>
        <w:t>[5] Breiman L. Random Forests [J]. Machine Learning, 2001, 45(1): 5-32.</w:t>
      </w:r>
    </w:p>
    <w:p>
      <w:pPr>
        <w:spacing w:after="80"/>
        <w:ind w:firstLine="0"/>
      </w:pPr>
      <w:r>
        <w:t>[6] Hochreiter S, Schmidhuber J. Long Short-Term Memory [J]. Neural Computation, 1997, 9(8): 1735-1780.</w:t>
      </w:r>
    </w:p>
    <w:p>
      <w:pPr>
        <w:spacing w:after="80"/>
        <w:ind w:firstLine="0"/>
      </w:pPr>
      <w:r>
        <w:t>[7] Liu F T, Ting K M, Zhou Z H. Isolation Forest [C]. ICDM, 2008: 413-422.</w:t>
      </w:r>
    </w:p>
    <w:p>
      <w:pPr>
        <w:spacing w:after="80"/>
        <w:ind w:firstLine="0"/>
      </w:pPr>
      <w:r>
        <w:t>[8] NASA Prognostics Center of Excellence Data Set Repository [EB/OL]. https://www.nasa.gov/intelligent-systems-division/discovery-and-systems-health/pcoe/pcoe-data-set-repository/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