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计算机网络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通信子网 资源子网       计算机技术，通讯技术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21世纪的特征：数字化、网络化、信息化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互联网的两个基本特点：连通性、共享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1993年 第三阶段特点 全球范围的多层次</w:t>
      </w:r>
      <w:r>
        <w:rPr>
          <w:rFonts w:hint="eastAsia"/>
          <w:b/>
          <w:bCs/>
          <w:sz w:val="21"/>
          <w:szCs w:val="21"/>
          <w:lang w:val="en-US" w:eastAsia="zh-CN"/>
        </w:rPr>
        <w:t>ISP（互联网服务提供商）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结构的互联网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互联网交换点IXP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：两个ISP网络直接连接并交换分组，不需要第三方网络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万维网www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（20世纪90年代） </w:t>
      </w:r>
      <w:r>
        <w:rPr>
          <w:rFonts w:hint="eastAsia"/>
          <w:b/>
          <w:bCs/>
          <w:sz w:val="21"/>
          <w:szCs w:val="21"/>
          <w:lang w:val="en-US" w:eastAsia="zh-CN"/>
        </w:rPr>
        <w:t>互联网体系结构委员会IAB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互联网的组成：边缘部分（所有连接在互联网上的主机 用户直接使用 进行通信和资源共享） 核心部分（大量网络和连接网络的路由器组成 为边缘部分提供服务 提供连通性和交换）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客户—服务器方式C/S  对等方式（P2P方式）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分组交换（高效 灵活 迅速 可靠）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电路交换-整个报文的比特流连续滴从源头直达终点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报文交换-整个报文先传说到相邻结点，全部存储再查找转发表，转发到下一个结点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分组交换-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单个分组传达到相邻结点，存储下俩在查找转发表，转发到下一个结点</w:t>
      </w:r>
      <w:r>
        <w:rPr>
          <w:rFonts w:hint="eastAsia"/>
          <w:b/>
          <w:bCs/>
          <w:sz w:val="21"/>
          <w:szCs w:val="21"/>
          <w:lang w:val="en-US" w:eastAsia="zh-CN"/>
        </w:rPr>
        <w:t>同上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广域网WAN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:几十到几千公里（核心部分）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城域网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MAN：5~50km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局域网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LAN：10Mbits以上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个人区域网PAN:10m = 无线个人区域网WPAN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比特（1，0）信息量的单位 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数据的传送速率：比特率（数据率）bit/s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带宽：信号具有的频带宽度 赫Hz  </w:t>
      </w:r>
      <w:r>
        <w:rPr>
          <w:rFonts w:hint="eastAsia"/>
          <w:b/>
          <w:bCs/>
          <w:sz w:val="21"/>
          <w:szCs w:val="21"/>
          <w:lang w:val="en-US" w:eastAsia="zh-CN"/>
        </w:rPr>
        <w:t>最高数据率bit/s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吞吐量：单位时间内通过某网络的实际数据量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时延=数据帧长度（Bit）/ 发送速率（bit/s）  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传播时延 = 信道长度（m）/ 电磁波在信道上的传播速率（m/s）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电磁波在自由空间的传播速率是光速 3.0*10^5 km/s 铜线2.3*10^5km/s 光纤2.0*10^5km/s 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网络协议三要素：语法、语义、同步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分层的特点：各层之间独立 灵活性好 结构上可分割开 易于实现和维护 能促进标准化工作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OSI（1~7</w:t>
      </w:r>
      <w:r>
        <w:rPr>
          <w:rFonts w:hint="eastAsia"/>
          <w:b/>
          <w:bCs/>
          <w:sz w:val="18"/>
          <w:szCs w:val="18"/>
          <w:highlight w:val="yellow"/>
          <w:lang w:val="en-US" w:eastAsia="zh-CN"/>
        </w:rPr>
        <w:t>物理层、数据链路层</w:t>
      </w:r>
      <w:r>
        <w:rPr>
          <w:rFonts w:hint="eastAsia"/>
          <w:b/>
          <w:bCs/>
          <w:sz w:val="18"/>
          <w:szCs w:val="18"/>
          <w:lang w:val="en-US" w:eastAsia="zh-CN"/>
        </w:rPr>
        <w:t>、</w:t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t>网络层</w:t>
      </w:r>
      <w:r>
        <w:rPr>
          <w:rFonts w:hint="eastAsia"/>
          <w:b/>
          <w:bCs/>
          <w:sz w:val="18"/>
          <w:szCs w:val="18"/>
          <w:lang w:val="en-US" w:eastAsia="zh-CN"/>
        </w:rPr>
        <w:t>、</w:t>
      </w:r>
      <w:r>
        <w:rPr>
          <w:rFonts w:hint="eastAsia"/>
          <w:b/>
          <w:bCs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运输层</w:t>
      </w:r>
      <w:r>
        <w:rPr>
          <w:rFonts w:hint="eastAsia"/>
          <w:b/>
          <w:bCs/>
          <w:sz w:val="18"/>
          <w:szCs w:val="18"/>
          <w:lang w:val="en-US" w:eastAsia="zh-CN"/>
        </w:rPr>
        <w:t>、</w:t>
      </w:r>
      <w:r>
        <w:rPr>
          <w:rFonts w:hint="eastAsia"/>
          <w:b/>
          <w:bCs/>
          <w:color w:val="AFABAB" w:themeColor="background2" w:themeShade="BF"/>
          <w:sz w:val="18"/>
          <w:szCs w:val="18"/>
          <w:lang w:val="en-US" w:eastAsia="zh-CN"/>
        </w:rPr>
        <w:t>会话层、表示层、应用层</w:t>
      </w:r>
      <w:r>
        <w:rPr>
          <w:rFonts w:hint="eastAsia"/>
          <w:b/>
          <w:bCs/>
          <w:sz w:val="18"/>
          <w:szCs w:val="18"/>
          <w:lang w:val="en-US" w:eastAsia="zh-CN"/>
        </w:rPr>
        <w:t>）</w:t>
      </w:r>
    </w:p>
    <w:p>
      <w:pPr>
        <w:ind w:firstLine="420" w:firstLineChars="0"/>
        <w:jc w:val="left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TCP/IP（</w:t>
      </w:r>
      <w:r>
        <w:rPr>
          <w:rFonts w:hint="eastAsia"/>
          <w:b/>
          <w:bCs/>
          <w:sz w:val="18"/>
          <w:szCs w:val="18"/>
          <w:highlight w:val="yellow"/>
          <w:lang w:val="en-US" w:eastAsia="zh-CN"/>
        </w:rPr>
        <w:t>链路层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lang w:val="en-US" w:eastAsia="zh-CN"/>
        </w:rPr>
        <w:t xml:space="preserve">网际层IP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运输层TCP\UDP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color w:val="AFABAB" w:themeColor="background2" w:themeShade="BF"/>
          <w:sz w:val="18"/>
          <w:szCs w:val="18"/>
          <w:lang w:val="en-US" w:eastAsia="zh-CN"/>
        </w:rPr>
        <w:t>应用层DNS\HTTP\SMTP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 ）</w:t>
      </w:r>
    </w:p>
    <w:p>
      <w:pPr>
        <w:ind w:firstLine="420" w:firstLineChars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五层协议（物理层 数据链路层 网络层 运输层 </w:t>
      </w:r>
      <w:r>
        <w:rPr>
          <w:rFonts w:hint="eastAsia"/>
          <w:b/>
          <w:bCs/>
          <w:color w:val="AFABAB" w:themeColor="background2" w:themeShade="BF"/>
          <w:sz w:val="18"/>
          <w:szCs w:val="18"/>
          <w:lang w:val="en-US" w:eastAsia="zh-CN"/>
        </w:rPr>
        <w:t>应用层</w:t>
      </w:r>
      <w:r>
        <w:rPr>
          <w:rFonts w:hint="eastAsia"/>
          <w:b/>
          <w:bCs/>
          <w:sz w:val="18"/>
          <w:szCs w:val="18"/>
          <w:lang w:val="en-US" w:eastAsia="zh-CN"/>
        </w:rPr>
        <w:t>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应用层：通过应用进程间的交互来完成特定网络应用 </w:t>
      </w:r>
      <w:r>
        <w:rPr>
          <w:rFonts w:hint="eastAsia"/>
          <w:b/>
          <w:bCs/>
          <w:sz w:val="21"/>
          <w:szCs w:val="21"/>
          <w:lang w:val="en-US" w:eastAsia="zh-CN"/>
        </w:rPr>
        <w:t>报文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运输层：两台主机中进程之间的通信提供通用的数据传输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传输控制协议TCP：面对面连接的、可靠的数据传输服务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报文段</w:t>
      </w:r>
    </w:p>
    <w:p>
      <w:pPr>
        <w:ind w:left="84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用户数据报协议UDP: 尽最大努力的数据传输服务（不保证数据传输的可靠性）</w:t>
      </w:r>
      <w:r>
        <w:rPr>
          <w:rFonts w:hint="eastAsia"/>
          <w:b/>
          <w:bCs/>
          <w:sz w:val="21"/>
          <w:szCs w:val="21"/>
          <w:lang w:val="en-US" w:eastAsia="zh-CN"/>
        </w:rPr>
        <w:t>用户数据报</w:t>
      </w:r>
    </w:p>
    <w:p>
      <w:pPr>
        <w:ind w:firstLine="420" w:firstLineChars="0"/>
        <w:jc w:val="left"/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网络层：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分组交换网上不用主机提供通信 </w:t>
      </w: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分组|包=IP数据报=数据报</w:t>
      </w:r>
    </w:p>
    <w:p>
      <w:p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数据链路层：IP数据报组装成帧，相邻节点的链路上传送帧（数据和必要的控制信息）</w:t>
      </w:r>
    </w:p>
    <w:p>
      <w:pPr>
        <w:ind w:firstLine="420" w:firstLineChars="0"/>
        <w:jc w:val="left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物理层：（比特）</w:t>
      </w:r>
    </w:p>
    <w:p>
      <w:pPr>
        <w:ind w:firstLine="420" w:firstLineChars="0"/>
        <w:jc w:val="left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主机A向主机B发送信息or数据可理解成 快递的封装（送）和解封（拆）</w:t>
      </w:r>
    </w:p>
    <w:p>
      <w:pPr>
        <w:jc w:val="left"/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  <w:t>二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物理层的主要任务（确定与传输媒体的接口）：机械特性 电气特性 功能特性 过程特性</w:t>
      </w:r>
    </w:p>
    <w:p>
      <w:pPr>
        <w:ind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数据在通信线路上的传输方式一般都是</w: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串行传输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数据通信系统（源系统 传输系统 目的系统）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信息：模拟信息（</w: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连续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信号） 数字信号（</w: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离散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信号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）【码元】</w:t>
      </w:r>
    </w:p>
    <w:p>
      <w:pPr>
        <w:ind w:firstLine="420" w:firstLineChars="0"/>
        <w:jc w:val="left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信道： 单向通信（单工通信） 双向交替通信（半双工通信） 双向同时通信（全双工通信）</w:t>
      </w:r>
    </w:p>
    <w:p>
      <w:pPr>
        <w:ind w:firstLine="420" w:firstLineChars="0"/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曼彻斯特编码：位周期中心的向上跳变代表0，向下跳变代表1，也可反过来定义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看图找答案（规律）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差分曼彻斯特：每一位的中心处始终都有跳变，位开始边界有跳变代表0，位开始边界没有跳变代表1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0小梯形1大梯形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奈氏准则：在带宽为W的低通信道中，若不考虑噪声影响，则码元传输的最高速率是2W，传输速率超过此上限，就会出现严重的码间串扰问题，使接收端对码元的判决（识别）成为不可能。</w:t>
      </w:r>
    </w:p>
    <w:p>
      <w:pPr>
        <w:ind w:firstLine="420" w:firstLineChars="0"/>
        <w:jc w:val="left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信噪比（dB）=10log10(S/N)  s/n是噪声的平均功率  s信道内所传信号的平均功率 N为信道内部的高斯噪声功率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香农公式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ab/>
        <w:t xml:space="preserve">C（信道的极限信息传输速率）= </w: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Wlog2（1+S/N）（bit/s）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w是信道的宽度</w:t>
      </w:r>
    </w:p>
    <w:p>
      <w:pPr>
        <w:ind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信道的带宽或信道中的信噪比越大，信息的极限传输速率就越高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光纤：数百Gbit/s  铜线：56kbit/s</w:t>
      </w:r>
    </w:p>
    <w:p>
      <w:pPr>
        <w:ind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光纤的特点：通信容量非常大</w:t>
      </w:r>
    </w:p>
    <w:p>
      <w:pPr>
        <w:ind w:left="1260" w:leftChars="0"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传输损耗小，中继距离长，对远距离传输特别经济</w:t>
      </w:r>
    </w:p>
    <w:p>
      <w:pPr>
        <w:ind w:left="1260" w:leftChars="0"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抗雷电和电磁干扰性能好</w:t>
      </w:r>
    </w:p>
    <w:p>
      <w:pPr>
        <w:ind w:left="1260" w:leftChars="0"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无串音干扰，保密性好，不易呗窃听或截取数据</w:t>
      </w:r>
    </w:p>
    <w:p>
      <w:pPr>
        <w:ind w:left="1260" w:leftChars="0"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体积小，重量轻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微波接力通信可传输电话、电报、图像、数据等信息，主要特点是【见书上54页】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卫星电话的最大特点是通信距离远    </w:t>
      </w:r>
    </w:p>
    <w:p>
      <w:pPr>
        <w:ind w:left="1260" w:leftChars="0"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卫星通信频带很宽，通信容量很大，信号所受感染很小，通信相对稳定</w:t>
      </w:r>
    </w:p>
    <w:p>
      <w:pPr>
        <w:ind w:left="1260" w:leftChars="0"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特点</w: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：具有较大的传播时延 250~300ms 一般取270ms</w:t>
      </w:r>
    </w:p>
    <w:p>
      <w:p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码分复用CDM【见书上60页】</w:t>
      </w:r>
    </w:p>
    <w:p>
      <w:pPr>
        <w:ind w:firstLine="420" w:firstLineChars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同步光纤网SONET为光纤传输系统定义了同步传输的线路速率等级结构，其传输速率以51.840Mbit/s为基础</w:t>
      </w:r>
    </w:p>
    <w:p>
      <w:pPr>
        <w:numPr>
          <w:ilvl w:val="0"/>
          <w:numId w:val="1"/>
        </w:numPr>
        <w:ind w:left="-210" w:leftChars="0" w:firstLine="420" w:firstLineChars="0"/>
        <w:jc w:val="left"/>
        <w:rPr>
          <w:rFonts w:hint="default"/>
          <w:b w:val="0"/>
          <w:bCs w:val="0"/>
          <w:color w:val="auto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color w:val="auto"/>
          <w:sz w:val="44"/>
          <w:szCs w:val="44"/>
          <w:lang w:val="en-US" w:eastAsia="zh-CN"/>
        </w:rPr>
        <w:t>数据链路层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点对点信道 ppp（一对一） 广播信道CSMA/CD（一对多）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数据链路层的三个基本问题   封装成帧 透明传输 差错检测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主机（应用层-运输层-网络层-链路层-物理层）——路由器（物理层-链路层-网络层）——路由器（物理层-链路层-物理层）——主机（物理层-链路层-网络层-运输层-应用层）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差错检测：</w:t>
      </w:r>
      <w:r>
        <w:rPr>
          <w:rFonts w:hint="eastAsia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比特差错 误码率BER 循环冗余检验CRC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被除数n 除数n+1 余数n</w:t>
      </w:r>
      <w:r>
        <w:rPr>
          <w:rFonts w:hint="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异或运算</w:t>
      </w: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静态划分信道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动态媒体接入控制（多点接入）：随机接入   受控接入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以太网标准IEEE802.3    10Mbit/s      适配器=网卡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CSMA/CD[87页]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退避算法： 争用期时间是51.2us 例：10MBit/s以太网在争用期可发送512比特，即64字节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凡长度小于64字节的帧都是由于冲突而异常中止的无效帧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硬件地址=物理地址=MAC地址 48位全球地址   单播，广播（一对全体），多播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以太网交换机=多端口的网桥  全双工方式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虚拟局域网【104】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汇聚链路=干线链路：连接两个交换机端口之间的链路</w:t>
      </w:r>
    </w:p>
    <w:p>
      <w:pPr>
        <w:numPr>
          <w:ilvl w:val="0"/>
          <w:numId w:val="1"/>
        </w:numPr>
        <w:ind w:left="-210" w:leftChars="0" w:firstLine="420" w:firstLineChars="0"/>
        <w:jc w:val="left"/>
        <w:rPr>
          <w:rFonts w:hint="eastAsia"/>
          <w:b w:val="0"/>
          <w:bCs w:val="0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网络层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网络层要设计的尽量简单，向其上层只提供简单灵活的、</w:t>
      </w: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无连接的、尽最大努力</w:t>
      </w: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交付是举报服务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地址解析协议ARP 网际控制报文协议ICMP 网际组管理协议IGMP 逆地址解析协议RARP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物理层：转发器</w:t>
      </w:r>
    </w:p>
    <w:p>
      <w:pPr>
        <w:numPr>
          <w:numId w:val="0"/>
        </w:numPr>
        <w:ind w:left="210" w:leftChars="0"/>
        <w:jc w:val="left"/>
        <w:rPr>
          <w:rFonts w:hint="default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数据链路层：网桥，交换机   ——</w:t>
      </w: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中间设备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网络层：路由器</w:t>
      </w:r>
    </w:p>
    <w:p>
      <w:pPr>
        <w:numPr>
          <w:numId w:val="0"/>
        </w:numPr>
        <w:ind w:left="210" w:leftChars="0"/>
        <w:jc w:val="left"/>
        <w:rPr>
          <w:rFonts w:hint="default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网洛层以上：网关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2E75B6" w:themeColor="accent1" w:themeShade="BF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地址掩码CIDR （子网掩码）  求网络地址 1 AND 1 = 1  其他为0  </w:t>
      </w:r>
      <w:r>
        <w:rPr>
          <w:rFonts w:hint="eastAsia"/>
          <w:b w:val="0"/>
          <w:bCs w:val="0"/>
          <w:color w:val="2E75B6" w:themeColor="accent1" w:themeShade="BF"/>
          <w:sz w:val="18"/>
          <w:szCs w:val="18"/>
          <w:highlight w:val="none"/>
          <w:lang w:val="en-US" w:eastAsia="zh-CN"/>
        </w:rPr>
        <w:t>和运算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路由聚合 【129】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Mac地址是数据链路层使用的地址，而IP地址是网络层和以上各层使用的地址，是一种逻辑结构。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IP层抽象的互联网上只能看到IP数据报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 xml:space="preserve">路由器只根据目的站的IP地址进行转发  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在局域网的链路层，只能看到Mac地址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 xml:space="preserve">地址解析协议ARP    IP地址找Mac地址  每一台主机都设有一个ARP高速缓存 </w:t>
      </w:r>
    </w:p>
    <w:p>
      <w:pPr>
        <w:numPr>
          <w:numId w:val="0"/>
        </w:numPr>
        <w:ind w:left="210" w:leftChars="0"/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IP数据报由首部和数据组成，首部的前一部分是固定的，共20字节。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IP首部长度限制为60字节  最常见的首部长度为20字节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总长度指首部和数据之和的长度，单位为字节，字段为16字节，数据报的最大长度为2^16-1=65535字节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数据字段的最大长度 称为 最大传送单元MTU  最常用的以太网规定MTU值是1500字节</w:t>
      </w:r>
    </w:p>
    <w:p>
      <w:pPr>
        <w:numPr>
          <w:numId w:val="0"/>
        </w:numPr>
        <w:jc w:val="left"/>
        <w:rPr>
          <w:rFonts w:hint="eastAsia"/>
          <w:b/>
          <w:bCs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highlight w:val="none"/>
          <w:lang w:val="en-US" w:eastAsia="zh-CN"/>
        </w:rPr>
        <w:t>网际控制报文协议ICMP【146】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ICMP差错报告报文  ICMP询问报文   前四个字节 类型 代码  检验和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ipv6（2014年至2015年）  IPV4（20世纪70年代）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ipv6支持无连接传送 将协议数据单元PDU称为分组</w:t>
      </w:r>
    </w:p>
    <w:p>
      <w:pPr>
        <w:numPr>
          <w:numId w:val="0"/>
        </w:numPr>
        <w:jc w:val="left"/>
        <w:rPr>
          <w:rFonts w:hint="eastAsia"/>
          <w:b/>
          <w:bCs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highlight w:val="none"/>
          <w:lang w:val="en-US" w:eastAsia="zh-CN"/>
        </w:rPr>
        <w:t>ipv6吧地址从IPV4的32位增大到4倍 128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highlight w:val="none"/>
          <w:lang w:val="en-US" w:eastAsia="zh-CN"/>
        </w:rPr>
        <w:t>单播  多播   任播（ipv6专用 终点是一组计算机，数据只交付其中的一个）  主机路由器都称为</w:t>
      </w:r>
      <w:r>
        <w:rPr>
          <w:rFonts w:hint="eastAsia"/>
          <w:b/>
          <w:bCs/>
          <w:color w:val="auto"/>
          <w:sz w:val="18"/>
          <w:szCs w:val="18"/>
          <w:highlight w:val="none"/>
          <w:lang w:val="en-US" w:eastAsia="zh-CN"/>
        </w:rPr>
        <w:t>节点</w:t>
      </w:r>
    </w:p>
    <w:p>
      <w:pPr>
        <w:numPr>
          <w:numId w:val="0"/>
        </w:numPr>
        <w:jc w:val="both"/>
        <w:rPr>
          <w:rFonts w:hint="eastAsia" w:ascii="华文新魏" w:hAnsi="华文新魏" w:eastAsia="华文新魏" w:cs="华文新魏"/>
          <w:b w:val="0"/>
          <w:bCs w:val="0"/>
          <w:i/>
          <w:iCs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i/>
          <w:iCs/>
          <w:color w:val="auto"/>
          <w:sz w:val="18"/>
          <w:szCs w:val="18"/>
          <w:highlight w:val="none"/>
          <w:lang w:val="en-US" w:eastAsia="zh-CN"/>
        </w:rPr>
        <w:t>ipv6使用冒号十六进制记法</w:t>
      </w:r>
    </w:p>
    <w:p>
      <w:pPr>
        <w:numPr>
          <w:ilvl w:val="0"/>
          <w:numId w:val="1"/>
        </w:numPr>
        <w:ind w:left="-210" w:leftChars="0" w:firstLine="420" w:firstLineChars="0"/>
        <w:jc w:val="both"/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auto"/>
          <w:sz w:val="44"/>
          <w:szCs w:val="44"/>
          <w:highlight w:val="none"/>
          <w:lang w:val="en-US" w:eastAsia="zh-CN"/>
        </w:rPr>
      </w:pPr>
      <w:r>
        <w:rPr>
          <w:rFonts w:hint="eastAsia" w:ascii="华文新魏" w:hAnsi="华文新魏" w:eastAsia="华文新魏" w:cs="华文新魏"/>
          <w:b w:val="0"/>
          <w:bCs w:val="0"/>
          <w:i w:val="0"/>
          <w:iCs w:val="0"/>
          <w:color w:val="auto"/>
          <w:sz w:val="44"/>
          <w:szCs w:val="44"/>
          <w:highlight w:val="none"/>
          <w:lang w:val="en-US" w:eastAsia="zh-CN"/>
        </w:rPr>
        <w:t>运输层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lang w:val="en-US" w:eastAsia="zh-CN"/>
        </w:rPr>
        <w:t>运输层向它上面的应用层提供通信服务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lang w:val="en-US" w:eastAsia="zh-CN"/>
        </w:rPr>
        <w:t>复用 （发送方）和  分用   （接收方）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lang w:val="en-US" w:eastAsia="zh-CN"/>
        </w:rPr>
        <w:t>运输层提供应用进程间的逻辑通信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lang w:val="en-US" w:eastAsia="zh-CN"/>
        </w:rPr>
        <w:t>用户数据报协议UDP   传输控制协议TCP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/>
          <w:bCs/>
          <w:i/>
          <w:i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/>
          <w:iCs/>
          <w:color w:val="auto"/>
          <w:sz w:val="28"/>
          <w:szCs w:val="28"/>
          <w:highlight w:val="none"/>
          <w:lang w:val="en-US" w:eastAsia="zh-CN"/>
        </w:rPr>
        <w:t>协议  表格5-1 【213】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/>
          <w:bCs/>
          <w:i/>
          <w:iCs/>
          <w:color w:val="auto"/>
          <w:sz w:val="28"/>
          <w:szCs w:val="2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/>
          <w:iCs/>
          <w:color w:val="auto"/>
          <w:sz w:val="28"/>
          <w:szCs w:val="28"/>
          <w:highlight w:val="none"/>
          <w:u w:val="none"/>
          <w:lang w:val="en-US" w:eastAsia="zh-CN"/>
        </w:rPr>
        <w:t>端口号 表5-1 【215】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UDP的特点：  UDP是无连接的  UDP使用尽最大努力交付 UDP是面向报文 UDP没有拥塞控制 UDP支付一对一、一对多、多对一、多对多的交互通信 UDP 的首部开销小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UDP的首部格式  源端口 目的端口 长度 检验和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 xml:space="preserve">TCP的特点： 面向连接的运输层协议 每一条TCP连接只能有两个端口，每一条TCP连接只能是点对点的   TCP提供可靠交付的服务   全双工通信    面向字节流  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TCP的拥塞控制方法   慢开始 拥塞避免  快重传 快恢复</w:t>
      </w:r>
    </w:p>
    <w:p>
      <w:pPr>
        <w:numPr>
          <w:ilvl w:val="0"/>
          <w:numId w:val="1"/>
        </w:numPr>
        <w:ind w:left="-210" w:leftChars="0" w:firstLine="420" w:firstLine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应用层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域名系统DNS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DNS规定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 xml:space="preserve"> 域名中的标号都由英文字母和数字组成，每一个标号不超过63个字符，也不区分大小写字母   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由多个标号组成的完整域名总共不超过255个字符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域名服务器（根域名服务器 顶级域名服务器 权限域名服务器  本地域名服务器）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【268】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文件传送协议FTP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主进程的工作步骤【270页】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万维网必须解决的问题【274页】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http的操作过程【276】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电子邮件（简单邮件传送协议SMTP[RFC5321]和互联网文本报文格式【RFC 5322】）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电子邮件由信封和内容组成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电子邮件的信息格式【298】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 xml:space="preserve">动态主机配置协议DHCP  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DHCP服务器分配给DHCP客户的IP地址是临时的   客户使用端口号：68 服务器使用端口号：67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图6-19【303】</w:t>
      </w:r>
    </w:p>
    <w:p>
      <w:pPr>
        <w:numPr>
          <w:ilvl w:val="0"/>
          <w:numId w:val="1"/>
        </w:numPr>
        <w:ind w:left="-21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44"/>
          <w:szCs w:val="44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44"/>
          <w:szCs w:val="44"/>
          <w:highlight w:val="none"/>
          <w:u w:val="none"/>
          <w:lang w:val="en-US" w:eastAsia="zh-CN"/>
        </w:rPr>
        <w:t>网络安全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 xml:space="preserve"> 计算机网络的通信面临的两大威胁  被动攻击   主动攻击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主动攻击（篡改 恶意程序 计算机病毒  计算机蠕虫 特洛伊木马 逻辑炸弹 后门入侵 流氓软件）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拒绝服务DOS 指攻击者向互联网上的某个服务器不停的发送大量分组，使该服务器无法正常服务，甚至完全瘫痪。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分布式拒绝服务DDOS 从互联网上的成百上千个网站集中攻击一个网站  也称为 网络宽带攻击或连通性攻击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主动攻击 有采取适当措施加以检测   被动攻击 通常检测不出来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计算机安全的目标（防止析出报文内容和流量分析   防止恶意程序 检测更改报文流和拒绝服务）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对付被动攻击可采用各种数据加密技术，对付主动攻击，需要加密技术与适当的鉴别技术相结合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安全的计算机网络具备（机密性  端点鉴别  信息的完整性  运行的安全性）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防火墙是一种特殊编程的路由器（分组过滤路由器   应用网关也称为代理服务器）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</w:p>
    <w:p>
      <w:pPr>
        <w:numPr>
          <w:numId w:val="0"/>
        </w:numPr>
        <w:ind w:left="210" w:leftChars="0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Conf t(特权模式)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No ip routing（关闭路由）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Vlan 10,20（创建VLAN10,20）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Exit(退出)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Int f 1/1（进入f1/1接口模式）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Switchport mode access（配置成接入链路）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Switchport access valn 10（吧f1/1接口分配到VLAN10）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Ex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Int f 1/2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Sw a vl 20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Ex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Do show vlan-sw b（察看VLAN的信息）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Int f1/0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Speed 100（速率100M）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Duplex full（全双工）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Switchport mode trunk（配置trunk链路）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Switchport trunk encapsulation dot1q（封装类型为dot1q）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Ex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Int f0/0.1（进入子接口的接口模式）</w:t>
      </w:r>
    </w:p>
    <w:p>
      <w:pPr>
        <w:numPr>
          <w:numId w:val="0"/>
        </w:numPr>
        <w:ind w:left="210" w:leftChars="0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Encapsulation dot1q 10（配置VLAN10的封装帧）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IP address 192.168.10.1 255.255.255.0（配置子接口的IP地址）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Ex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静态路由实现网络互通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Conf t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Int f0/1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Ip add 12.0.0.1 255.255.255.0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No shut</w:t>
      </w:r>
    </w:p>
    <w:p>
      <w:pPr>
        <w:numPr>
          <w:numId w:val="0"/>
        </w:numPr>
        <w:ind w:left="210"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  <w:t>Ex</w:t>
      </w:r>
    </w:p>
    <w:p>
      <w:pPr>
        <w:numPr>
          <w:numId w:val="0"/>
        </w:numPr>
        <w:ind w:left="210" w:leftChars="0"/>
        <w:jc w:val="both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18"/>
          <w:szCs w:val="18"/>
          <w:highlight w:val="none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段宁毛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07BD2"/>
    <w:multiLevelType w:val="singleLevel"/>
    <w:tmpl w:val="01507BD2"/>
    <w:lvl w:ilvl="0" w:tentative="0">
      <w:start w:val="3"/>
      <w:numFmt w:val="chineseCounting"/>
      <w:suff w:val="nothing"/>
      <w:lvlText w:val="%1．"/>
      <w:lvlJc w:val="left"/>
      <w:pPr>
        <w:ind w:left="-21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lOWFhODhmYjEwYTRmY2VkMTc4MDY1ZTVkNjBlODkifQ=="/>
  </w:docVars>
  <w:rsids>
    <w:rsidRoot w:val="2AC40791"/>
    <w:rsid w:val="2AC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2023-02-21T04:41:00Z</dcterms:created>
  <dc:creator>山鬼</dc:creator>
  <cp:lastModifiedBy>山鬼</cp:lastModifiedBy>
  <dcterms:modified xsi:type="dcterms:W3CDTF">2023-02-21T09:12:33Z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AF220C0EF5874DCD8E99C3A15AC891ED</vt:lpwstr>
  </property>
</Properties>
</file>