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SimHei" w:hAnsi="SimHei" w:eastAsia="SimHei"/>
          <w:b/>
          <w:sz w:val="52"/>
        </w:rPr>
        <w:t>《缠斗：中美经贸重构与全球经济新秩序》</w:t>
      </w:r>
    </w:p>
    <w:p>
      <w:pPr>
        <w:jc w:val="center"/>
      </w:pPr>
      <w:r>
        <w:rPr>
          <w:rFonts w:ascii="SimHei" w:hAnsi="SimHei" w:eastAsia="SimHei"/>
          <w:color w:val="646464"/>
          <w:sz w:val="36"/>
        </w:rPr>
        <w:t>中心思想与核心观点提炼报告</w:t>
      </w:r>
    </w:p>
    <w:p/>
    <w:p/>
    <w:p>
      <w:pPr>
        <w:jc w:val="center"/>
      </w:pPr>
      <w:r>
        <w:rPr>
          <w:rFonts w:ascii="SimSun" w:hAnsi="SimSun" w:eastAsia="SimSun"/>
          <w:sz w:val="24"/>
        </w:rPr>
        <w:t>著者：翟东升（中国人民大学）　朱焅</w:t>
        <w:br/>
        <w:t>中信出版集团 · 2026年4月出版</w:t>
        <w:br/>
        <w:t>420页 · 88.00元 · ISBN 9787521716252</w:t>
      </w:r>
    </w:p>
    <w:p>
      <w:r>
        <w:br w:type="page"/>
      </w:r>
    </w:p>
    <w:p>
      <w:pPr>
        <w:pStyle w:val="Heading1"/>
      </w:pPr>
      <w:r>
        <w:t>目  录</w:t>
      </w:r>
    </w:p>
    <w:p>
      <w:pPr>
        <w:ind w:firstLine="480"/>
      </w:pPr>
      <w:r>
        <w:rPr>
          <w:rFonts w:ascii="SimSun" w:hAnsi="SimSun" w:eastAsia="SimSun"/>
          <w:b w:val="0"/>
          <w:sz w:val="26"/>
        </w:rPr>
        <w:t>一、书籍概述与创作背景</w:t>
      </w:r>
    </w:p>
    <w:p>
      <w:pPr>
        <w:ind w:firstLine="480"/>
      </w:pPr>
      <w:r>
        <w:rPr>
          <w:rFonts w:ascii="SimSun" w:hAnsi="SimSun" w:eastAsia="SimSun"/>
          <w:b w:val="0"/>
          <w:sz w:val="26"/>
        </w:rPr>
        <w:t>二、核心分析框架：全球化“深秋论”与“平行体系”</w:t>
      </w:r>
    </w:p>
    <w:p>
      <w:pPr>
        <w:ind w:firstLine="480"/>
      </w:pPr>
      <w:r>
        <w:rPr>
          <w:rFonts w:ascii="SimSun" w:hAnsi="SimSun" w:eastAsia="SimSun"/>
          <w:b w:val="0"/>
          <w:sz w:val="26"/>
        </w:rPr>
        <w:t>三、美国篇：逆全球化的政治经济根源</w:t>
      </w:r>
    </w:p>
    <w:p>
      <w:pPr>
        <w:ind w:firstLine="480"/>
      </w:pPr>
      <w:r>
        <w:rPr>
          <w:rFonts w:ascii="SimSun" w:hAnsi="SimSun" w:eastAsia="SimSun"/>
          <w:b w:val="0"/>
          <w:sz w:val="26"/>
        </w:rPr>
        <w:t>四、中国篇：从“三外路线”到科技自立自强</w:t>
      </w:r>
    </w:p>
    <w:p>
      <w:pPr>
        <w:ind w:firstLine="480"/>
      </w:pPr>
      <w:r>
        <w:rPr>
          <w:rFonts w:ascii="SimSun" w:hAnsi="SimSun" w:eastAsia="SimSun"/>
          <w:b w:val="0"/>
          <w:sz w:val="26"/>
        </w:rPr>
        <w:t>五、AI时代：大国角力的新战场</w:t>
      </w:r>
    </w:p>
    <w:p>
      <w:pPr>
        <w:ind w:firstLine="480"/>
      </w:pPr>
      <w:r>
        <w:rPr>
          <w:rFonts w:ascii="SimSun" w:hAnsi="SimSun" w:eastAsia="SimSun"/>
          <w:b w:val="0"/>
          <w:sz w:val="26"/>
        </w:rPr>
        <w:t>六、战略建言：三大核心政策构想</w:t>
      </w:r>
    </w:p>
    <w:p>
      <w:pPr>
        <w:ind w:firstLine="480"/>
      </w:pPr>
      <w:r>
        <w:rPr>
          <w:rFonts w:ascii="SimSun" w:hAnsi="SimSun" w:eastAsia="SimSun"/>
          <w:b w:val="0"/>
          <w:sz w:val="26"/>
        </w:rPr>
        <w:t>七、结论：缠斗时代的中国选择</w:t>
      </w:r>
    </w:p>
    <w:p>
      <w:r>
        <w:br w:type="page"/>
      </w:r>
    </w:p>
    <w:p>
      <w:pPr>
        <w:pStyle w:val="Heading1"/>
      </w:pPr>
      <w:r>
        <w:t>一、书籍概述与创作背景</w:t>
      </w:r>
    </w:p>
    <w:p>
      <w:pPr>
        <w:ind w:firstLine="480"/>
      </w:pPr>
      <w:r>
        <w:rPr>
          <w:rFonts w:ascii="SimSun" w:hAnsi="SimSun" w:eastAsia="SimSun"/>
          <w:b w:val="0"/>
          <w:sz w:val="24"/>
        </w:rPr>
        <w:t>《缠斗：中美经贸重构与全球经济新秩序》由中国人民大学国际关系学院教授、区域国别研究院院长翟东升与其博士朱焅合著，2026年4月由中信出版集团出版。全书420页，定价88.00元，以“中美经贸关系重构”为核心叙事主线，系统剖析了后金融危机时代中美经贸博弈的底层逻辑、演进路径与未来走向。</w:t>
      </w:r>
    </w:p>
    <w:p>
      <w:pPr>
        <w:ind w:firstLine="480"/>
      </w:pPr>
      <w:r>
        <w:rPr>
          <w:rFonts w:ascii="SimSun" w:hAnsi="SimSun" w:eastAsia="SimSun"/>
          <w:b w:val="0"/>
          <w:sz w:val="24"/>
        </w:rPr>
        <w:t>该书获得三位重量级人物作序推荐。重庆市原市长黄奇帆以“以中国经济持续增长的确定性应对大国博弈的复杂性”为题，强调中国应保持战略定力；外交部原副部长乐玉成从“在百年变局的转折点上洞察未来”的角度切入，指出中美关系正处于历史性重塑期；中国国际经济交流中心副理事长王一鸣则从“三个维度看国际政治经济格局重构”，为全书奠定了宏观基调。三篇序言分别代表了政府实务、外交实践和学术研究三个视角，使本书在出版之初即获得广泛关注。</w:t>
      </w:r>
    </w:p>
    <w:p>
      <w:pPr>
        <w:ind w:firstLine="480"/>
      </w:pPr>
      <w:r>
        <w:rPr>
          <w:rFonts w:ascii="SimSun" w:hAnsi="SimSun" w:eastAsia="SimSun"/>
          <w:b w:val="0"/>
          <w:sz w:val="24"/>
        </w:rPr>
        <w:t>本书的创作背景植根于后金融危机时代的历史转折点。自2008年全球金融危机以来，逆全球化浪潮此起彼伏，保护主义回潮，中美战略博弈从贸易摩擦扩展至科技、金融、产业链、意识形态等全线领域。2025年5月，欧盟委员会前主席罗马诺·普罗迪在与作者的对话中指出，“世界秩序已经发生了根本性变化”，作者认为过去几年的事态印证了这一判断。</w:t>
      </w:r>
    </w:p>
    <w:p>
      <w:pPr>
        <w:ind w:firstLine="480"/>
      </w:pPr>
      <w:r>
        <w:rPr>
          <w:rFonts w:ascii="SimSun" w:hAnsi="SimSun" w:eastAsia="SimSun"/>
          <w:b w:val="0"/>
          <w:sz w:val="24"/>
        </w:rPr>
        <w:t>翟东升教授长期从事国际政治经济学研究，主持国家社科基金重大项目，曾在欧美多所大学访学和短期任教。其研究方向涵盖中国对外经济关系、美国政治经济、欧洲政治经济，代表作包括《中国为什么有前途：对外经济关系的战略潜能》《货币、权力与人：全球货币与金融体系的民本主义政治经济学》《平行与竞争：双循环时代的中国治理》《制裁与经济战》等。其学术视角兼具政治经济学深度与政策实践关怀，使本书既是一部严肃的学术力作，也是一份具有现实参考价值的政策建言。</w:t>
      </w:r>
    </w:p>
    <w:p>
      <w:pPr>
        <w:ind w:firstLine="480"/>
      </w:pPr>
      <w:r>
        <w:rPr>
          <w:rFonts w:ascii="SimSun" w:hAnsi="SimSun" w:eastAsia="SimSun"/>
          <w:b w:val="0"/>
          <w:sz w:val="24"/>
        </w:rPr>
        <w:t>作者用“缠斗”一词精准刻画了当前中美关系的本质特征。在接受观察者网专访时，翟东升这样解释“缠斗”的含义：中美进入逆全球化周期，美国想脱钩，中国不想让它脱得那么顺利——就像拳击变成摔跌肉搏，“你也脱不了，我也脱不了身”。这一形象比喻揭示了中美关系“斗而不破、纠缠不休”的长期化格局——不是短期的贸易摩擦，而是结构性的长期博弈。</w:t>
      </w:r>
    </w:p>
    <w:p>
      <w:pPr>
        <w:ind w:firstLine="480"/>
      </w:pPr>
      <w:r>
        <w:rPr>
          <w:rFonts w:ascii="SimSun" w:hAnsi="SimSun" w:eastAsia="SimSun"/>
          <w:b w:val="0"/>
          <w:sz w:val="24"/>
        </w:rPr>
        <w:t>全书共分五章，分别从“中美经贸关系的变局与重构”“美国根源”“中国视角”“全球经济新秩序”“中国选择”五个维度展开论述，形成了一个完整的分析闭环。本报告将依此结构，提炼全书的核心思想与主要观点。</w:t>
      </w:r>
    </w:p>
    <w:p>
      <w:r>
        <w:br w:type="page"/>
      </w:r>
    </w:p>
    <w:p>
      <w:pPr>
        <w:pStyle w:val="Heading1"/>
      </w:pPr>
      <w:r>
        <w:t>二、核心分析框架：全球化“深秋论”与“平行体系”</w:t>
      </w:r>
    </w:p>
    <w:p>
      <w:pPr>
        <w:pStyle w:val="Heading2"/>
      </w:pPr>
      <w:r>
        <w:t>2.1 全球化“深秋论”</w:t>
      </w:r>
    </w:p>
    <w:p>
      <w:pPr>
        <w:ind w:firstLine="480"/>
      </w:pPr>
      <w:r>
        <w:rPr>
          <w:rFonts w:ascii="SimSun" w:hAnsi="SimSun" w:eastAsia="SimSun"/>
          <w:b w:val="0"/>
          <w:sz w:val="24"/>
        </w:rPr>
        <w:t>本书最具原创性的理论贡献之一，是提出全球化已进入“深秋”季节的判断。作者不是简单地宣称“全球化已死”或“逆全球化到来”，而是用季节轮替的隐喻揭示了一个更深层的逻辑：全球化具有内在的周期性，当前的“脱钩”与“去风险”并非偶然的政治选择，而是全球化长周期运行的必然结果。</w:t>
      </w:r>
    </w:p>
    <w:p>
      <w:pPr>
        <w:ind w:firstLine="480"/>
      </w:pPr>
      <w:r>
        <w:rPr>
          <w:rFonts w:ascii="SimSun" w:hAnsi="SimSun" w:eastAsia="SimSun"/>
          <w:b w:val="0"/>
          <w:sz w:val="24"/>
        </w:rPr>
        <w:t>在全球化“春夏”季节（约1980-2008年），资本逐利逻辑主导，全球分工深化，效率优先压倒安全考量，中国迅速融入全球产业链并获得巨大发展。而当全球化进入“深秋”季节，哥本哈根贸易“四重陷阱”发作——世界贸易组织功能瘫痪、多边贸易体制碎片化、国家干预回潮、产业政策成为主流。各国开始为“过冬”做准备：产业链安全取代效率成为首要考量，国家干预回潮，地缘政治逻辑压倒市场逻辑。中美经贸关系的重构，正是这一周期转换的核心表征。</w:t>
      </w:r>
    </w:p>
    <w:p>
      <w:pPr>
        <w:ind w:firstLine="480"/>
      </w:pPr>
      <w:r>
        <w:rPr>
          <w:rFonts w:ascii="SimSun" w:hAnsi="SimSun" w:eastAsia="SimSun"/>
          <w:b w:val="0"/>
          <w:sz w:val="24"/>
        </w:rPr>
        <w:t>这一理论的重要价值在于：它为中美经贸重构提供了一个超越“谁对谁错”简单二元叙事的解释框架。如果贸易战是全球化周期的必然产物，那么它就不是可以通过单纯的谈判或政府更迭来“解决”的短期问题，而是需要在战略层面进行结构性应对的长期课题。</w:t>
      </w:r>
    </w:p>
    <w:p>
      <w:pPr>
        <w:ind w:left="850" w:right="850" w:firstLine="0"/>
      </w:pPr>
      <w:r>
        <w:rPr>
          <w:rFonts w:ascii="KaiTi" w:hAnsi="KaiTi" w:eastAsia="KaiTi"/>
          <w:i/>
          <w:color w:val="505050"/>
          <w:sz w:val="22"/>
        </w:rPr>
        <w:t>“中美经贸关系的重构，是全球化进入‘深秋’季节的必然产物。”</w:t>
      </w:r>
    </w:p>
    <w:p>
      <w:pPr>
        <w:pStyle w:val="Heading2"/>
      </w:pPr>
      <w:r>
        <w:t>2.2 “平行体系”判断</w:t>
      </w:r>
    </w:p>
    <w:p>
      <w:pPr>
        <w:ind w:firstLine="480"/>
      </w:pPr>
      <w:r>
        <w:rPr>
          <w:rFonts w:ascii="SimSun" w:hAnsi="SimSun" w:eastAsia="SimSun"/>
          <w:b w:val="0"/>
          <w:sz w:val="24"/>
        </w:rPr>
        <w:t>在全球化“深秋论”的基础上，作者提出了一个大胆而寡慎的核心判断：中美未来或将滑向“平行体系”。这一概念指两个在技术标准、产业链、金融基础设施和治理模式上相对独立的体系并行运转。“平行体系”不同于“新冷战”：一方面，在高度互联的数字经济时代，完全脱钩既不可能也不可取；另一方面，“平行体系”意味着部分耦合、部分脱钩、长期竞争共存的复杂格局。</w:t>
      </w:r>
    </w:p>
    <w:p>
      <w:pPr>
        <w:ind w:firstLine="480"/>
      </w:pPr>
      <w:r>
        <w:rPr>
          <w:rFonts w:ascii="SimSun" w:hAnsi="SimSun" w:eastAsia="SimSun"/>
          <w:b w:val="0"/>
          <w:sz w:val="24"/>
        </w:rPr>
        <w:t>作者从三个维度论证了“平行体系”的现实可能性。其一，技术层面，中美在芯片、人工智能、量子计算等前沿领域的“小院高墙”式脱钩已成现实，且在加速扩展至更多领域。其二，金融层面，SWIFT系统的武器化催生了替代性跨境支付体系的探索，金砖国家在本币结算、数字货币等领域的合作加速推进。其三，治理层面，两种发展模式的价值分歧正在扩大而非收窄，“中国方案”与“华盛顿共识”的竞争不仅是经济问题，更是制度竞争。</w:t>
      </w:r>
    </w:p>
    <w:p>
      <w:pPr>
        <w:ind w:firstLine="480"/>
      </w:pPr>
      <w:r>
        <w:rPr>
          <w:rFonts w:ascii="SimSun" w:hAnsi="SimSun" w:eastAsia="SimSun"/>
          <w:b w:val="0"/>
          <w:sz w:val="24"/>
        </w:rPr>
        <w:t>这一判断的力量在于它的对称性和寡慎性。作者没有将“平行体系”描述为一个已经到来的现实，而是作为一个“或将”滑向的方向，这为政策干预留下了空间。同时，他也没有回避“平行体系”的潜在代价：全球经济效率下降、创新速度放缓、地缘冲突风险上升。正因为“平行体系”并非理想状态，所以中国才需要主动作为、精心谋划。</w:t>
      </w:r>
    </w:p>
    <w:p>
      <w:r>
        <w:br w:type="page"/>
      </w:r>
    </w:p>
    <w:p>
      <w:pPr>
        <w:pStyle w:val="Heading1"/>
      </w:pPr>
      <w:r>
        <w:t>三、美国篇：逆全球化的政治经济根源</w:t>
      </w:r>
    </w:p>
    <w:p>
      <w:pPr>
        <w:pStyle w:val="Heading2"/>
      </w:pPr>
      <w:r>
        <w:t>3.1 贸易战的真实动机：财政逻辑</w:t>
      </w:r>
    </w:p>
    <w:p>
      <w:pPr>
        <w:ind w:firstLine="480"/>
      </w:pPr>
      <w:r>
        <w:rPr>
          <w:rFonts w:ascii="SimSun" w:hAnsi="SimSun" w:eastAsia="SimSun"/>
          <w:b w:val="0"/>
          <w:sz w:val="24"/>
        </w:rPr>
        <w:t>本书对美国发动对华贸易战的动机给出了一个颇具穿透力的分析框架，超越了“遏制中国崛起”的单一叙事。作者指出，特朗普发动关税战的首要原因是联邦财政缺钱——加征关税本质上是为了给国内大规模减税政策筹集资金，关税的真正承担者是美国消费者，其实质是一种“隐性税收”。</w:t>
      </w:r>
    </w:p>
    <w:p>
      <w:pPr>
        <w:ind w:firstLine="480"/>
      </w:pPr>
      <w:r>
        <w:rPr>
          <w:rFonts w:ascii="SimSun" w:hAnsi="SimSun" w:eastAsia="SimSun"/>
          <w:b w:val="0"/>
          <w:sz w:val="24"/>
        </w:rPr>
        <w:t>这一分析的价值在于：它将中美贸易战从纯粹的地缘政治对抗框架中解放出来，揭示了美国国内政治经济学的驱动力。关税政策的存废与美国国内政治周期深度绑定：当特朗普政府需要为减税法案寻找财政空间时，关税就成了政治上最可接受的“筹款工具”。理解这一点，对于预判美国贸易政策的走向至关重要——关税政策不仅是外交工具，更是国内财政再分配的手段。</w:t>
      </w:r>
    </w:p>
    <w:p>
      <w:pPr>
        <w:ind w:firstLine="480"/>
      </w:pPr>
      <w:r>
        <w:rPr>
          <w:rFonts w:ascii="SimSun" w:hAnsi="SimSun" w:eastAsia="SimSun"/>
          <w:b w:val="0"/>
          <w:sz w:val="24"/>
        </w:rPr>
        <w:t>此外，作者还深入分析了美国贸易理念和贸易政策的历史性转变。从二战后美国主导建立自由贸易体系，到近年来“公平贸易”取代“自由贸易”成为政策话语，反映了美国对全球化收益分配的深刻不满。这种不满不仅来自精英阶层的地缘战略考量，更来自“铈带”地区蓝领工人阶层的经济焦虑——他们是全球化的直接受损者，也是特朗普政治基础的核心支撑力量。</w:t>
      </w:r>
    </w:p>
    <w:p>
      <w:pPr>
        <w:pStyle w:val="Heading2"/>
      </w:pPr>
      <w:r>
        <w:t>3.2 美国内部撕裂：觉醒文化与MAGA运动</w:t>
      </w:r>
    </w:p>
    <w:p>
      <w:pPr>
        <w:ind w:firstLine="480"/>
      </w:pPr>
      <w:r>
        <w:rPr>
          <w:rFonts w:ascii="SimSun" w:hAnsi="SimSun" w:eastAsia="SimSun"/>
          <w:b w:val="0"/>
          <w:sz w:val="24"/>
        </w:rPr>
        <w:t>作者以犀利的笔触剖析了美国社会内部的深刻撕裂。“觉醒”（Woke）文化所代表的进步主义价值观与MAGA运动所代表的民粹民族主义之间的对立，不仅是文化战争，更反映了全球化收益分配不均所引发的政治反噬。这种分裂导致美国政策在两个极端之间反复摆荡，构成了一个“政治极化”的恶性循环。</w:t>
      </w:r>
    </w:p>
    <w:p>
      <w:pPr>
        <w:ind w:firstLine="480"/>
      </w:pPr>
      <w:r>
        <w:rPr>
          <w:rFonts w:ascii="SimSun" w:hAnsi="SimSun" w:eastAsia="SimSun"/>
          <w:b w:val="0"/>
          <w:sz w:val="24"/>
        </w:rPr>
        <w:t>值得注意的是，作者将科技右翼势力的崛起作为一个独立变量纳入分析框架。以马斯克、彼得·泰尔等为代表的硅谷精英，试图通过脑机接口、基因编辑、太空移民等技术手段实现某种形式的“生殖隔离”——精英阶层自我迭代、脱离大众。翟东升在专访中直言反对此路线：“中国不应学美国精英与大众生殖隔离的路线”，而应该既要让精英冒出来，又要给大众托底。</w:t>
      </w:r>
    </w:p>
    <w:p>
      <w:pPr>
        <w:ind w:firstLine="480"/>
      </w:pPr>
      <w:r>
        <w:rPr>
          <w:rFonts w:ascii="SimSun" w:hAnsi="SimSun" w:eastAsia="SimSun"/>
          <w:b w:val="0"/>
          <w:sz w:val="24"/>
        </w:rPr>
        <w:t>此外，作者揭示了“深层政府”（Deep State）对特朗普政策的扭曲执行。即便总统本人有意调整对华政策，国务院、五角大楼、情报机构等官僚体系的惯性力量和利益集团也会使政策执行偏离初衷。这种多层次的分析使读者理解：美国对华政策并非铁板一块的“遏制战略”，而是多方力量博弈的复杂产物。这为中国制定精细化的应对策略提供了重要参考——不同的美国政治力量需要不同的应对方式。</w:t>
      </w:r>
    </w:p>
    <w:p>
      <w:pPr>
        <w:pStyle w:val="Heading2"/>
      </w:pPr>
      <w:r>
        <w:t>3.3 特朗普第二任期的政策逻辑与趋势</w:t>
      </w:r>
    </w:p>
    <w:p>
      <w:pPr>
        <w:ind w:firstLine="480"/>
      </w:pPr>
      <w:r>
        <w:rPr>
          <w:rFonts w:ascii="SimSun" w:hAnsi="SimSun" w:eastAsia="SimSun"/>
          <w:b w:val="0"/>
          <w:sz w:val="24"/>
        </w:rPr>
        <w:t>本书对特朗普第二任期的经济政策做了系统性展望。作者认为，特朗普政府正在攒取海运通道、关键矿产等战略资产，甚至可能拿马六甲海峡对付中国。其政策逻辑是“交易性”的：通过极限施压获取谈判筹码，以达成有利于美国的双边协议。这种“极限施压-谈判让步”的博弈模式，将在特朗普第二任期更加频繁和系统化地出现。</w:t>
      </w:r>
    </w:p>
    <w:p>
      <w:pPr>
        <w:ind w:firstLine="480"/>
      </w:pPr>
      <w:r>
        <w:rPr>
          <w:rFonts w:ascii="SimSun" w:hAnsi="SimSun" w:eastAsia="SimSun"/>
          <w:b w:val="0"/>
          <w:sz w:val="24"/>
        </w:rPr>
        <w:t>作者还分析了美国政策摆荡的深层原因：两党制下的政策“拉锯”现象，导致中美关系在“对抗”与“接触”之间反复摆荡。但作者也指出，无论哪个党派上台，对华强硬的总体方向不会改变——因为这一方向不是某个人物的偏好，而是全球化“深秋”季节美国国家利益的客观要求。</w:t>
      </w:r>
    </w:p>
    <w:p>
      <w:r>
        <w:br w:type="page"/>
      </w:r>
    </w:p>
    <w:p>
      <w:pPr>
        <w:pStyle w:val="Heading1"/>
      </w:pPr>
      <w:r>
        <w:t>四、中国篇：从“三外路线”到科技自立自强</w:t>
      </w:r>
    </w:p>
    <w:p>
      <w:pPr>
        <w:pStyle w:val="Heading2"/>
      </w:pPr>
      <w:r>
        <w:t>4.1 “三外路线”的历史功绩与结构挑战</w:t>
      </w:r>
    </w:p>
    <w:p>
      <w:pPr>
        <w:ind w:firstLine="480"/>
      </w:pPr>
      <w:r>
        <w:rPr>
          <w:rFonts w:ascii="SimSun" w:hAnsi="SimSun" w:eastAsia="SimSun"/>
          <w:b w:val="0"/>
          <w:sz w:val="24"/>
        </w:rPr>
        <w:t>本书系统梳理了中国“三外路线”（外贸、外资、外汇）政策在促进经济发展中的重要作用。这一政策组合曾在全球化高歌猛进的年代为中国带来巨大红利：出口导向创造了大量就业岗位和充足的外汇储备，外资引入带来了先进技术和管理经验，外汇管理制度维护了金融稳定和货币主权。可以说，没有“三外路线”，就没有中国经济的高速增长奇迹。</w:t>
      </w:r>
    </w:p>
    <w:p>
      <w:pPr>
        <w:ind w:firstLine="480"/>
      </w:pPr>
      <w:r>
        <w:rPr>
          <w:rFonts w:ascii="SimSun" w:hAnsi="SimSun" w:eastAsia="SimSun"/>
          <w:b w:val="0"/>
          <w:sz w:val="24"/>
        </w:rPr>
        <w:t>然而，作者也敏锐地指出了“三外路线”面临的结构性挑战。第一，过度依赖外需使经济暴露于外部冲击，当全球需求萎缩时缺乏内在缓冲。第二，以出口换美元的模式在人民币国际化进程中日益显得“吃亏”——中国以真实资源和劳动换取的美元储备，本质上是对美国消费的补贴。第三，核心技术受制于人的短板在中美博弈中被放大，芯片、软件、高端装备等领域的“卡脖子”问题由潜在风险转变为现实威胁。这些问题在全球化“深秋”季节变得尤为突出，迫切要求中国转变发展模式。</w:t>
      </w:r>
    </w:p>
    <w:p>
      <w:pPr>
        <w:ind w:firstLine="480"/>
      </w:pPr>
      <w:r>
        <w:rPr>
          <w:rFonts w:ascii="SimSun" w:hAnsi="SimSun" w:eastAsia="SimSun"/>
          <w:b w:val="0"/>
          <w:sz w:val="24"/>
        </w:rPr>
        <w:t>作者进一步分析了中国经济安全关切的加剧。随着地缘政治竞争升级，中国的经济安全从“外部威胁”变成“内部紧迫”——企业自发寻求供应链多元化，政府加大对关键技术的投入支持，这种“自下而上”与“自上而下”双向发力的格局，正在重塑中国经济的运行逻辑。</w:t>
      </w:r>
    </w:p>
    <w:p>
      <w:pPr>
        <w:pStyle w:val="Heading2"/>
      </w:pPr>
      <w:r>
        <w:t>4.2 《中国制造2025》：被加速的自我实现</w:t>
      </w:r>
    </w:p>
    <w:p>
      <w:pPr>
        <w:ind w:firstLine="480"/>
      </w:pPr>
      <w:r>
        <w:rPr>
          <w:rFonts w:ascii="SimSun" w:hAnsi="SimSun" w:eastAsia="SimSun"/>
          <w:b w:val="0"/>
          <w:sz w:val="24"/>
        </w:rPr>
        <w:t>书中对《中国制造2025》的分析尤为精彩。作者认为，中国推出该计划的战略逻辑是清晰的：通过政府引导和产业政策，推动制造业向中高端跃迁，在十大重点领域实现技术自主。然而，作者的真正洞见在于他对“制裁与反制裁”辩证关系的分析：</w:t>
      </w:r>
    </w:p>
    <w:p>
      <w:pPr>
        <w:ind w:left="850" w:right="850" w:firstLine="0"/>
      </w:pPr>
      <w:r>
        <w:rPr>
          <w:rFonts w:ascii="KaiTi" w:hAnsi="KaiTi" w:eastAsia="KaiTi"/>
          <w:i/>
          <w:color w:val="505050"/>
          <w:sz w:val="22"/>
        </w:rPr>
        <w:t>“美西方打压带来的痛感，促使中国政府更加坚决地加快科技自立自强。美西方在过去10年反而加速了《中国制造2025》预言的自我实现。”</w:t>
      </w:r>
    </w:p>
    <w:p>
      <w:pPr>
        <w:ind w:firstLine="480"/>
      </w:pPr>
      <w:r>
        <w:rPr>
          <w:rFonts w:ascii="SimSun" w:hAnsi="SimSun" w:eastAsia="SimSun"/>
          <w:b w:val="0"/>
          <w:sz w:val="24"/>
        </w:rPr>
        <w:t>这一判断揭示了制裁与反制裁之间的辩证关系：外部压力不仅没有压垮中国的产业升级进程，反而成为凝聚共识、加速投入的催化剂。在芯片、新能源、人工智能等关键领域，封锁反而激发了中国以更快的速度建立自主能力。作者这一观点的深刻之处在于：它不是简单的“越压越强”民族主义叙事，而是对压力-反应机制的客观分析——外部威胁降低了国内政策协调的成本，消除了“买不如造”的辩论空间，从而加速了资源向战略领域的集中。</w:t>
      </w:r>
    </w:p>
    <w:p>
      <w:pPr>
        <w:pStyle w:val="Heading2"/>
      </w:pPr>
      <w:r>
        <w:t>4.3 东亚产业链体系中的角色升级</w:t>
      </w:r>
    </w:p>
    <w:p>
      <w:pPr>
        <w:ind w:firstLine="480"/>
      </w:pPr>
      <w:r>
        <w:rPr>
          <w:rFonts w:ascii="SimSun" w:hAnsi="SimSun" w:eastAsia="SimSun"/>
          <w:b w:val="0"/>
          <w:sz w:val="24"/>
        </w:rPr>
        <w:t>作者分析了中国在东亚产业链体系中的角色转变：从低端组装者向中高端制造者和创新者跃迁。中国工业崛起引发了全球价格革命——大规模制造能力使得工业制成品价格持续下降，这一方面惠及全球消费者，另一方面也对既有工业国家的产业竞争力构成了结构性冲击。</w:t>
      </w:r>
    </w:p>
    <w:p>
      <w:pPr>
        <w:ind w:firstLine="480"/>
      </w:pPr>
      <w:r>
        <w:rPr>
          <w:rFonts w:ascii="SimSun" w:hAnsi="SimSun" w:eastAsia="SimSun"/>
          <w:b w:val="0"/>
          <w:sz w:val="24"/>
        </w:rPr>
        <w:t>这一转变正在重塑整个东亚的经济地理格局。日本、韩国、台湾地区的既有优势领域面临中国企业的直接竞争，而东南亚国家则承接了从中国转移出去的部分劳动密集型产能。中美博弈加速了这一产业链重组进程，同时也催生了新的模式：中国企业通过在东南亚设厂来绕开关税壁垒，但仍然依赖中国的中间品供应。这种“头部在中国、身体在东南亚”的产业布局，实际上增强了而非削弱了中国在区域产业链中的中枢地位。</w:t>
      </w:r>
    </w:p>
    <w:p>
      <w:r>
        <w:br w:type="page"/>
      </w:r>
    </w:p>
    <w:p>
      <w:pPr>
        <w:pStyle w:val="Heading1"/>
      </w:pPr>
      <w:r>
        <w:t>五、AI时代：大国角力的新战场</w:t>
      </w:r>
    </w:p>
    <w:p>
      <w:pPr>
        <w:ind w:firstLine="480"/>
      </w:pPr>
      <w:r>
        <w:rPr>
          <w:rFonts w:ascii="SimSun" w:hAnsi="SimSun" w:eastAsia="SimSun"/>
          <w:b w:val="0"/>
          <w:sz w:val="24"/>
        </w:rPr>
        <w:t>本书将人工智能时代的大国角力作为独立分析维度，这是对传统国际政治经济学分析框架的重要拓展。翟东升在专访中形象地描述道：中美“拉手跑步进入人工智能时代”。AI不仅是一项技术竞争，更是重塑大国力量对比的核心变量。</w:t>
      </w:r>
    </w:p>
    <w:p>
      <w:pPr>
        <w:pStyle w:val="Heading2"/>
      </w:pPr>
      <w:r>
        <w:t>5.1 中美AI竞争的结构性差异</w:t>
      </w:r>
    </w:p>
    <w:p>
      <w:pPr>
        <w:ind w:firstLine="480"/>
      </w:pPr>
      <w:r>
        <w:rPr>
          <w:rFonts w:ascii="SimSun" w:hAnsi="SimSun" w:eastAsia="SimSun"/>
          <w:b w:val="0"/>
          <w:sz w:val="24"/>
        </w:rPr>
        <w:t>作者指出，中美两国在AI领域的竞争路径存在本质差异。美国在基础研究、顶尖人才和资本方面仍有优势：美国AI顶尖人才薪资可以达到上亿美元，而中国顶尖人才的薪资大约在500-600万美元，存在明显的“天花板”。但中国AI发展的“可怕”之处在于与物质生产场景的深度结合。</w:t>
      </w:r>
    </w:p>
    <w:p>
      <w:pPr>
        <w:ind w:firstLine="480"/>
      </w:pPr>
      <w:r>
        <w:rPr>
          <w:rFonts w:ascii="SimSun" w:hAnsi="SimSun" w:eastAsia="SimSun"/>
          <w:b w:val="0"/>
          <w:sz w:val="24"/>
        </w:rPr>
        <w:t>书中列举了若干令人印象深刻的案例：AI机器人24小时不间断进行生物医药实验，替代博士和硕士层次的科研劳动；芯片研发经验被AI大规模复制和沉淀，使得中国可以跳过某些传统的“学徒期”；瑞幸咖啡的机器人在曼哈顿制作咖啡，展示了中国AI在服务业场景中的快速落地能力。</w:t>
      </w:r>
    </w:p>
    <w:p>
      <w:pPr>
        <w:ind w:firstLine="480"/>
      </w:pPr>
      <w:r>
        <w:rPr>
          <w:rFonts w:ascii="SimSun" w:hAnsi="SimSun" w:eastAsia="SimSun"/>
          <w:b w:val="0"/>
          <w:sz w:val="24"/>
        </w:rPr>
        <w:t>这种“AI×制造业”的结合路径意味着：中国可能走出一条不同于硅谷模式的人工智能发展道路——以实体经济为依托，以产业应用为导向，以规模效应为驱动。在这条路径上，数据资源（而非算力或算法）可能成为中国的核心竞争优势，因为中国拥有全球最大规模的工业场景数据和消费数据。</w:t>
      </w:r>
    </w:p>
    <w:p>
      <w:pPr>
        <w:pStyle w:val="Heading2"/>
      </w:pPr>
      <w:r>
        <w:t>5.2 AI对就业与社会结构的冲击</w:t>
      </w:r>
    </w:p>
    <w:p>
      <w:pPr>
        <w:ind w:firstLine="480"/>
      </w:pPr>
      <w:r>
        <w:rPr>
          <w:rFonts w:ascii="SimSun" w:hAnsi="SimSun" w:eastAsia="SimSun"/>
          <w:b w:val="0"/>
          <w:sz w:val="24"/>
        </w:rPr>
        <w:t>作者对AI带来的社会冲击给出了清醒而尖锐的判断。AI时代将出现“少数精英创造多数价值”的局面，传统“以工代赈”模式面临根本性挑战。AI相关领域的博士年薪可达500万元，而文科博士仅十几万元——这种极端分化的薪酬结构只是冰山一角。</w:t>
      </w:r>
    </w:p>
    <w:p>
      <w:pPr>
        <w:ind w:firstLine="480"/>
      </w:pPr>
      <w:r>
        <w:rPr>
          <w:rFonts w:ascii="SimSun" w:hAnsi="SimSun" w:eastAsia="SimSun"/>
          <w:b w:val="0"/>
          <w:sz w:val="24"/>
        </w:rPr>
        <w:t>更深层的问题在于：当AI使得大量白领工作变得可替代，“工作换收入”的社会契约将如何存续？这不仅是一个经济问题，更是一个政治哲学问题。作者拒绝了美国科技右翼的“精英与大众生殖隔离”方案，认为中国应走“既要让精英冒出来，又要给大众托底”的路线。他提出应给精英更大空间的同时，通过高额遗产税和脱籍税等制度安排确保财富不会固化为世袭特权。</w:t>
      </w:r>
    </w:p>
    <w:p>
      <w:pPr>
        <w:pStyle w:val="Heading2"/>
      </w:pPr>
      <w:r>
        <w:t>5.3 AI人才竞争与制度安排</w:t>
      </w:r>
    </w:p>
    <w:p>
      <w:pPr>
        <w:ind w:firstLine="480"/>
      </w:pPr>
      <w:r>
        <w:rPr>
          <w:rFonts w:ascii="SimSun" w:hAnsi="SimSun" w:eastAsia="SimSun"/>
          <w:b w:val="0"/>
          <w:sz w:val="24"/>
        </w:rPr>
        <w:t>作者进一步分析了中美在AI人才竞争中的制度差异。美国顶尖人才的薪资水平远超中国（上亿美元 vs 500-600万美元），这不仅是市场规模的差异，更反映了两国在资本市场深度、风险投资文化、知识产权保护等方面的结构性差距。翟东升主张中国应当给精英更大空间，同时通过制度设计确保这种“精英溢出”不会演变为“精英寡头”。</w:t>
      </w:r>
    </w:p>
    <w:p>
      <w:pPr>
        <w:ind w:firstLine="480"/>
      </w:pPr>
      <w:r>
        <w:rPr>
          <w:rFonts w:ascii="SimSun" w:hAnsi="SimSun" w:eastAsia="SimSun"/>
          <w:b w:val="0"/>
          <w:sz w:val="24"/>
        </w:rPr>
        <w:t>这一讨论引出了一个更深层的问题：在AI能够大规模替代白领劳动的时代，社会如何组织生产和分配？作者的回答指向了“直接发钱”而非“以工代赈”的方向——这与他提出的“未来起点收入”计划一脉相承。</w:t>
      </w:r>
    </w:p>
    <w:p>
      <w:r>
        <w:br w:type="page"/>
      </w:r>
    </w:p>
    <w:p>
      <w:pPr>
        <w:pStyle w:val="Heading1"/>
      </w:pPr>
      <w:r>
        <w:t>六、战略建言：三大核心政策构想</w:t>
      </w:r>
    </w:p>
    <w:p>
      <w:pPr>
        <w:ind w:firstLine="480"/>
      </w:pPr>
      <w:r>
        <w:rPr>
          <w:rFonts w:ascii="SimSun" w:hAnsi="SimSun" w:eastAsia="SimSun"/>
          <w:b w:val="0"/>
          <w:sz w:val="24"/>
        </w:rPr>
        <w:t>本书最引人注目的部分是作者提出的三项系统性政策建议，它们共同构成了应对“平行体系”时代的中国方案。这三项建议分别对应分配制度、货币体系和产业链布局三个关键领域，具有强烈的问题导向和政策创新特色。</w:t>
      </w:r>
    </w:p>
    <w:p>
      <w:pPr>
        <w:pStyle w:val="Heading2"/>
      </w:pPr>
      <w:r>
        <w:t>6.1 “未来起点收入”计划</w:t>
      </w:r>
    </w:p>
    <w:p>
      <w:pPr>
        <w:ind w:firstLine="480"/>
      </w:pPr>
      <w:r>
        <w:rPr>
          <w:rFonts w:ascii="SimSun" w:hAnsi="SimSun" w:eastAsia="SimSun"/>
          <w:b w:val="0"/>
          <w:sz w:val="24"/>
        </w:rPr>
        <w:t>这一构想的核心是：向0-35岁年轻人提供定期资金支持，构建以年轻人和儿童为重点的福利体系。其逻辑基础在于：在AI时代，传统“以工代赈”模式的边际效用递减，直接转移支付不仅更具效率，更是社会稳定的必需品。福利体系应重点补贴年轻人和孩子——因为他们是AI时代最压力的群体，也是未来消费的主力军。</w:t>
      </w:r>
    </w:p>
    <w:p>
      <w:pPr>
        <w:ind w:firstLine="480"/>
      </w:pPr>
      <w:r>
        <w:rPr>
          <w:rFonts w:ascii="SimSun" w:hAnsi="SimSun" w:eastAsia="SimSun"/>
          <w:b w:val="0"/>
          <w:sz w:val="24"/>
        </w:rPr>
        <w:t>作者的论证突破了传统的福利经济学框架。在无锚货币体系（Fiat Money System）下，主权国家的财政空间远比传统认知的要大。国家债务扩张和主权信用货币扩张不仅是可行的，而且是必要的——尤其是在外部需求萎缩、内部消费不足的结构性背景下。翟东升直言：“中国过去出口换美元的模式是吃亏的，应当适度学习美国的货币扩张模式。”</w:t>
      </w:r>
    </w:p>
    <w:p>
      <w:pPr>
        <w:ind w:firstLine="480"/>
      </w:pPr>
      <w:r>
        <w:rPr>
          <w:rFonts w:ascii="SimSun" w:hAnsi="SimSun" w:eastAsia="SimSun"/>
          <w:b w:val="0"/>
          <w:sz w:val="24"/>
        </w:rPr>
        <w:t>这一建议的争议性在于，它触及了中国财政纪律和货币政策的核心信条。但作者的论证是认真的：在全球化“深秋”季节，外需拉动的增长模式已经到了极限，如果不通过财政手段来拓展内需空间，经济将陷入长期停滞。“未来起点收入”不是“养懒人”，而是给年轻人提供追求更高价值人生的“起点”——让他们不必为生存而做低价值劳动，而是可以去学习、创业、做更有意义的事。</w:t>
      </w:r>
    </w:p>
    <w:p>
      <w:pPr>
        <w:pStyle w:val="Heading2"/>
      </w:pPr>
      <w:r>
        <w:t>6.2 构建“金砖币”体系</w:t>
      </w:r>
    </w:p>
    <w:p>
      <w:pPr>
        <w:ind w:firstLine="480"/>
      </w:pPr>
      <w:r>
        <w:rPr>
          <w:rFonts w:ascii="SimSun" w:hAnsi="SimSun" w:eastAsia="SimSun"/>
          <w:b w:val="0"/>
          <w:sz w:val="24"/>
        </w:rPr>
        <w:t>针对美元霸权和SWIFT武器化的现实，作者提出构建“金砖币”体系的构想：一种锚定一篮子大宗商品（石油、矿产、粮食等）并设定温和通胀目标的新型国际储备货币。这一构想并非要取代美元，而是提供一种“平行体系”下的替代选择——为那些不愿在中美之间选边站队的国家提供一个金融基础设施选项。</w:t>
      </w:r>
    </w:p>
    <w:p>
      <w:pPr>
        <w:ind w:firstLine="480"/>
      </w:pPr>
      <w:r>
        <w:rPr>
          <w:rFonts w:ascii="SimSun" w:hAnsi="SimSun" w:eastAsia="SimSun"/>
          <w:b w:val="0"/>
          <w:sz w:val="24"/>
        </w:rPr>
        <w:t>作者的设计思路是工程学的而非意识形态的：“金砖币”锚定一篮子大宗商品，意味着它的价值基础是实体经济而非信用承诺；设定温和通胀目标，意味着它有内置的扩张机制而非类似金本位的强制缩表。这一设计的精妙之处在于它同时解决了“储值”和“流通”两个问题。</w:t>
      </w:r>
    </w:p>
    <w:p>
      <w:pPr>
        <w:ind w:firstLine="480"/>
      </w:pPr>
      <w:r>
        <w:rPr>
          <w:rFonts w:ascii="SimSun" w:hAnsi="SimSun" w:eastAsia="SimSun"/>
          <w:b w:val="0"/>
          <w:sz w:val="24"/>
        </w:rPr>
        <w:t>作者并不回避“金砖币”构想的技术挑战：如何在政治制度差异巨大的金砖国家之间建立有效的货币治理机制？如何保证“金砖币”的信用基础不会因任何单一国家的政治动荡而瓦解？这些问题的存在并不否定“金砖币”的方向正确性，而是说明它是一个需要长期努力的战略目标。</w:t>
      </w:r>
    </w:p>
    <w:p>
      <w:pPr>
        <w:pStyle w:val="Heading2"/>
      </w:pPr>
      <w:r>
        <w:t>6.3 提升“国家产业链编辑能力”</w:t>
      </w:r>
    </w:p>
    <w:p>
      <w:pPr>
        <w:ind w:firstLine="480"/>
      </w:pPr>
      <w:r>
        <w:rPr>
          <w:rFonts w:ascii="SimSun" w:hAnsi="SimSun" w:eastAsia="SimSun"/>
          <w:b w:val="0"/>
          <w:sz w:val="24"/>
        </w:rPr>
        <w:t>这是全书最具原创性的概念之一。“产业链编辑能力”指国家在全球范围内主动规划、重组和优化产业链布局的能力。作者借鉴日本“抱团出海”的经验，提出通过建立海外产业新城等制度化方式，确保中国企业在全球化“深秋”季仍然保持对关键产业链环节的掌控力。</w:t>
      </w:r>
    </w:p>
    <w:p>
      <w:pPr>
        <w:ind w:firstLine="480"/>
      </w:pPr>
      <w:r>
        <w:rPr>
          <w:rFonts w:ascii="SimSun" w:hAnsi="SimSun" w:eastAsia="SimSun"/>
          <w:b w:val="0"/>
          <w:sz w:val="24"/>
        </w:rPr>
        <w:t>“编辑”而非“控制”的用词意味深长：它暗示中国不追求对产业链的全面控制，而是通过精巧的制度安排和战略布局，在关键环节保持影响力。其核心洞见在于：在“平行体系”下，简单的“脱钩”或“挂钩”都不是最优解。中国需要的是一种更高级的全球化参与方式——不是被动接受既有的全球分工体系，而是主动“编辑”产业链，将安全考量与效率逻辑进行新的平衡。</w:t>
      </w:r>
    </w:p>
    <w:p>
      <w:pPr>
        <w:ind w:firstLine="480"/>
      </w:pPr>
      <w:r>
        <w:rPr>
          <w:rFonts w:ascii="SimSun" w:hAnsi="SimSun" w:eastAsia="SimSun"/>
          <w:b w:val="0"/>
          <w:sz w:val="24"/>
        </w:rPr>
        <w:t>这一概念对传统的“产业政策”思维构成了重要超越。传统产业政策聚焦于国内的“补短板”或“强长板”，而“产业链编辑能力”要求在全球层面进行系统性的“排版”——哪些环节必须回到国内，哪些环节可以放在海外但必须确保安全，哪些环节可以完全交给市场。这种精细化的战略思维，正是“缠斗”时代所需要的。</w:t>
      </w:r>
    </w:p>
    <w:p>
      <w:r>
        <w:br w:type="page"/>
      </w:r>
    </w:p>
    <w:p>
      <w:pPr>
        <w:pStyle w:val="Heading1"/>
      </w:pPr>
      <w:r>
        <w:t>七、结论：缠斗时代的中国选择</w:t>
      </w:r>
    </w:p>
    <w:p>
      <w:pPr>
        <w:ind w:firstLine="480"/>
      </w:pPr>
      <w:r>
        <w:rPr>
          <w:rFonts w:ascii="SimSun" w:hAnsi="SimSun" w:eastAsia="SimSun"/>
          <w:b w:val="0"/>
          <w:sz w:val="24"/>
        </w:rPr>
        <w:t>《缠斗》一书的最大价值不在于提供了确定性的答案——在这个高度不确定的时代，任何确定性断言都可能是危险的——而在于提出了正确的问题，并建立了一个结构化的分析框架来思考这些问题。从方法论角度，本书的贡献体现在三个层面。</w:t>
      </w:r>
    </w:p>
    <w:p>
      <w:pPr>
        <w:ind w:firstLine="480"/>
      </w:pPr>
      <w:r>
        <w:rPr>
          <w:rFonts w:ascii="SimSun" w:hAnsi="SimSun" w:eastAsia="SimSun"/>
          <w:b w:val="0"/>
          <w:sz w:val="24"/>
        </w:rPr>
        <w:t>第一，突破单一叙事框架。作者拒绝将中美关系简化为“崛起国与守成国”的修昔底德陷阱叙事，也拒绝将贸易战简单归结为某一位政治人物的个人偏好。通过引入财政逻辑、国内政治撕裂、AI技术变量、全球化周期等多维因素，构建了一个更接近真实世界的分析框架。</w:t>
      </w:r>
    </w:p>
    <w:p>
      <w:pPr>
        <w:ind w:firstLine="480"/>
      </w:pPr>
      <w:r>
        <w:rPr>
          <w:rFonts w:ascii="SimSun" w:hAnsi="SimSun" w:eastAsia="SimSun"/>
          <w:b w:val="0"/>
          <w:sz w:val="24"/>
        </w:rPr>
        <w:t>第二，预警与建构并重。许多分析止步于“指出问题”，而本书以六分之一的篇幅提出了具体的政策构想。“未来起点收入”“金砖币”“产业链编辑能力”三条建议虽然在技术层面各有需进一步论证之处，但其问题意识和方向感是卓越的。</w:t>
      </w:r>
    </w:p>
    <w:p>
      <w:pPr>
        <w:ind w:firstLine="480"/>
      </w:pPr>
      <w:r>
        <w:rPr>
          <w:rFonts w:ascii="SimSun" w:hAnsi="SimSun" w:eastAsia="SimSun"/>
          <w:b w:val="0"/>
          <w:sz w:val="24"/>
        </w:rPr>
        <w:t>第三，保持清醒的忧患意识。作者直言中国面临两条路——增量博弈（和平共存）与存量博弈（争夺天下），后者概率正在上升。他不回避2018年以来中美关系持续恶化的现实，但也不掩饰“2035年中国可能形成全面优势”的乐观预判。这种不卑不亢、实事求是的精神，正是严肃学术著作应有的品格。</w:t>
      </w:r>
    </w:p>
    <w:p>
      <w:pPr>
        <w:ind w:firstLine="480"/>
      </w:pPr>
      <w:r>
        <w:rPr>
          <w:rFonts w:ascii="SimSun" w:hAnsi="SimSun" w:eastAsia="SimSun"/>
          <w:b w:val="0"/>
          <w:sz w:val="24"/>
        </w:rPr>
        <w:t>在专访中，翟东升将当前中国与一战前的德意志民族进行了谨慎的历史类比：守成大国（英国/美国）面对崛起大国（德国/中国），“韬光养晦”的策略躲不过去。但中国的优势在于：工业规模已经超越美国（而非苏联式的追赶），这给了中国更大的战略空间。但作者也警告：工业规模的优势并不自动转化为战略胜利——制度竞争力、科技创新力、联盟体系等“软实力”同样至关重要。</w:t>
      </w:r>
    </w:p>
    <w:p>
      <w:pPr>
        <w:ind w:firstLine="480"/>
      </w:pPr>
      <w:r>
        <w:rPr>
          <w:rFonts w:ascii="SimSun" w:hAnsi="SimSun" w:eastAsia="SimSun"/>
          <w:b w:val="0"/>
          <w:sz w:val="24"/>
        </w:rPr>
        <w:t>在国际格局展望方面，作者认为美俄共识是中美俄三家说了算，美国战略收缩，中国面临两条路：增量博弈（和平共存）与存量博弈（争夺天下）。后者概率正在上升，但前者仍然是更优选择。这一判断的实践含义是：中国应当在维护核心利益的前提下，尽可能维护全球化的开放性，避免被拖入“新冷战”的零和博弈。</w:t>
      </w:r>
    </w:p>
    <w:p>
      <w:pPr>
        <w:ind w:firstLine="480"/>
      </w:pPr>
      <w:r>
        <w:rPr>
          <w:rFonts w:ascii="SimSun" w:hAnsi="SimSun" w:eastAsia="SimSun"/>
          <w:b w:val="0"/>
          <w:sz w:val="24"/>
        </w:rPr>
        <w:t>最终，本书传递的核心信息是：中美“缠斗”将是一个长期化的结构性进程，不可能通过一次谈判或一届政府更迭而终结。中国需要在认清这一现实的基础上，构建一套既能维护核心利益、又能避免战略透支的长期方略。从这个意义上说，《缠斗》不仅是一本关于中美关系的书，更是一本关于中国如何在全球化“深秋”季节寡慎前行的战略思考录。</w:t>
      </w:r>
    </w:p>
    <w:p/>
    <w:p>
      <w:pPr>
        <w:pStyle w:val="Heading2"/>
      </w:pPr>
      <w:r>
        <w:t>参考文献</w:t>
      </w:r>
    </w:p>
    <w:p>
      <w:pPr>
        <w:ind w:firstLine="0"/>
      </w:pPr>
      <w:r>
        <w:rPr>
          <w:rFonts w:ascii="SimSun" w:hAnsi="SimSun" w:eastAsia="SimSun"/>
          <w:sz w:val="21"/>
        </w:rPr>
        <w:t>[1] 翟东升, 朱焅. 缠斗：中美经贸重构与全球经济新秩序[M]. 北京: 中信出版集团, 2026.</w:t>
      </w:r>
    </w:p>
    <w:p>
      <w:pPr>
        <w:ind w:firstLine="0"/>
      </w:pPr>
      <w:r>
        <w:rPr>
          <w:rFonts w:ascii="SimSun" w:hAnsi="SimSun" w:eastAsia="SimSun"/>
          <w:sz w:val="21"/>
        </w:rPr>
        <w:t>[2] 百度百科. 缠斗：中美经贸重构与全球经济新秩序[EB/OL]. https://baike.baidu.com/.</w:t>
      </w:r>
    </w:p>
    <w:p>
      <w:pPr>
        <w:ind w:firstLine="0"/>
      </w:pPr>
      <w:r>
        <w:rPr>
          <w:rFonts w:ascii="SimSun" w:hAnsi="SimSun" w:eastAsia="SimSun"/>
          <w:sz w:val="21"/>
        </w:rPr>
        <w:t>[3] 曾航. 专访人大翟东升：中美进入AI时代，一场新的缠斗已经开始[EB/OL]. 观察者网风闻社区, 2026-04-21.</w:t>
      </w:r>
    </w:p>
    <w:p>
      <w:pPr>
        <w:ind w:firstLine="0"/>
      </w:pPr>
      <w:r>
        <w:rPr>
          <w:rFonts w:ascii="SimSun" w:hAnsi="SimSun" w:eastAsia="SimSun"/>
          <w:sz w:val="21"/>
        </w:rPr>
        <w:t>[4] 知乎专栏. 《缠斗：中美经贸重构与全球经济新秩序》学习笔记[EB/OL]. https://zhuanlan.zhihu.com/.</w:t>
      </w:r>
    </w:p>
    <w:p>
      <w:pPr>
        <w:ind w:firstLine="0"/>
      </w:pPr>
      <w:r>
        <w:rPr>
          <w:rFonts w:ascii="SimSun" w:hAnsi="SimSun" w:eastAsia="SimSun"/>
          <w:sz w:val="21"/>
        </w:rPr>
        <w:t>[5] 长江日报. 《缠斗》解析中美AI之争[EB/OL]. 2026-05-19.</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SimHei" w:hAnsi="SimHei" w:eastAsia="Sim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SimHei" w:hAnsi="SimHei" w:eastAsia="Sim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imHei" w:hAnsi="SimHei" w:eastAsia="SimHe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