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SimHei" w:hAnsi="SimHei" w:eastAsia="SimHei"/>
          <w:b/>
          <w:sz w:val="52"/>
        </w:rPr>
        <w:t>《黄帝内经》</w:t>
      </w:r>
    </w:p>
    <w:p>
      <w:pPr>
        <w:jc w:val="center"/>
      </w:pPr>
      <w:r>
        <w:rPr>
          <w:rFonts w:ascii="SimHei" w:hAnsi="SimHei" w:eastAsia="SimHei"/>
          <w:color w:val="646464"/>
          <w:sz w:val="36"/>
        </w:rPr>
        <w:t>精读内容提炼</w:t>
      </w:r>
    </w:p>
    <w:p/>
    <w:p>
      <w:pPr>
        <w:jc w:val="center"/>
      </w:pPr>
      <w:r>
        <w:rPr>
          <w:rFonts w:ascii="SimSun" w:hAnsi="SimSun" w:eastAsia="SimSun"/>
          <w:sz w:val="24"/>
        </w:rPr>
        <w:t>托名黄帝 · 成书于战国至汉代</w:t>
        <w:br/>
        <w:t>《素问》81篇 · 《灵枢》81篇</w:t>
        <w:br/>
        <w:t>2011年入选《世界记忆名录》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一、全书结构与核心命题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《黄帝内经》包括《素问》和《灵枢》各81篇。全书以黄帝与岐伯、雷公、伯高等臣子的问答体展开。《素问》侧重理论阐述——生理、病理、诊断、治疗、养生，唐代王冰整理为24卷。《灵枢》侧重经络针灸，宋代史崧流传于世。全书的核心命题是：人如何在天地自然中健康地度过完整的一生。从《上古天真论》的养生总纲到《经脉》的身体运行地图，从《阴阳应象大论》的哲学基础到《灵兰秘典论》的脏腑分工，构建了一套完整而自洽的生命科学体系。</w:t>
      </w:r>
    </w:p>
    <w:p>
      <w:r>
        <w:br w:type="page"/>
      </w:r>
    </w:p>
    <w:p>
      <w:pPr>
        <w:pStyle w:val="Heading1"/>
      </w:pPr>
      <w:r>
        <w:t>二、《上古天真论》——养生总纲（《素问》第一篇）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此篇以黄帝与岐伯的对话开篇，是全书的纲领性文件。上古"真人"能"提挈天地，把握阴阳，呼吸精气，独立守神，肌肉若一"，可以"寿敝天地，无有终时"。其后依次论及"至人""圣人""贤人"四个层次。</w:t>
      </w:r>
    </w:p>
    <w:p>
      <w:pPr>
        <w:ind w:left="850" w:right="850" w:firstLine="0"/>
      </w:pPr>
      <w:r>
        <w:rPr>
          <w:rFonts w:ascii="KaiTi" w:hAnsi="KaiTi" w:eastAsia="KaiTi"/>
          <w:i/>
          <w:color w:val="505050"/>
          <w:sz w:val="22"/>
        </w:rPr>
        <w:t>上古之人，其知道者，法于阴阳，和于术数，食饮有节，起居有常，不妄作劳，故能形与神俱，而尽终其天年，度百岁乃去。今时之人不然也，以酒为浆，以妄为常，醉以入房，以欲竭其精，以耗散其真，不知持满，不时御神，务快其心，逆于生乐，起居无节，故半百而衰也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提炼出五大养生原则：第一，法于阴阳——顺应自然界的阴阳变化规律；第二，和于术数——掌握适当的养生锻炼方法；第三，食饮有节——饮食有节制、有规律；第四，起居有常——作息符合正常节律；第五，不妄作劳——不过度劳累。同时提出"形与神俱"的核心生命观——身体健康与精神修养同等重要。</w:t>
      </w:r>
    </w:p>
    <w:p>
      <w:pPr>
        <w:pStyle w:val="Heading2"/>
      </w:pPr>
      <w:r>
        <w:t>"女七男八"——生命节律论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该篇以七和八为女子和男子的生命节律基数。女子以七为周期：七岁肾气盛、齿更发长；二七（14岁）天癸至、任脉通、"月事以时下"；三七（21岁）肾气平均、真牙生；四七（28岁）筋骨坚、发长极、身体盛壮；五七（35岁）阳明脉衰、面始焦、发始堕；六七（42岁）三阳脉衰于上、面皆焦、发始白；七七（49岁）任脉虚、太冲脉衰少、天癸竭、"形坏而无子"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男子以八为周期：八岁肾气实、发长齿更；二八（16岁）肾气盛、天癸至、"精气溢泻"；三八（24岁）肾气平均、筋骨劲强；四八（32岁）筋骨隆盛、肌肉满壮；五八（40岁）肾气衰、发堕齿槁；六八（48岁）阳气衰竭于上、面焦、发鬓颁白；七八（56岁）肝气衰、筋不能动；八八（64岁）天癸竭、精少、肾脏衰、"形体皆极""齿发去"。</w:t>
      </w:r>
    </w:p>
    <w:p>
      <w:r>
        <w:br w:type="page"/>
      </w:r>
    </w:p>
    <w:p>
      <w:pPr>
        <w:pStyle w:val="Heading1"/>
      </w:pPr>
      <w:r>
        <w:t>三、《四气调神大论》——四季养生法（《素问》第二篇）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该篇系统论述了春、夏、秋、冬四季的养生要领，每一季都包括自然气象特征、人的适应方法和违背后的后果。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春三月为"发陈"——天地间生机勃发，万物欣欣向荣。人应"夜卧早起，广步于庭，被发缓形，以使志生"——晚睡早起，多在庭院散步，披散头发、放松身体，使精神随着春气舒展。违背春生之道则伤肝，夏季会生寒性疾病（寒变）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夏三月为"蕃秀"——天地之气相交，万物开花结果。人应"夜卧早起，无厌于日，使志无怒，使华英成秀，使气得泄，若所爱在外"——晚睡早起，不厌恶日光（不要过度贪凉），保持心情愉快不轻易发怒。违背夏长之道则伤心，秋季会生疟疾（痎疟）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秋三月为"容平"——天气劲急，地气清明。人应"早卧早起，与鸡俱兴，使志安宁，以缓秋刑，收敛神气，使秋气平，无外其志"——早睡早起，与鸡的活动节律一致，保持情绪安宁，收敛向外发散的神气。违背秋收之道则伤肺，冬季会生腹泻（飧泄）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冬三月为"闭藏"——水结冰、地冻裂，不要扰动阳气。人应"早卧晚起，必待日光，使志若伏若匿，若有私意，若已有得，去寒就温，无泄皮肤"——早睡晚起等待太阳出来，情绪内敛如同怀揣秘密、心满意足，避寒保暖，不使皮肤过度暴露。违背冬藏之道则伤肾，来春会生痿厥。</w:t>
      </w:r>
    </w:p>
    <w:p>
      <w:pPr>
        <w:ind w:left="850" w:right="850" w:firstLine="0"/>
      </w:pPr>
      <w:r>
        <w:rPr>
          <w:rFonts w:ascii="KaiTi" w:hAnsi="KaiTi" w:eastAsia="KaiTi"/>
          <w:i/>
          <w:color w:val="505050"/>
          <w:sz w:val="22"/>
        </w:rPr>
        <w:t>是故圣人不治已病治未病，不治已乱治未乱，此之谓也。夫病已成而后药之，乱已成而后治之，譬犹渴而穿井，斗而铸锥，不亦晚乎！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"治未病"的思想——在疾病形成之前预防，在混乱发生之前治理——是《内经》最具现代性的理念，领先西方预防医学两千年。</w:t>
      </w:r>
    </w:p>
    <w:p>
      <w:r>
        <w:br w:type="page"/>
      </w:r>
    </w:p>
    <w:p>
      <w:pPr>
        <w:pStyle w:val="Heading1"/>
      </w:pPr>
      <w:r>
        <w:t>四、《阴阳应象大论》——辩证法基础（《素问》第五篇）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该篇是《内经》哲学基础的核心篇章，将阴阳学说全面应用于医学。开篇提出总纲:</w:t>
      </w:r>
    </w:p>
    <w:p>
      <w:pPr>
        <w:ind w:left="850" w:right="850" w:firstLine="0"/>
      </w:pPr>
      <w:r>
        <w:rPr>
          <w:rFonts w:ascii="KaiTi" w:hAnsi="KaiTi" w:eastAsia="KaiTi"/>
          <w:i/>
          <w:color w:val="505050"/>
          <w:sz w:val="22"/>
        </w:rPr>
        <w:t>阴阳者，天地之道也，万物之纲纪，变化之父母，生杀之本始，神明之府也。治病必求于本。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将阴阳与自然和人体全面对应：清阳为天、浊阴为地，地气上为云、天气下为雨，故清阳出上窍、浊阴出下窍，清阳发腠理、浊阴走五脏，清阳实四肢、浊阴归六腑。水为阴、火为阳，阳为气、阴为味。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关于人体的阴阳平衡：阴在内是阳的守卫，阳在外是阴的役使（"阴在内，阳之守也；阳在外，阴之使也"）。阳气如同天上的太阳，"失其所，则折寿而不彰"。阴阳偏胜则产生不同的病理变化："阴胜则阳病，阳胜则阴病。阳胜则热，阴胜则寒。重寒则热，重热则寒。"事物到了极致就会向反面转化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诊断方面："善诊者，察色按脉，先别阴阳"——高明医生诊断的第一要务是判断病性的阴阳属性。审清浊而知部分（望色判断病位），听声音而知所苦（闻诊判断症状），观权衡规矩而知病所主（切脉判断脏腑），按尺寸、观浮沉滑涩而知病所生。</w:t>
      </w:r>
    </w:p>
    <w:p>
      <w:r>
        <w:br w:type="page"/>
      </w:r>
    </w:p>
    <w:p>
      <w:pPr>
        <w:pStyle w:val="Heading1"/>
      </w:pPr>
      <w:r>
        <w:t>五、《灵兰秘典论》——十二脏腑功能（《素问》第八篇）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该篇以古代官职体系比喻人体十二脏腑的分工合作，是藏象学说的核心篇章。</w:t>
      </w:r>
    </w:p>
    <w:p>
      <w:pPr>
        <w:ind w:left="850" w:right="850" w:firstLine="0"/>
      </w:pPr>
      <w:r>
        <w:rPr>
          <w:rFonts w:ascii="KaiTi" w:hAnsi="KaiTi" w:eastAsia="KaiTi"/>
          <w:i/>
          <w:color w:val="505050"/>
          <w:sz w:val="22"/>
        </w:rPr>
        <w:t>心者，君主之官也，神明出焉。肺者，相傅之官，治节出焉。肝者，将军之官，谋虑出焉。胆者，中正之官，决断出焉。膻中者，臣使之官，喜乐出焉。脾胃者，仓廪之官，五味出焉。大肠者，传道之官，变化出焉。小肠者，受盛之官，化物出焉。肾者，作强之官，伎巧出焉。三焦者，决渎之官，水道出焉。膀胱者，州都之官，津液藏焉，气化则能出矣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心为君主之官、主神明——如果在西医中，可能同时对应心脏和大脑的功能。肺为相傅之官、主治节——辅佐心君主理全身气机的调节。肝为将军之官、主谋虑——好动好胜，负责策划思考。胆为中正之官、主决断——不偏不倚，在谋虑之后做出决断（"胆量"一词源出于此）。脾胃为仓廪之官——负责消化吸收、输送营养。肾为作强之官、主伎巧——决定体力和技巧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"凡此十二官者，不得相失也。故主明则下安，以此养生则寿，殁世不殆......主不明则十二官危，使道闭塞而不通，形乃大伤，以此养生则殃。"——心君清明则脏腑和谐，养生者可得长寿；心君昏聩则全身大乱。</w:t>
      </w:r>
    </w:p>
    <w:p>
      <w:r>
        <w:br w:type="page"/>
      </w:r>
    </w:p>
    <w:p>
      <w:pPr>
        <w:pStyle w:val="Heading1"/>
      </w:pPr>
      <w:r>
        <w:t>六、《经脉》——经络系统全景（《灵枢》第十篇）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《灵枢·经脉》是经络学说的核心文献，详细描述了人体十二正经的循行路线。十二正经包括：手太阴肺经（起于中焦，下络大肠，循臂内侧至拇指）、手阳明大肠经（起于食指，上颈贯颊入下齿）、足阳明胃经（起于鼻旁，下行贯穿躯干至足次趾）、足太阴脾经（起于大趾，上行入腹属脾络胃）、手少阴心经（起于心中，出属心系，循臂内侧至小指）、手太阳小肠经（起于小指，上肩入缺盆络心）、足太阳膀胱经（起于目内眦，上额交巅，沿背下行至足小趾）、足少阴肾经（起于足小趾下，斜走足心，贯脊属肾络膀胱）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再加手厥阴心包经、手少阳三焦经、足少阳胆经、足厥阴肝经，合为十二正经。每一条经脉都有明确的起止、循行路线、所属脏腑、所络脏腑。"经脉者，所以能决死生，处百病，调虚实，不可不通"——经脉在诊断和治疗中具有不可替代的核心作用。</w:t>
      </w:r>
    </w:p>
    <w:p>
      <w:r>
        <w:br w:type="page"/>
      </w:r>
    </w:p>
    <w:p>
      <w:pPr>
        <w:pStyle w:val="Heading1"/>
      </w:pPr>
      <w:r>
        <w:t>七、病因病机与诊断体系</w:t>
      </w:r>
    </w:p>
    <w:p>
      <w:pPr>
        <w:pStyle w:val="Heading2"/>
      </w:pPr>
      <w:r>
        <w:t>三因论——病因分类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《内经》将病因分为三大类。第一，六淫（风、寒、暑、湿、燥、火）为外感因素："风者，百病之始也""寒则气收""炅（热）则气泄"。六淫侵袭有季节性规律：春多风病、夏多暑病、秋多燥病、冬多寒病。第二，七情（喜、怒、忧、思、悲、恐、惊）为内伤因素："怒则气上，喜则气缓，悲则气消，恐则气下，惊则气乱，思则气结"。每种情志过度都会损伤特定脏腑：怒伤肝、喜伤心、思伤脾、忧伤肺、恐伤肾。第三，饮食劳倦为不内外因："饮食自倍，肠胃乃伤""高粱之变，足生大丁"。</w:t>
      </w:r>
    </w:p>
    <w:p>
      <w:pPr>
        <w:pStyle w:val="Heading2"/>
      </w:pPr>
      <w:r>
        <w:t>发病机制——正邪相争</w:t>
      </w:r>
    </w:p>
    <w:p>
      <w:pPr>
        <w:ind w:left="850" w:right="850" w:firstLine="0"/>
      </w:pPr>
      <w:r>
        <w:rPr>
          <w:rFonts w:ascii="KaiTi" w:hAnsi="KaiTi" w:eastAsia="KaiTi"/>
          <w:i/>
          <w:color w:val="505050"/>
          <w:sz w:val="22"/>
        </w:rPr>
        <w:t>风雨寒热，不得虚，邪不能独伤人。卒然逢疾风暴雨而不病者，盖无虚，故邪不能独伤人。此必因虚邪之风，与其身形，两虚相得，乃客其形。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疾病的发生取决于两个条件：致病因素（邪气）和人体的抵抗能力（正气）。"正气存内，邪不可干""邪之所凑，其气必虚"——正气虚弱是发病的内在基础。</w:t>
      </w:r>
    </w:p>
    <w:p>
      <w:pPr>
        <w:pStyle w:val="Heading2"/>
      </w:pPr>
      <w:r>
        <w:t>四诊合参与治则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诊断遵循望闻问切四诊合参。望诊：面部五色（青赤黄白黑）分别反映不同脏腑的状况；舌诊观察舌质舌苔。闻诊：听声音高低清浊、嗅气味。问诊：了解饮食起居、病史经过。切诊：通过脉诊（浮沉迟数滑涩等）判断脏腑气血。脉诊在《内经》中有极为详细的论述——"春日浮，如鱼之游在波；夏日在肤，泛泛乎万物有余；秋日下肤，蛰虫将去；冬日在骨，蛰虫周密。"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治疗核心法则是"治病必求于本"，具体包括：正治（寒者热之、热者寒之）、反治（热因热用、寒因寒用）、标本缓急（急则治其标、缓则治其本）、三因制宜（因人、因时、因地制宜）。</w:t>
      </w:r>
    </w:p>
    <w:p>
      <w:r>
        <w:br w:type="page"/>
      </w:r>
    </w:p>
    <w:p>
      <w:pPr>
        <w:pStyle w:val="Heading1"/>
      </w:pPr>
      <w:r>
        <w:t>八、《灵枢·九针十二原》——针灸精要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《灵枢》开篇论述九种针具——镵针（刺热病）、员针（按摩分肉）、鍉针（按压经脉）、锋针（刺络放血）、铍针（切开排脓）、员利针（治暴痹）、毫针（最常用、调经络）、长针（治深邪远痹）、大针（泻水）。</w:t>
      </w:r>
    </w:p>
    <w:p>
      <w:pPr>
        <w:ind w:left="850" w:right="850" w:firstLine="0"/>
      </w:pPr>
      <w:r>
        <w:rPr>
          <w:rFonts w:ascii="KaiTi" w:hAnsi="KaiTi" w:eastAsia="KaiTi"/>
          <w:i/>
          <w:color w:val="505050"/>
          <w:sz w:val="22"/>
        </w:rPr>
        <w:t>小针之要，易陈而难入。粗守形，上守神。神乎神，客在门。未睹其疾，恶知其原？刺之微，在速迟。粗守关，上守机。机之动，不离其空。空中之机，清静而微。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  <w:t>这段是针刺手法的精髓：下等医生关注的是形体的表面（守形），上等医生关注的是神气的状态（守神）。针刺的精微之处在于把握"机"——那个转瞬即逝的最佳时机。"气至而有效"是判断针刺是否得气、是否达到治疗目的的关键标志。得气时患者会有酸、麻、胀、重的感觉，医者则感到针下沉紧、"如鱼吞钩饵之浮沉"。</w:t>
      </w:r>
    </w:p>
    <w:p>
      <w:pPr>
        <w:ind w:firstLine="480"/>
      </w:pPr>
      <w:r>
        <w:rPr>
          <w:rFonts w:ascii="SimSun" w:hAnsi="SimSun" w:eastAsia="SimSun"/>
          <w:b w:val="0"/>
          <w:sz w:val="24"/>
        </w:rPr>
      </w:r>
    </w:p>
    <w:p>
      <w:pPr>
        <w:ind w:firstLine="480"/>
        <w:jc w:val="center"/>
      </w:pPr>
      <w:r>
        <w:rPr>
          <w:rFonts w:ascii="SimSun" w:hAnsi="SimSun" w:eastAsia="SimSun"/>
          <w:b w:val="0"/>
          <w:sz w:val="24"/>
        </w:rPr>
        <w:t>—— 《黄帝内经》精读内容提炼 ——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