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560" w:after="440"/>
      </w:pPr>
      <w:r>
        <w:rPr>
          <w:rFonts w:ascii="微软雅黑" w:hAnsi="微软雅黑" w:eastAsia="微软雅黑" w:cs="微软雅黑"/>
          <w:b/>
          <w:i w:val="0"/>
          <w:color w:val="000000"/>
          <w:sz w:val="72"/>
        </w:rPr>
        <w:t>LineGuard</w:t>
      </w:r>
    </w:p>
    <w:p>
      <w:pPr>
        <w:pStyle w:val="Title"/>
        <w:spacing w:after="440"/>
      </w:pPr>
      <w:r>
        <w:rPr>
          <w:rFonts w:ascii="微软雅黑" w:hAnsi="微软雅黑" w:eastAsia="微软雅黑" w:cs="微软雅黑"/>
          <w:b/>
          <w:i w:val="0"/>
          <w:color w:val="000000"/>
          <w:sz w:val="50"/>
        </w:rPr>
        <w:t>项目计划书 V1.0</w:t>
      </w:r>
    </w:p>
    <w:p>
      <w:pPr>
        <w:pStyle w:val="Subtitle"/>
        <w:spacing w:line="312" w:lineRule="auto" w:after="600"/>
      </w:pPr>
      <w:r>
        <w:rPr>
          <w:rFonts w:ascii="微软雅黑" w:hAnsi="微软雅黑" w:eastAsia="微软雅黑" w:cs="微软雅黑"/>
          <w:b w:val="0"/>
          <w:i w:val="0"/>
          <w:color w:val="000000"/>
          <w:sz w:val="36"/>
        </w:rPr>
        <w:t>偏远难达地区架空输电线路</w:t>
        <w:br/>
        <w:t>常驻式智能运维机器人系统</w:t>
      </w:r>
    </w:p>
    <w:p>
      <w:r>
        <w:rPr>
          <w:rFonts w:ascii="宋体" w:hAnsi="宋体" w:eastAsia="宋体" w:cs="宋体"/>
          <w:b w:val="0"/>
          <w:i w:val="0"/>
          <w:color w:val="000000"/>
          <w:sz w:val="22"/>
        </w:rPr>
        <w:t>项目类型  工业机器人运维服务</w:t>
      </w:r>
    </w:p>
    <w:p>
      <w:r>
        <w:rPr>
          <w:rFonts w:ascii="宋体" w:hAnsi="宋体" w:eastAsia="宋体" w:cs="宋体"/>
          <w:b w:val="0"/>
          <w:i w:val="0"/>
          <w:color w:val="000000"/>
          <w:sz w:val="22"/>
        </w:rPr>
        <w:t>产品阶段  单档距闭环验证</w:t>
      </w:r>
    </w:p>
    <w:p>
      <w:r>
        <w:rPr>
          <w:rFonts w:ascii="宋体" w:hAnsi="宋体" w:eastAsia="宋体" w:cs="宋体"/>
          <w:b w:val="0"/>
          <w:i w:val="0"/>
          <w:color w:val="000000"/>
          <w:sz w:val="22"/>
        </w:rPr>
        <w:t>版本日期  2026 年 9 月 8 日</w:t>
      </w:r>
    </w:p>
    <w:p>
      <w:pPr>
        <w:spacing w:before="600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LineGuard 面向高海拔、偏远山区、跨谷和高寒区段的架空输电线路，拟通过“挂线机器人 + 塔侧驻留节点 + 远程管理平台”，完成远程巡检、近距离复核和有限轻维护。当前版本聚焦产品定义、技术路线和首阶段验证；具体性能、价格和客户规模以试点结果为准。</w:t>
      </w:r>
    </w:p>
    <w:p>
      <w:r>
        <w:br w:type="page"/>
      </w:r>
    </w:p>
    <w:p>
      <w:pPr>
        <w:pStyle w:val="Heading1"/>
        <w:spacing w:before="0"/>
      </w:pPr>
      <w:r>
        <w:t>目录</w:t>
      </w:r>
    </w:p>
    <w:p>
      <w:pPr>
        <w:spacing w:after="80" w:line="240" w:lineRule="auto"/>
      </w:pPr>
      <w:hyperlink w:anchor="section_1">
        <w:r>
          <w:rPr>
            <w:color w:val="000000"/>
            <w:rFonts w:ascii="宋体" w:hAnsi="宋体" w:eastAsia="宋体" w:cs="宋体"/>
            <w:sz w:val="21"/>
          </w:rPr>
          <w:t>1 项目摘要</w:t>
        </w:r>
      </w:hyperlink>
    </w:p>
    <w:p>
      <w:pPr>
        <w:spacing w:after="80" w:line="240" w:lineRule="auto"/>
      </w:pPr>
      <w:hyperlink w:anchor="section_2">
        <w:r>
          <w:rPr>
            <w:color w:val="000000"/>
            <w:rFonts w:ascii="宋体" w:hAnsi="宋体" w:eastAsia="宋体" w:cs="宋体"/>
            <w:sz w:val="21"/>
          </w:rPr>
          <w:t>2 问题与市场机会</w:t>
        </w:r>
      </w:hyperlink>
    </w:p>
    <w:p>
      <w:pPr>
        <w:spacing w:after="80" w:line="240" w:lineRule="auto"/>
      </w:pPr>
      <w:hyperlink w:anchor="section_3">
        <w:r>
          <w:rPr>
            <w:color w:val="000000"/>
            <w:rFonts w:ascii="宋体" w:hAnsi="宋体" w:eastAsia="宋体" w:cs="宋体"/>
            <w:sz w:val="21"/>
          </w:rPr>
          <w:t>3 产品定位与应用场景</w:t>
        </w:r>
      </w:hyperlink>
    </w:p>
    <w:p>
      <w:pPr>
        <w:spacing w:after="80" w:line="240" w:lineRule="auto"/>
      </w:pPr>
      <w:hyperlink w:anchor="section_4">
        <w:r>
          <w:rPr>
            <w:color w:val="000000"/>
            <w:rFonts w:ascii="宋体" w:hAnsi="宋体" w:eastAsia="宋体" w:cs="宋体"/>
            <w:sz w:val="21"/>
          </w:rPr>
          <w:t>4 核心功能</w:t>
        </w:r>
      </w:hyperlink>
    </w:p>
    <w:p>
      <w:pPr>
        <w:spacing w:after="80" w:line="240" w:lineRule="auto"/>
      </w:pPr>
      <w:hyperlink w:anchor="section_5">
        <w:r>
          <w:rPr>
            <w:color w:val="000000"/>
            <w:rFonts w:ascii="宋体" w:hAnsi="宋体" w:eastAsia="宋体" w:cs="宋体"/>
            <w:sz w:val="21"/>
          </w:rPr>
          <w:t>5 技术方案</w:t>
        </w:r>
      </w:hyperlink>
    </w:p>
    <w:p>
      <w:pPr>
        <w:spacing w:after="80" w:line="240" w:lineRule="auto"/>
      </w:pPr>
      <w:hyperlink w:anchor="section_6">
        <w:r>
          <w:rPr>
            <w:color w:val="000000"/>
            <w:rFonts w:ascii="宋体" w:hAnsi="宋体" w:eastAsia="宋体" w:cs="宋体"/>
            <w:sz w:val="21"/>
          </w:rPr>
          <w:t>6 软件系统架构</w:t>
        </w:r>
      </w:hyperlink>
    </w:p>
    <w:p>
      <w:pPr>
        <w:spacing w:after="80" w:line="240" w:lineRule="auto"/>
      </w:pPr>
      <w:hyperlink w:anchor="section_7">
        <w:r>
          <w:rPr>
            <w:color w:val="000000"/>
            <w:rFonts w:ascii="宋体" w:hAnsi="宋体" w:eastAsia="宋体" w:cs="宋体"/>
            <w:sz w:val="21"/>
          </w:rPr>
          <w:t>7 产品优势与竞争策略</w:t>
        </w:r>
      </w:hyperlink>
    </w:p>
    <w:p>
      <w:pPr>
        <w:spacing w:after="80" w:line="240" w:lineRule="auto"/>
      </w:pPr>
      <w:hyperlink w:anchor="section_8">
        <w:r>
          <w:rPr>
            <w:color w:val="000000"/>
            <w:rFonts w:ascii="宋体" w:hAnsi="宋体" w:eastAsia="宋体" w:cs="宋体"/>
            <w:sz w:val="21"/>
          </w:rPr>
          <w:t>8 商业模式与客户价值</w:t>
        </w:r>
      </w:hyperlink>
    </w:p>
    <w:p>
      <w:pPr>
        <w:spacing w:after="80" w:line="240" w:lineRule="auto"/>
      </w:pPr>
      <w:hyperlink w:anchor="section_9">
        <w:r>
          <w:rPr>
            <w:color w:val="000000"/>
            <w:rFonts w:ascii="宋体" w:hAnsi="宋体" w:eastAsia="宋体" w:cs="宋体"/>
            <w:sz w:val="21"/>
          </w:rPr>
          <w:t>9 实施路线与首阶段计划</w:t>
        </w:r>
      </w:hyperlink>
    </w:p>
    <w:p>
      <w:pPr>
        <w:spacing w:after="80" w:line="240" w:lineRule="auto"/>
      </w:pPr>
      <w:hyperlink w:anchor="section_10">
        <w:r>
          <w:rPr>
            <w:color w:val="000000"/>
            <w:rFonts w:ascii="宋体" w:hAnsi="宋体" w:eastAsia="宋体" w:cs="宋体"/>
            <w:sz w:val="21"/>
          </w:rPr>
          <w:t>10 风险、边界与投资逻辑</w:t>
        </w:r>
      </w:hyperlink>
    </w:p>
    <w:p>
      <w:pPr>
        <w:spacing w:after="80" w:line="240" w:lineRule="auto"/>
      </w:pPr>
      <w:hyperlink w:anchor="section_11">
        <w:r>
          <w:rPr>
            <w:color w:val="000000"/>
            <w:rFonts w:ascii="宋体" w:hAnsi="宋体" w:eastAsia="宋体" w:cs="宋体"/>
            <w:sz w:val="21"/>
          </w:rPr>
          <w:t>11 阶段性结论</w:t>
        </w:r>
      </w:hyperlink>
    </w:p>
    <w:p>
      <w:pPr>
        <w:spacing w:after="80" w:line="240" w:lineRule="auto"/>
      </w:pPr>
      <w:hyperlink w:anchor="section_12">
        <w:r>
          <w:rPr>
            <w:color w:val="000000"/>
            <w:rFonts w:ascii="宋体" w:hAnsi="宋体" w:eastAsia="宋体" w:cs="宋体"/>
            <w:sz w:val="21"/>
          </w:rPr>
          <w:t>附录 A 项目一句话介绍</w:t>
        </w:r>
      </w:hyperlink>
    </w:p>
    <w:p>
      <w:pPr>
        <w:spacing w:after="80" w:line="240" w:lineRule="auto"/>
      </w:pPr>
      <w:hyperlink w:anchor="section_13">
        <w:r>
          <w:rPr>
            <w:color w:val="000000"/>
            <w:rFonts w:ascii="宋体" w:hAnsi="宋体" w:eastAsia="宋体" w:cs="宋体"/>
            <w:sz w:val="21"/>
          </w:rPr>
          <w:t>附录 B 三十秒路演介绍</w:t>
        </w:r>
      </w:hyperlink>
    </w:p>
    <w:p>
      <w:pPr>
        <w:spacing w:after="80" w:line="240" w:lineRule="auto"/>
      </w:pPr>
      <w:hyperlink w:anchor="section_14">
        <w:r>
          <w:rPr>
            <w:color w:val="000000"/>
            <w:rFonts w:ascii="宋体" w:hAnsi="宋体" w:eastAsia="宋体" w:cs="宋体"/>
            <w:sz w:val="21"/>
          </w:rPr>
          <w:t>附录 C 项目五大卖点</w:t>
        </w:r>
      </w:hyperlink>
    </w:p>
    <w:p>
      <w:pPr>
        <w:spacing w:after="80" w:line="240" w:lineRule="auto"/>
      </w:pPr>
      <w:hyperlink w:anchor="section_15">
        <w:r>
          <w:rPr>
            <w:color w:val="000000"/>
            <w:rFonts w:ascii="宋体" w:hAnsi="宋体" w:eastAsia="宋体" w:cs="宋体"/>
            <w:sz w:val="21"/>
          </w:rPr>
          <w:t>附录 D 投资人可能提出的六个问题</w:t>
        </w:r>
      </w:hyperlink>
    </w:p>
    <w:p>
      <w:r>
        <w:br w:type="page"/>
      </w:r>
    </w:p>
    <w:p>
      <w:bookmarkStart w:id="1" w:name="section_1"/>
      <w:pPr>
        <w:pStyle w:val="Heading1"/>
      </w:pPr>
      <w:r>
        <w:t>1 项目摘要</w:t>
      </w:r>
      <w:bookmarkEnd w:id="1"/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LineGuard 的目标客户是负责偏远难达区段的输电运检单位。现有无人机、摄像头和在线监测能够发现许多异常，但当任务需要近距离确认、定点采集或简单处置时，仍可能需要专业人员携带设备进入山区并组织高空作业。项目要解决的不是“没有巡检手段”，而是异常发生后人员到场成本高、响应慢和现场信息不足的问题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产品由 LineGuard Robot、LineGuard Dock 和管理平台组成。Robot 长期运行在架空地线或 OPGW 上，在限定区段内移动、停车、采集和返回；Dock 提供驻留、补能、通信和对接；平台负责资产、任务、告警、检测记录和人工确认。无人机继续承担大范围巡查，人工负责复杂维修、安装和救援。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系统规划五项能力：常驻自主巡检、多模态近距离检测、长期趋势诊断、标准化轻维护和灾害后的快速复核。自动化采用监督式自主，机器人只执行已经标定的路径和任务，涉及接触或工具的动作必须经过人工授权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首阶段先完成单档距闭环：设备预检、出发、定点拍摄、数据上传、异常处理、安全返回和驻留。后续再验证附件越障、长期补能、多节点协同和工具操作。商业上采用按区段提供运维服务的 RaaS 模式，也保留设备销售加年度维保的方式。</w:t>
      </w:r>
    </w:p>
    <w:p>
      <w:bookmarkStart w:id="2" w:name="section_2"/>
      <w:pPr>
        <w:pStyle w:val="Heading1"/>
      </w:pPr>
      <w:r>
        <w:t>2 问题与市场机会</w:t>
      </w:r>
      <w:bookmarkEnd w:id="2"/>
    </w:p>
    <w:p>
      <w:pPr>
        <w:pStyle w:val="Heading2"/>
      </w:pPr>
      <w:r>
        <w:t>2.1 核心痛点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偏远线路的运维成本并不只来自“检查动作”，还来自人员组织、设备运输、山地通行、现场部署、登塔和撤收。对于重复出现的近距离复核任务，人员每次到场都会产生固定成本；对于灾害后的短暂安全窗口，现场信息越晚获得，检修安排越困难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LineGuard 通过提前部署节点，把一部分现场能力放在线路附近。当异常位于机器人可达范围内且线路条件允许时，运维人员可以先远程获取细部证据，再决定是否派人。严重故障、未知障碍、检测盲区和必须现场完成的任务仍由人工处理。</w:t>
      </w:r>
    </w:p>
    <w:p>
      <w:pPr>
        <w:pStyle w:val="Heading2"/>
      </w:pPr>
      <w:r>
        <w:t>2.2 目标客户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首要客户是负责 220 kV 及以上架空线路的电网输电运检单位，重点关注山区、高海拔、跨谷、道路受限和灾后通行困难区段。使用者包括巡检人员、状态评价人员和检修负责人，采购决策通常还涉及资产、安全、技术、信息化和采购部门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项目不按全国线路总长度估算市场，而按“有重复任务、人员到场成本高、机械结构可适配、通信和救援可落实”的区段筛选客户。市场规模采用自下而上的方法：候选区段数 × 可部署节点数 × 单节点服务价值。价格和适用比例待客户访谈与试点确认。</w:t>
      </w:r>
    </w:p>
    <w:p>
      <w:pPr>
        <w:pStyle w:val="Heading2"/>
      </w:pPr>
      <w:r>
        <w:t>2.3 首批区段筛选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LineGuard 不追求一开始覆盖所有线路，而是先选择最能体现价值的区段。筛选重点是任务是否重复、人员到场是否昂贵、线路结构是否清晰，以及机器人发生故障后是否有可执行的救援方式。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1860"/>
        <w:gridCol w:w="3917"/>
        <w:gridCol w:w="4015"/>
      </w:tblGrid>
      <w:tr>
        <w:trPr>
          <w:cantSplit/>
          <w:tblHeader/>
        </w:trPr>
        <w:tc>
          <w:tcPr>
            <w:tcW w:type="dxa" w:w="1860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评估维度</w:t>
            </w:r>
          </w:p>
        </w:tc>
        <w:tc>
          <w:tcPr>
            <w:tcW w:type="dxa" w:w="3917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关键问题</w:t>
            </w:r>
          </w:p>
        </w:tc>
        <w:tc>
          <w:tcPr>
            <w:tcW w:type="dxa" w:w="4015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首批进入条件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任务价值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是否存在重复近距检查或简单处置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任务频率和原流程可记录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现场成本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人员、车辆和设备到场是否耗时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到场成本明显高于普通区段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机械适配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地线、附件和 Dock 是否可设计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线型及关键障碍相对明确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运维条件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通信、补能和救援是否可落实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有明确的安装与救援责任方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pPr>
        <w:pStyle w:val="Heading2"/>
      </w:pPr>
      <w:r>
        <w:t>2.4 解决方案比较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1567"/>
        <w:gridCol w:w="2742"/>
        <w:gridCol w:w="2742"/>
        <w:gridCol w:w="2742"/>
      </w:tblGrid>
      <w:tr>
        <w:trPr>
          <w:cantSplit/>
          <w:tblHeader/>
        </w:trPr>
        <w:tc>
          <w:tcPr>
            <w:tcW w:type="dxa" w:w="1567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方案</w:t>
            </w:r>
          </w:p>
        </w:tc>
        <w:tc>
          <w:tcPr>
            <w:tcW w:type="dxa" w:w="2742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适合任务</w:t>
            </w:r>
          </w:p>
        </w:tc>
        <w:tc>
          <w:tcPr>
            <w:tcW w:type="dxa" w:w="2742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主要限制</w:t>
            </w:r>
          </w:p>
        </w:tc>
        <w:tc>
          <w:tcPr>
            <w:tcW w:type="dxa" w:w="2742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LineGuard 的位置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人工巡检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判断灵活、维修范围广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到场和高空作业成本高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作为复杂任务和最终处置力量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摄像头、在线传感器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固定位置持续观察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覆盖点和物理动作有限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作为数据来源接入平台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无人机与机巢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大范围巡查、快速取景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续航、天气和载荷受限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负责通道及塔体巡查，提供告警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临时投送机器人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低频专用检测或维修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每次任务都要组织投送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与常驻方案按任务频率比较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LineGuard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重复近距检查和有限动作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需要安装、维护和救援体系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服务已筛选的关键区段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pPr>
        <w:pStyle w:val="Heading2"/>
      </w:pPr>
      <w:r>
        <w:t>2.5 市场切入口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项目的第一批客户不需要一次采购大规模节点，而是从一个区段、一个典型任务开始。优先选择已有巡检记录、能够明确比较原流程和机器人流程的场景，例如重复异物复核、附件状态复查和灾后近距离确认。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首个样板区段应同时满足三点：客户愿意提供任务基线，线路资料能够支持机械设计，现场能够安排安装和救援。样板形成后，再沿相近线型、相近气候和相近运维流程复制，逐步扩大服务范围。</w:t>
      </w:r>
    </w:p>
    <w:p>
      <w:bookmarkStart w:id="3" w:name="section_3"/>
      <w:pPr>
        <w:pStyle w:val="Heading1"/>
      </w:pPr>
      <w:r>
        <w:t>3 产品定位与应用场景</w:t>
      </w:r>
      <w:bookmarkEnd w:id="3"/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LineGuard 是面向人员难达输电关键区段的常驻式智能运维系统，不是覆盖全线的通用机器人。第一代优先选择一种明确线型和附件布局，在架空地线或 OPGW 上运行；不直接承诺相导线带电维修，也不承诺适配所有塔型、金具和极端天气。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1860"/>
        <w:gridCol w:w="3917"/>
        <w:gridCol w:w="4015"/>
      </w:tblGrid>
      <w:tr>
        <w:trPr>
          <w:cantSplit/>
          <w:tblHeader/>
        </w:trPr>
        <w:tc>
          <w:tcPr>
            <w:tcW w:type="dxa" w:w="1860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产品单元</w:t>
            </w:r>
          </w:p>
        </w:tc>
        <w:tc>
          <w:tcPr>
            <w:tcW w:type="dxa" w:w="3917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主要作用</w:t>
            </w:r>
          </w:p>
        </w:tc>
        <w:tc>
          <w:tcPr>
            <w:tcW w:type="dxa" w:w="4015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产品边界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LineGuard Robot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沿线移动、定点检测、状态记录、有限工具操作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只在标定路径和白名单任务内运行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LineGuard Dock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机械锁定、补能、通信转发、数据同步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与塔侧结构和检修空间共同设计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管理平台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资产管理、任务调度、告警、诊断和审计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下发任务级指令，不直接控制实时运动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pPr>
        <w:pStyle w:val="Heading2"/>
      </w:pPr>
      <w:r>
        <w:t>3.1 日常周期巡检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平台根据计划生成任务，检查天气、能量、通信和机器人健康状态。Robot 从 Dock 出发，到指定位置停车拍摄，回传图像和设备状态，完成后返回并对接。数据按照对象编号、位置和时间归档，异常进入人工复核。</w:t>
      </w:r>
    </w:p>
    <w:p>
      <w:pPr>
        <w:pStyle w:val="Heading2"/>
      </w:pPr>
      <w:r>
        <w:t>3.2 告警后的快速复核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固定监测或无人机发现疑似异物、腐蚀或振动异常后，平台将告警位置匹配到节点责任区。Robot 先补充近距离图像和必要的静止状态数据，再由运维人员判断“未见异常、持续观察、进入轻维护流程”或“派遣现场人员”。</w:t>
      </w:r>
    </w:p>
    <w:p>
      <w:pPr>
        <w:pStyle w:val="Heading2"/>
      </w:pPr>
      <w:r>
        <w:t>3.3 灾害后的应急检查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在雷暴、强风、覆冰或道路受阻后，系统先检查线路和设备是否具备运行条件。安全窗口恢复后，Robot 对可达范围内的地线和附件进行复核；遇到断裂、变形或未知障碍立即停止，并把信息交给现有应急流程。</w:t>
      </w:r>
    </w:p>
    <w:p>
      <w:pPr>
        <w:pStyle w:val="Heading2"/>
      </w:pPr>
      <w:r>
        <w:t>3.4 业务闭环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LineGuard 的工作流程是“发现异常—生成任务—设备预检—机器人出勤—近距采集—人工判断—返回驻留”。判断结果分为无需处理、继续观察、安排轻维护和派遣现场人员四类。机器人不承担所有维修，而是把现场信息和有限动作前置，帮助客户把专业人员用在真正需要到场的任务上。</w:t>
      </w:r>
    </w:p>
    <w:p>
      <w:pPr>
        <w:pStyle w:val="Heading2"/>
      </w:pPr>
      <w:r>
        <w:t>3.5 用户使用方式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运维人员通过平台查看线路、节点、任务和历史记录。系统以任务单为核心组织工作：每个任务包含目标位置、任务类型、运行窗口、执行权限和完成标准。任务完成后，平台同时展示原始图像、设备状态、异常标记和人工结论，避免只保留算法分数而缺少现场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1860"/>
        <w:gridCol w:w="3917"/>
        <w:gridCol w:w="4015"/>
      </w:tblGrid>
      <w:tr>
        <w:trPr>
          <w:cantSplit/>
          <w:tblHeader/>
        </w:trPr>
        <w:tc>
          <w:tcPr>
            <w:tcW w:type="dxa" w:w="1860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使用角色</w:t>
            </w:r>
          </w:p>
        </w:tc>
        <w:tc>
          <w:tcPr>
            <w:tcW w:type="dxa" w:w="3917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主要操作</w:t>
            </w:r>
          </w:p>
        </w:tc>
        <w:tc>
          <w:tcPr>
            <w:tcW w:type="dxa" w:w="4015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关注结果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巡检人员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查看告警、创建复核任务、复查图像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目标是否可判读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状态评价人员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对比历史记录、确认风险等级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是否需要持续观察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检修负责人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审批轻维护或派遣任务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是否值得安排现场作业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设备管理员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查看健康状态、补能和故障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节点是否保持可用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bookmarkStart w:id="4" w:name="section_4"/>
      <w:pPr>
        <w:pStyle w:val="Heading1"/>
      </w:pPr>
      <w:r>
        <w:t>4 核心功能</w:t>
      </w:r>
      <w:bookmarkEnd w:id="4"/>
    </w:p>
    <w:p>
      <w:pPr>
        <w:pStyle w:val="Heading2"/>
      </w:pPr>
      <w:r>
        <w:t>4.1 常驻自主巡检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机器人按周期任务、人工任务或事件任务出勤，执行“预检—出发—移动—停车采集—返回—对接”的闭环。未知障碍、定位异常、能量不足或设备状态异常时，不强行完成任务，而是安全驻停并上报。</w:t>
      </w:r>
    </w:p>
    <w:p>
      <w:pPr>
        <w:pStyle w:val="Heading2"/>
      </w:pPr>
      <w:r>
        <w:t>4.2 近距离多模态检测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第一阶段使用高清 RGB 图像记录断股、腐蚀、异物和附件位置变化；红外、IMU、温湿度及接触式检测作为扩展。所有数据保留位置、时间、采样条件和质量标记，低质量数据进入重采或人工复核，不直接判定为正常。</w:t>
      </w:r>
    </w:p>
    <w:p>
      <w:pPr>
        <w:pStyle w:val="Heading2"/>
      </w:pPr>
      <w:r>
        <w:t>4.3 长期趋势诊断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平台为同一部件建立健康档案，关联历史图像、环境数据、测量条件和人工结论。系统先展示可复核的变化趋势，再逐步验证风险评分。数据不足时输出“待观察”，不直接给出寿命预测。</w:t>
      </w:r>
    </w:p>
    <w:p>
      <w:pPr>
        <w:pStyle w:val="Heading2"/>
      </w:pPr>
      <w:r>
        <w:t>4.4 标准化轻维护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轻维护采用任务白名单，优先考虑小型传感器部署、可回收标记和经验证的简单操作。每项动作都经过人工授权、设备条件复核和结果检查；不承诺断股永久修复、绝缘子更换、大扭矩紧固或大型机械作业。</w:t>
      </w:r>
    </w:p>
    <w:p>
      <w:pPr>
        <w:pStyle w:val="Heading2"/>
      </w:pPr>
      <w:r>
        <w:t>4.5 异常快速响应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系统记录告警发生、开始运动、到达目标和形成结论四个时间点，帮助客户比较原有流程与机器人流程。快速响应的前提是节点在线、路径可达、天气允许和能源充足，不等同于全天候作业。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1567"/>
        <w:gridCol w:w="2742"/>
        <w:gridCol w:w="2742"/>
        <w:gridCol w:w="2742"/>
      </w:tblGrid>
      <w:tr>
        <w:trPr>
          <w:cantSplit/>
          <w:tblHeader/>
        </w:trPr>
        <w:tc>
          <w:tcPr>
            <w:tcW w:type="dxa" w:w="1567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能力</w:t>
            </w:r>
          </w:p>
        </w:tc>
        <w:tc>
          <w:tcPr>
            <w:tcW w:type="dxa" w:w="2742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首阶段定位</w:t>
            </w:r>
          </w:p>
        </w:tc>
        <w:tc>
          <w:tcPr>
            <w:tcW w:type="dxa" w:w="2742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后续扩展</w:t>
            </w:r>
          </w:p>
        </w:tc>
        <w:tc>
          <w:tcPr>
            <w:tcW w:type="dxa" w:w="2742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判断价值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自主巡检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固定路径往返和定点拍摄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多档距与多节点调度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减少重复部署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近距检测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RGB 图像和设备状态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红外、振动及接触检测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提供远程复核证据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趋势诊断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历史记录和变化展示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风险评分与检修建议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提高判断连续性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轻维护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流程和授权设计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传感器部署等白名单动作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减少简单任务到场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应急响应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灾后安全窗口复核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多源告警协同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辅助确定派遣优先级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bookmarkStart w:id="5" w:name="section_5"/>
      <w:pPr>
        <w:pStyle w:val="Heading1"/>
      </w:pPr>
      <w:r>
        <w:t>5 技术方案</w:t>
      </w:r>
      <w:bookmarkEnd w:id="5"/>
    </w:p>
    <w:p>
      <w:pPr>
        <w:pStyle w:val="Heading2"/>
      </w:pPr>
      <w:r>
        <w:t>5.1 机械与运行对象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机器人采用前后承载单元、驱动轮组、防脱约束和低重心载荷布置，优先保证稳定承载、可控往返和安全驻停。第一阶段选择一种明确的地线样本，在非带电试验架或设备模型中验证；允许夹持力、轮槽、附加质量和冲击限值根据具体线型和试验确定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OPGW 含有光纤单元，机构设计需要同时关注外层线股、接触压力、弯曲和扭转影响。单档距验证只覆盖 Dock 到限定端点之间的标定路径，防振锤、接续管和标准悬垂结构等障碍逐项扩展，耐张塔和非标准金具不纳入第一代通用承诺。</w:t>
      </w:r>
    </w:p>
    <w:p>
      <w:pPr>
        <w:pStyle w:val="Heading2"/>
      </w:pPr>
      <w:r>
        <w:t>5.2 感知、能源与通信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编码器用于估计沿线位置，配合视觉标记或测距校正；Dock 设置对接标记和到位检测。检测时机器人停车并稳定姿态，导航图像和检查图像分开管理。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Dock 负责驻留、补能和通信转发，能源预算覆盖移动、检测、计算、通信、待机和安全返程储备。优先评估塔侧太阳能与储能，低辐照或低温条件下自动减少任务。通信采用小数据优先回传，图像和视频分级传输，断网时本地缓存。</w:t>
      </w:r>
    </w:p>
    <w:p>
      <w:pPr>
        <w:pStyle w:val="Heading2"/>
      </w:pPr>
      <w:r>
        <w:t>5.3 安全机制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平台只下发任务级指令，电机、制动、承载约束和硬件保护由本地控制器负责。失电时保持机械承载或安全制动；通信中断、定位异常、未知障碍和电量不足时，禁止开始新工具动作，按预案返回或安全驻停。所有动作留存设备身份、授权人、目标、时间和执行结果。</w:t>
      </w:r>
    </w:p>
    <w:p>
      <w:pPr>
        <w:pStyle w:val="Heading2"/>
      </w:pPr>
      <w:r>
        <w:t>5.4 产品组成与交付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1860"/>
        <w:gridCol w:w="3917"/>
        <w:gridCol w:w="4015"/>
      </w:tblGrid>
      <w:tr>
        <w:trPr>
          <w:cantSplit/>
          <w:tblHeader/>
        </w:trPr>
        <w:tc>
          <w:tcPr>
            <w:tcW w:type="dxa" w:w="1860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子系统</w:t>
            </w:r>
          </w:p>
        </w:tc>
        <w:tc>
          <w:tcPr>
            <w:tcW w:type="dxa" w:w="3917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主要组成</w:t>
            </w:r>
          </w:p>
        </w:tc>
        <w:tc>
          <w:tcPr>
            <w:tcW w:type="dxa" w:w="4015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交付内容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Robot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承载机构、驱动轮组、防脱与传感器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设备本体、配置和检测载荷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Dock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锁止机构、储能、通信和对接单元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塔侧节点、补能和状态接口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平台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任务、数据、告警和权限模块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管理页面、接口和审计记录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服务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安装、巡检、维护和救援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区段方案、运行台账和服务报告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产品交付不是单独出售一台机器人，而是围绕一个区段提供“设备 + 软件 + 运维服务”。首次部署前需要完成线路资料确认、安装位置评估、通信测试、救援预案和责任界面确认。</w:t>
      </w:r>
    </w:p>
    <w:p>
      <w:pPr>
        <w:pStyle w:val="Heading2"/>
      </w:pPr>
      <w:r>
        <w:t>5.5 部署与日常运维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部署流程包括区段勘察、线型和附件确认、Dock 安装、通信与补能测试、Robot 上线和基线采集。基线数据用于确定检测点、图像视角、可达范围和异常判定的起始状态。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运行中由平台安排周期任务并记录设备健康，服务人员按计划检查机械磨损、对接状态、能源和通信。机器人异常时优先进入安全驻停，再由远程人员判断是否可以恢复；需要现场处理时，按照预先确定的救援接口和责任分工执行。</w:t>
      </w:r>
    </w:p>
    <w:p>
      <w:bookmarkStart w:id="6" w:name="section_6"/>
      <w:pPr>
        <w:pStyle w:val="Heading1"/>
      </w:pPr>
      <w:r>
        <w:t>6 软件系统架构</w:t>
      </w:r>
      <w:bookmarkEnd w:id="6"/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管理平台采用 Java 与 Spring Boot 的模块化单体，分为设备管理、任务调度、检测采集、诊断分析、告警响应、轻维护授权和数据存储等模块。机器人边缘程序负责路径执行、采集和缓存；设备网关负责消息转换；本地安全控制器负责实时运动和保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1860"/>
        <w:gridCol w:w="3917"/>
        <w:gridCol w:w="4015"/>
      </w:tblGrid>
      <w:tr>
        <w:trPr>
          <w:cantSplit/>
          <w:tblHeader/>
        </w:trPr>
        <w:tc>
          <w:tcPr>
            <w:tcW w:type="dxa" w:w="1860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模块</w:t>
            </w:r>
          </w:p>
        </w:tc>
        <w:tc>
          <w:tcPr>
            <w:tcW w:type="dxa" w:w="3917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主要职责</w:t>
            </w:r>
          </w:p>
        </w:tc>
        <w:tc>
          <w:tcPr>
            <w:tcW w:type="dxa" w:w="4015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关键数据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设备管理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注册设备、健康状态和配置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Robot、Dock、传感器状态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任务调度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创建、排序、下发和跟踪任务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任务单、优先级、执行进度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检测采集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接收图像、传感数据和质量标记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检测记录、位置、时间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诊断分析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关联历史记录并生成建议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部件档案、趋势、人工结论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告警响应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合并外部告警并触发复核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告警、应急任务、升级记录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权限审计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控制人工确认和工具授权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操作人、授权、审计日志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6480" cy="5222095"/>
            <wp:docPr id="1" name="Picture 1" descr="运维界面和外部告警接入 Java 管理平台，经网关连接机器人与 Dock；本地安全控制器控制轮组、制动和工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222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 1  LineGuard 软件系统逻辑架构</w:t>
      </w:r>
    </w:p>
    <w:p>
      <w:pPr>
        <w:pStyle w:val="Heading2"/>
      </w:pPr>
      <w:r>
        <w:t>6.1 任务与数据流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任务状态包括驻留、预检、巡检、等待确认、返回、对接补能和安全驻停。平台先生成任务，网关下发任务级指令，边缘程序执行并缓存结果，完成后把状态和检测数据上传平台。消息带有唯一编号、目标设备和有效期，重复消息不重复执行；重连后先同步任务状态，不能依据旧画面自动恢复工具动作。</w:t>
      </w:r>
    </w:p>
    <w:p>
      <w:pPr>
        <w:pStyle w:val="Heading2"/>
      </w:pPr>
      <w:r>
        <w:t>6.2 权限与数据管理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平台保存资产、任务、图像、视频、诊断建议和人工结论，形成可追溯记录。巡检人员可以创建和复核任务，检修负责人可以批准轻维护，设备管理员负责配置和故障处理；工具动作需要单独授权。数据按线路、设备和部件关联，既支持历史对比，也便于按任务导出服务报告。</w:t>
      </w:r>
    </w:p>
    <w:p>
      <w:bookmarkStart w:id="7" w:name="section_7"/>
      <w:pPr>
        <w:pStyle w:val="Heading1"/>
      </w:pPr>
      <w:r>
        <w:t>7 产品优势与竞争策略</w:t>
      </w:r>
      <w:bookmarkEnd w:id="7"/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LineGuard 的优势不在于单独发明“挂线机器人”或“自动充电”，而在于把特定场景、设备、平台和服务组合起来：</w:t>
      </w:r>
    </w:p>
    <w:p>
      <w:pPr>
        <w:ind w:left="216" w:hanging="216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1. 以人员到场成本和重复任务筛选部署区段，避免为了覆盖率盲目铺设设备。</w:t>
      </w:r>
    </w:p>
    <w:p>
      <w:pPr>
        <w:ind w:left="216" w:hanging="216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2. Robot、Dock 和平台共同承担任务、补能、数据和救援责任，形成完整服务单元。</w:t>
      </w:r>
    </w:p>
    <w:p>
      <w:pPr>
        <w:ind w:left="216" w:hanging="216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3. 围绕同一部件进行重复采集，形成可比较的历史数据，而不是只做一次性拍摄。</w:t>
      </w:r>
    </w:p>
    <w:p>
      <w:pPr>
        <w:ind w:left="216" w:hanging="216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4. 通过白名单和人工授权逐步加入轻维护，不把复杂维修能力一次性承诺给客户。</w:t>
      </w:r>
    </w:p>
    <w:p>
      <w:pPr>
        <w:ind w:left="216" w:hanging="216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5. 接入既有无人机、摄像头和在线监测结果，承担细部复核和有限执行，减少重复建设。</w:t>
      </w:r>
    </w:p>
    <w:p>
      <w:pPr>
        <w:pStyle w:val="Heading2"/>
      </w:pPr>
      <w:r>
        <w:t>7.1 竞争定位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1567"/>
        <w:gridCol w:w="2742"/>
        <w:gridCol w:w="2742"/>
        <w:gridCol w:w="2742"/>
      </w:tblGrid>
      <w:tr>
        <w:trPr>
          <w:cantSplit/>
          <w:tblHeader/>
        </w:trPr>
        <w:tc>
          <w:tcPr>
            <w:tcW w:type="dxa" w:w="1567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竞争对象</w:t>
            </w:r>
          </w:p>
        </w:tc>
        <w:tc>
          <w:tcPr>
            <w:tcW w:type="dxa" w:w="2742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强项</w:t>
            </w:r>
          </w:p>
        </w:tc>
        <w:tc>
          <w:tcPr>
            <w:tcW w:type="dxa" w:w="2742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不足</w:t>
            </w:r>
          </w:p>
        </w:tc>
        <w:tc>
          <w:tcPr>
            <w:tcW w:type="dxa" w:w="2742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LineGuard 的切入点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人工巡检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判断和维修能力全面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到场及高空作业成本高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减少重复到场，保留复杂处置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无人机与机巢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覆盖灵活、部署速度快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续航、天气和接触能力受限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承接无人机发现后的近距任务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固定监测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可持续采集、维护频率低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观察点固定、难以移动操作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接入数据并补足移动能力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临时投送机器人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适合低频专用任务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每次任务需重新组织投送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在高频区段降低重复部署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产品竞争策略是先在结构相对明确、任务频率较高且人员进入成本较大的区段形成样板，再复制到相近线型和气候条件。若某区段只需要扩大视觉覆盖，优先采用无人机或固定监测；若常驻负担高于节省的现场工作，则不部署 LineGuard。</w:t>
      </w:r>
    </w:p>
    <w:p>
      <w:bookmarkStart w:id="8" w:name="section_8"/>
      <w:pPr>
        <w:pStyle w:val="Heading1"/>
      </w:pPr>
      <w:r>
        <w:t>8 商业模式与客户价值</w:t>
      </w:r>
      <w:bookmarkEnd w:id="8"/>
    </w:p>
    <w:p>
      <w:pPr>
        <w:pStyle w:val="Heading2"/>
      </w:pPr>
      <w:r>
        <w:t>8.1 收费模式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第一选择是 RaaS：客户按覆盖区段购买年度运维服务，服务包括 Robot、Dock、平台、通信、日常维护、软件升级和设备救援。备选方式是设备采购加年度维保。具体价格根据设备成本、安装难度、维护频率、救援责任和客户采购习惯确定。</w:t>
      </w:r>
    </w:p>
    <w:p>
      <w:pPr>
        <w:pStyle w:val="Heading2"/>
      </w:pPr>
      <w:r>
        <w:t>8.2 客户价值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客户价值主要来自减少重复到场、缩短异常确认时间和降低高空暴露。评估时按完整任务成本计算人员、车辆、设备转运、现场部署和撤收，同时扣除机器人维护、能源、通信和救援成本。只有“减少的现场成本”大于“新增的系统成本”，常驻部署才具有经济性。</w:t>
      </w:r>
    </w:p>
    <w:p>
      <w:pPr>
        <w:pStyle w:val="Heading2"/>
      </w:pPr>
      <w:r>
        <w:t>8.3 市场进入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第一步选择一个任务记录清晰、线路结构明确、救援条件可落实的试点区段；第二步比较部署前后的任务完成率、到场次数、告警确认时间、图像可判读率、故障次数和全生命周期成本；第三步复制到结构和环境相近的区段。试点期间保留原有巡检和应急制度，机器人作为辅助系统运行。</w:t>
      </w:r>
    </w:p>
    <w:p>
      <w:pPr>
        <w:pStyle w:val="Heading2"/>
      </w:pPr>
      <w:r>
        <w:t>8.4 服务交付与成本结构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客户购买的不只是设备，而是一个可持续运行的区段服务。服务方需要承担设备安装、软件维护、数据管理、定期检查、故障救援和版本升级。成本主要由 Robot 与 Dock、通信与能源、现场施工、日常维护、备件和人员服务组成。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2350"/>
        <w:gridCol w:w="7442"/>
      </w:tblGrid>
      <w:tr>
        <w:trPr>
          <w:cantSplit/>
          <w:tblHeader/>
        </w:trPr>
        <w:tc>
          <w:tcPr>
            <w:tcW w:type="dxa" w:w="2350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客户关心的结果</w:t>
            </w:r>
          </w:p>
        </w:tc>
        <w:tc>
          <w:tcPr>
            <w:tcW w:type="dxa" w:w="7442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对应证明方式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少派一次现场任务</w:t>
            </w:r>
          </w:p>
        </w:tc>
        <w:tc>
          <w:tcPr>
            <w:tcW w:type="dxa" w:w="7442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对比部署前后的完整任务台账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更快确认异常</w:t>
            </w:r>
          </w:p>
        </w:tc>
        <w:tc>
          <w:tcPr>
            <w:tcW w:type="dxa" w:w="74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记录告警到人工结论的时间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不增加线路风险</w:t>
            </w:r>
          </w:p>
        </w:tc>
        <w:tc>
          <w:tcPr>
            <w:tcW w:type="dxa" w:w="74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记录停机、救援和线缆检查结果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长期运行可管理</w:t>
            </w:r>
          </w:p>
        </w:tc>
        <w:tc>
          <w:tcPr>
            <w:tcW w:type="dxa" w:w="74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统计维护次数、故障原因和恢复时间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服务价格、毛利和回本周期需要建立在供应商报价与真实任务数据之上，不在没有试点依据时给出精确财务预测。</w:t>
      </w:r>
    </w:p>
    <w:p>
      <w:pPr>
        <w:pStyle w:val="Heading2"/>
      </w:pPr>
      <w:r>
        <w:t>8.5 客户采购与合作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输电运维属于强安全、强责任行业，客户决策通常不会只依据一次设备演示。项目需要与客户共同确定适用区段、任务清单、数据权限、现场安全要求和验收指标，再以小规模试点进入采购流程。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合作方包括线路运检单位、机器人及传感器供应商、通信与能源服务商，以及具备安装和救援资质的现场团队。LineGuard 负责产品集成、软件平台和服务标准，专业合作方负责其资质范围内的安装、检测与现场作业。</w:t>
      </w:r>
    </w:p>
    <w:p>
      <w:bookmarkStart w:id="9" w:name="section_9"/>
      <w:pPr>
        <w:pStyle w:val="Heading1"/>
      </w:pPr>
      <w:r>
        <w:t>9 实施路线与首阶段计划</w:t>
      </w:r>
      <w:bookmarkEnd w:id="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1860"/>
        <w:gridCol w:w="3917"/>
        <w:gridCol w:w="4015"/>
      </w:tblGrid>
      <w:tr>
        <w:trPr>
          <w:cantSplit/>
          <w:tblHeader/>
        </w:trPr>
        <w:tc>
          <w:tcPr>
            <w:tcW w:type="dxa" w:w="1860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阶段</w:t>
            </w:r>
          </w:p>
        </w:tc>
        <w:tc>
          <w:tcPr>
            <w:tcW w:type="dxa" w:w="3917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重点任务</w:t>
            </w:r>
          </w:p>
        </w:tc>
        <w:tc>
          <w:tcPr>
            <w:tcW w:type="dxa" w:w="4015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主要产出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第一阶段 单档距闭环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行走、拍摄、上传、返回、异常处理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需求、状态模型、软件原型和验证记录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第二阶段 指定越障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验证防振锤、接续管等典型附件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适配清单和越障测试记录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第三阶段 长期驻留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Dock 补能、自动任务、健康管理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连续运行和维护数据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第四阶段 轻维护工具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传感器部署和限定简单操作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工具白名单、授权流程和安全记录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第五阶段 多节点服务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区段协同、告警分配和服务管理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节点网络与规模化成本模型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pPr>
        <w:pStyle w:val="Heading2"/>
      </w:pPr>
      <w:r>
        <w:t>9.1 首阶段交付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首阶段的最小闭环包括：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- 设备注册、健康检查和任务创建；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- 单档距路径模拟或非带电试验架行走；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- 定点 RGB 图像采集、上传和对象关联；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- 低电量、断网、重复指令和未知障碍处理；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- 人工复核、任务留痕和安全返回。</w:t>
      </w:r>
    </w:p>
    <w:p>
      <w:pPr>
        <w:pStyle w:val="Heading2"/>
      </w:pPr>
      <w:r>
        <w:t>9.2 验证指标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1860"/>
        <w:gridCol w:w="3917"/>
        <w:gridCol w:w="4015"/>
      </w:tblGrid>
      <w:tr>
        <w:trPr>
          <w:cantSplit/>
          <w:tblHeader/>
        </w:trPr>
        <w:tc>
          <w:tcPr>
            <w:tcW w:type="dxa" w:w="1860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验证对象</w:t>
            </w:r>
          </w:p>
        </w:tc>
        <w:tc>
          <w:tcPr>
            <w:tcW w:type="dxa" w:w="3917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观察内容</w:t>
            </w:r>
          </w:p>
        </w:tc>
        <w:tc>
          <w:tcPr>
            <w:tcW w:type="dxa" w:w="4015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达成表现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任务闭环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出发、采集、上传、返回和驻留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每个状态有明确记录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数据质量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图像、位置、时间和对象关联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缺失数据被标记并可重采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异常处理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断网、低电量、重复指令和障碍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不重复执行，能返回或驻停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人工授权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无授权、过期授权和有效授权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只有有效授权才进入工具流程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可追溯性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任务、告警、结论和设备日志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能还原一次完整任务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验证重点是证明软件流程和产品逻辑闭环，而不是用少量演示替代长期户外可靠性验证。硬件条件不足时，使用设备模拟器完成状态和数据流程，机械能力单独标注为待验证。</w:t>
      </w:r>
    </w:p>
    <w:p>
      <w:pPr>
        <w:pStyle w:val="Heading2"/>
      </w:pPr>
      <w:r>
        <w:t>9.3 实施安排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首阶段可按四个工作包推进：第一阶段冻结场景、对象和任务状态；第二阶段完成 Robot、Dock 和平台接口设计；第三阶段打通任务、采集、上传和异常处理；第四阶段完成验证记录、演示材料和下一阶段方案。各工作包既有明确产出，也为后续真实设备接入保留接口。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1860"/>
        <w:gridCol w:w="3917"/>
        <w:gridCol w:w="4015"/>
      </w:tblGrid>
      <w:tr>
        <w:trPr>
          <w:cantSplit/>
          <w:tblHeader/>
        </w:trPr>
        <w:tc>
          <w:tcPr>
            <w:tcW w:type="dxa" w:w="1860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工作包</w:t>
            </w:r>
          </w:p>
        </w:tc>
        <w:tc>
          <w:tcPr>
            <w:tcW w:type="dxa" w:w="3917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主要工作</w:t>
            </w:r>
          </w:p>
        </w:tc>
        <w:tc>
          <w:tcPr>
            <w:tcW w:type="dxa" w:w="4015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输出物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需求与场景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明确区段、角色、任务和边界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需求清单、业务流程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产品与架构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完成 Robot、Dock 和平台设计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产品方案、系统架构图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闭环实现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完成模拟器、任务和数据流程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可运行原型、演示脚本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验证与迭代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注入异常并整理结果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验证报告、下一阶段计划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bookmarkStart w:id="10" w:name="section_10"/>
      <w:pPr>
        <w:pStyle w:val="Heading1"/>
      </w:pPr>
      <w:r>
        <w:t>10 风险、边界与投资逻辑</w:t>
      </w:r>
      <w:bookmarkEnd w:id="10"/>
    </w:p>
    <w:p>
      <w:pPr>
        <w:pStyle w:val="Heading2"/>
      </w:pPr>
      <w:r>
        <w:t>10.1 主要风险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项目风险集中在机械可达性、长期可用性、现场安全和商业经济性四个方面。首阶段通过缩小适配范围和建立明确的停止条件，把风险控制在可验证的任务内。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2056"/>
        <w:gridCol w:w="3819"/>
        <w:gridCol w:w="3917"/>
      </w:tblGrid>
      <w:tr>
        <w:trPr>
          <w:cantSplit/>
          <w:tblHeader/>
        </w:trPr>
        <w:tc>
          <w:tcPr>
            <w:tcW w:type="dxa" w:w="2056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风险</w:t>
            </w:r>
          </w:p>
        </w:tc>
        <w:tc>
          <w:tcPr>
            <w:tcW w:type="dxa" w:w="3819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影响</w:t>
            </w:r>
          </w:p>
        </w:tc>
        <w:tc>
          <w:tcPr>
            <w:tcW w:type="dxa" w:w="3917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应对方向</w:t>
            </w:r>
          </w:p>
        </w:tc>
      </w:tr>
      <w:tr>
        <w:trPr>
          <w:cantSplit/>
        </w:trPr>
        <w:tc>
          <w:tcPr>
            <w:tcW w:type="dxa" w:w="2056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越障或承载不足</w:t>
            </w:r>
          </w:p>
        </w:tc>
        <w:tc>
          <w:tcPr>
            <w:tcW w:type="dxa" w:w="3819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目标不可达、设备卡滞或线路受损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先做单一线型，建立障碍白名单和救援接口</w:t>
            </w:r>
          </w:p>
        </w:tc>
      </w:tr>
      <w:tr>
        <w:trPr>
          <w:cantSplit/>
        </w:trPr>
        <w:tc>
          <w:tcPr>
            <w:tcW w:type="dxa" w:w="2056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能源与通信不稳定</w:t>
            </w:r>
          </w:p>
        </w:tc>
        <w:tc>
          <w:tcPr>
            <w:tcW w:type="dxa" w:w="3819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任务中断、状态不明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本地缓存和安全驻停，按季节核算补能</w:t>
            </w:r>
          </w:p>
        </w:tc>
      </w:tr>
      <w:tr>
        <w:trPr>
          <w:cantSplit/>
        </w:trPr>
        <w:tc>
          <w:tcPr>
            <w:tcW w:type="dxa" w:w="2056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极端环境影响</w:t>
            </w:r>
          </w:p>
        </w:tc>
        <w:tc>
          <w:tcPr>
            <w:tcW w:type="dxa" w:w="3819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风振、覆冰、雷电导致无法出勤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设置运行窗口，异常时提前返回或锁止</w:t>
            </w:r>
          </w:p>
        </w:tc>
      </w:tr>
      <w:tr>
        <w:trPr>
          <w:cantSplit/>
        </w:trPr>
        <w:tc>
          <w:tcPr>
            <w:tcW w:type="dxa" w:w="2056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检测和算法误判</w:t>
            </w:r>
          </w:p>
        </w:tc>
        <w:tc>
          <w:tcPr>
            <w:tcW w:type="dxa" w:w="3819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漏检、误派遣或错误操作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保留原始数据，低置信度转人工复核</w:t>
            </w:r>
          </w:p>
        </w:tc>
      </w:tr>
      <w:tr>
        <w:trPr>
          <w:cantSplit/>
        </w:trPr>
        <w:tc>
          <w:tcPr>
            <w:tcW w:type="dxa" w:w="2056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维护成本过高</w:t>
            </w:r>
          </w:p>
        </w:tc>
        <w:tc>
          <w:tcPr>
            <w:tcW w:type="dxa" w:w="3819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常驻收益被设备维护抵消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试点统计维护、救援和全生命周期成本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pPr>
        <w:pStyle w:val="Heading2"/>
      </w:pPr>
      <w:r>
        <w:t>10.2 产品边界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第一代只面向已筛选区段，不适配所有塔型、金具和线径；不承诺覆盖几十公里，不直接进行复杂相导线维修，不更换大型部件，不在强风、雷暴和严重覆冰时强制出勤。LineGuard 不替代人工、无人机或在线监测，而是补足远程发现之后的近距离复核和有限操作。</w:t>
      </w:r>
    </w:p>
    <w:p>
      <w:pPr>
        <w:pStyle w:val="Heading2"/>
      </w:pPr>
      <w:r>
        <w:t>10.3 投资逻辑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项目的价值判断取决于四个问题：目标区段是否存在高频且高到场成本的任务；机器人是否能在限定条件下稳定完成任务；常驻后的维护和救援负担是否低于减少的现场工作；客户是否愿意按服务结果付费。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如果首阶段验证成功，后续投入优先用于可靠挂线机构、Dock 对接、能源管理、故障救援、长期数据和一个高价值轻维护工具。多节点平台、复杂工具和大范围市场扩张，建立在单节点价值被证明之后。</w:t>
      </w:r>
    </w:p>
    <w:p>
      <w:pPr>
        <w:pStyle w:val="Heading2"/>
      </w:pPr>
      <w:r>
        <w:t>10.4 关键假设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1860"/>
        <w:gridCol w:w="3917"/>
        <w:gridCol w:w="4015"/>
      </w:tblGrid>
      <w:tr>
        <w:trPr>
          <w:cantSplit/>
          <w:tblHeader/>
        </w:trPr>
        <w:tc>
          <w:tcPr>
            <w:tcW w:type="dxa" w:w="1860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假设</w:t>
            </w:r>
          </w:p>
        </w:tc>
        <w:tc>
          <w:tcPr>
            <w:tcW w:type="dxa" w:w="3917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验证方式</w:t>
            </w:r>
          </w:p>
        </w:tc>
        <w:tc>
          <w:tcPr>
            <w:tcW w:type="dxa" w:w="4015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可能结论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目标区段存在重复近距任务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客户访谈和历史台账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确定首批场景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单档距能够稳定往返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试验架或受控户外测试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确定机械适配范围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Dock 能长期补能与通信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能源、通信和对接测试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确定驻留可行性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救援不会抵消节省量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故障演练和成本核算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决定是否扩大部署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数据能提高人工判断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对比复核前后结论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确定检测和诊断价值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客户愿意按服务采购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访谈、报价和试点谈判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确定收费模式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pPr>
        <w:pStyle w:val="Heading2"/>
      </w:pPr>
      <w:r>
        <w:t>10.5 资源投入方向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项目早期资源优先投向可靠挂线机构、Dock 对接和补能、设备网关与任务平台、故障救援方案以及首个试点区段。暂不把投入分散到复杂机械臂、全线覆盖和多种检测载荷上，先让一个小范围服务单元证明客户价值。</w:t>
      </w:r>
    </w:p>
    <w:p>
      <w:bookmarkStart w:id="11" w:name="section_11"/>
      <w:pPr>
        <w:pStyle w:val="Heading1"/>
      </w:pPr>
      <w:r>
        <w:t>11 阶段性结论</w:t>
      </w:r>
      <w:bookmarkEnd w:id="11"/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LineGuard 用 Robot、Dock 和管理平台组成一个面向偏远难达输电区段的常驻式运维单元。它的核心不是替代全部人工，而是把重复近距检查和有限物理能力提前部署到现场，让人员派遣建立在更充分的证据上。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项目首阶段先完成单档距巡检、数据回传、异常处理和安全返回，形成可演示、可测试、可迭代的软件与设备方案。只有在机械可靠性、维护救援负担和客户经济性得到验证后，才进入长期驻留、轻维护和多节点服务。</w:t>
      </w:r>
    </w:p>
    <w:p>
      <w:bookmarkStart w:id="12" w:name="section_12"/>
      <w:pPr>
        <w:pStyle w:val="Heading1"/>
      </w:pPr>
      <w:r>
        <w:t>附录 A 项目一句话介绍</w:t>
      </w:r>
      <w:bookmarkEnd w:id="12"/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LineGuard 为人员难达输电区段提供常驻巡检与有限轻维护，减少运维人员反复到场。</w:t>
      </w:r>
    </w:p>
    <w:p>
      <w:bookmarkStart w:id="13" w:name="section_13"/>
      <w:pPr>
        <w:pStyle w:val="Heading1"/>
      </w:pPr>
      <w:r>
        <w:t>附录 B 三十秒路演介绍</w:t>
      </w:r>
      <w:bookmarkEnd w:id="13"/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偏远输电线路发现异常后，专业人员常需携带设备进入现场，才能近距离确认或进行简单处理。LineGuard 计划把机器人提前部署在地线或 OPGW 上，由塔侧节点补能，远程完成重复检测，并在人工确认后执行限定轻维护。我们先验证单档距巡检、数据回传和安全返回，再扩展长期驻留与工具能力。客户购买的是面向高风险区段的运维服务，价值通过减少到场次数、缩短确认时间和降低综合成本来验证。</w:t>
      </w:r>
    </w:p>
    <w:p>
      <w:bookmarkStart w:id="14" w:name="section_14"/>
      <w:pPr>
        <w:pStyle w:val="Heading1"/>
      </w:pPr>
      <w:r>
        <w:t>附录 C 项目五大卖点</w:t>
      </w:r>
      <w:bookmarkEnd w:id="14"/>
    </w:p>
    <w:p>
      <w:pPr>
        <w:ind w:left="216" w:hanging="216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1. 常驻巡检：在已部署区段按任务出勤，减少重复运输和现场部署。</w:t>
      </w:r>
    </w:p>
    <w:p>
      <w:pPr>
        <w:ind w:left="216" w:hanging="216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2. 近距离检测：为远程复核提供更细部、更连续的现场数据。</w:t>
      </w:r>
    </w:p>
    <w:p>
      <w:pPr>
        <w:ind w:left="216" w:hanging="216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3. 健康档案：围绕同一部件积累可比较的历史记录。</w:t>
      </w:r>
    </w:p>
    <w:p>
      <w:pPr>
        <w:ind w:left="216" w:hanging="216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4. 有限轻维护：通过白名单和人工授权逐步增加物理操作能力。</w:t>
      </w:r>
    </w:p>
    <w:p>
      <w:pPr>
        <w:ind w:left="216" w:hanging="216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5. 服务化交付：把设备、平台、维护和救援纳入同一运维服务。</w:t>
      </w:r>
    </w:p>
    <w:p>
      <w:bookmarkStart w:id="15" w:name="section_15"/>
      <w:pPr>
        <w:pStyle w:val="Heading1"/>
      </w:pPr>
      <w:r>
        <w:t>附录 D 投资人可能提出的六个问题</w:t>
      </w:r>
      <w:bookmarkEnd w:id="15"/>
    </w:p>
    <w:p>
      <w:pPr>
        <w:pStyle w:val="Heading2"/>
      </w:pPr>
      <w:r>
        <w:t>1 无人机已经可以巡线 为什么还需要 LineGuard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无人机适合大范围取景；LineGuard 重点验证重复近距检查、接触检测和有限操作的额外价值。若某区段仅需要视觉覆盖，就不应部署常驻机器人。</w:t>
      </w:r>
    </w:p>
    <w:p>
      <w:pPr>
        <w:pStyle w:val="Heading2"/>
      </w:pPr>
      <w:r>
        <w:t>2 常驻和自动补能是否已经有人做过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相关方向并非空白。项目不把单一结构包装成独家发明，而是通过特定线型适配、可靠对接、故障救援、数据连续性和服务成本形成竞争力。</w:t>
      </w:r>
    </w:p>
    <w:p>
      <w:pPr>
        <w:pStyle w:val="Heading2"/>
      </w:pPr>
      <w:r>
        <w:t>3 机器人坏在线上怎么办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这是核心风险。设计中加入机械保持、防脱、状态上报和救援接口，并把救援成本纳入经济性测算；如果新增负担超过节省量，就调整部署场景。</w:t>
      </w:r>
    </w:p>
    <w:p>
      <w:pPr>
        <w:pStyle w:val="Heading2"/>
      </w:pPr>
      <w:r>
        <w:t>4 为什么第一代选择 OPGW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先限定运行对象可以降低机构和安全复杂度。第一代主要服务地线及附近可观测对象，复杂相导线接触维修不在范围内。</w:t>
      </w:r>
    </w:p>
    <w:p>
      <w:pPr>
        <w:pStyle w:val="Heading2"/>
      </w:pPr>
      <w:r>
        <w:t>5 什么时候能称为预测性维护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需要连续、可比的数据以及可信的故障标签。前期先建立健康档案和趋势展示，不直接承诺寿命预测准确率。</w:t>
      </w:r>
    </w:p>
    <w:p>
      <w:pPr>
        <w:pStyle w:val="Heading2"/>
      </w:pPr>
      <w:r>
        <w:t>6 项目下一步最重要的验证是什么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不是继续增加功能，而是验证单档距内能否稳定行走、完成采集、可靠返回，并确认设备维护和救援负担不会抵消客户价值。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i w:val="0"/>
        <w:color w:val="000000"/>
        <w:sz w:val="18"/>
      </w:rPr>
      <w:t xml:space="preserve">第 </w:t>
    </w:r>
    <w:fldSimple w:instr="PAGE"/>
    <w:r>
      <w:rPr>
        <w:rFonts w:ascii="宋体" w:hAnsi="宋体" w:eastAsia="宋体" w:cs="宋体"/>
        <w:b w:val="0"/>
        <w:i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 w:cs="微软雅黑"/>
        <w:b w:val="0"/>
        <w:i w:val="0"/>
        <w:color w:val="000000"/>
        <w:sz w:val="16"/>
      </w:rPr>
      <w:t>LineGuard  项目计划书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20"/>
    </w:pPr>
    <w:rPr>
      <w:rFonts w:ascii="宋体" w:hAnsi="宋体" w:eastAsia="宋体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76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 w:line="276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40" w:line="276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i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LineGuard 项目计划书 V1.0</dc:title>
  <dc:subject>偏远难达地区架空输电线路常驻式智能运维机器人系统</dc:subject>
  <dc:creator>LineGuard 项目组</dc:creator>
  <cp:keywords>工业机器人,输电运维,OPGW,Java,智能巡检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