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after="440"/>
      </w:pPr>
      <w:r>
        <w:rPr>
          <w:rFonts w:ascii="微软雅黑" w:hAnsi="微软雅黑" w:eastAsia="微软雅黑" w:cs="微软雅黑"/>
          <w:b/>
          <w:i w:val="0"/>
          <w:color w:val="000000"/>
          <w:sz w:val="72"/>
        </w:rPr>
        <w:t>LineGuard</w:t>
      </w:r>
    </w:p>
    <w:p>
      <w:pPr>
        <w:pStyle w:val="Title"/>
        <w:spacing w:after="440"/>
      </w:pPr>
      <w:r>
        <w:rPr>
          <w:rFonts w:ascii="微软雅黑" w:hAnsi="微软雅黑" w:eastAsia="微软雅黑" w:cs="微软雅黑"/>
          <w:b/>
          <w:i w:val="0"/>
          <w:color w:val="000000"/>
          <w:sz w:val="50"/>
        </w:rPr>
        <w:t>项目计划书 V2.0</w:t>
      </w:r>
    </w:p>
    <w:p>
      <w:pPr>
        <w:pStyle w:val="Subtitle"/>
        <w:spacing w:line="312" w:lineRule="auto" w:after="600"/>
      </w:pPr>
      <w:r>
        <w:rPr>
          <w:rFonts w:ascii="微软雅黑" w:hAnsi="微软雅黑" w:eastAsia="微软雅黑" w:cs="微软雅黑"/>
          <w:b w:val="0"/>
          <w:i w:val="0"/>
          <w:color w:val="000000"/>
          <w:sz w:val="36"/>
        </w:rPr>
        <w:t>偏远难达地区架空输电线路</w:t>
        <w:br/>
        <w:t>常驻式智能运维机器人系统</w:t>
      </w:r>
    </w:p>
    <w:p>
      <w:r>
        <w:rPr>
          <w:rFonts w:ascii="宋体" w:hAnsi="宋体" w:eastAsia="宋体" w:cs="宋体"/>
          <w:b w:val="0"/>
          <w:i w:val="0"/>
          <w:color w:val="000000"/>
          <w:sz w:val="22"/>
        </w:rPr>
        <w:t>项目定位  架空输电线路常驻式近距巡检系统</w:t>
      </w:r>
    </w:p>
    <w:p>
      <w:r>
        <w:rPr>
          <w:rFonts w:ascii="宋体" w:hAnsi="宋体" w:eastAsia="宋体" w:cs="宋体"/>
          <w:b w:val="0"/>
          <w:i w:val="0"/>
          <w:color w:val="000000"/>
          <w:sz w:val="22"/>
        </w:rPr>
        <w:t>产品阶段  单档距核心闭环验证</w:t>
      </w:r>
    </w:p>
    <w:p>
      <w:r>
        <w:rPr>
          <w:rFonts w:ascii="宋体" w:hAnsi="宋体" w:eastAsia="宋体" w:cs="宋体"/>
          <w:b w:val="0"/>
          <w:i w:val="0"/>
          <w:color w:val="000000"/>
          <w:sz w:val="22"/>
        </w:rPr>
        <w:t>版本日期  2026 年 9 月 10 日</w:t>
      </w:r>
    </w:p>
    <w:p>
      <w:pPr>
        <w:spacing w:before="520"/>
      </w:pPr>
      <w:r>
        <w:rPr>
          <w:rFonts w:ascii="宋体" w:hAnsi="宋体" w:eastAsia="宋体" w:cs="宋体"/>
          <w:b w:val="0"/>
          <w:i w:val="0"/>
          <w:color w:val="000000"/>
          <w:sz w:val="22"/>
        </w:rPr>
        <w:t>这个项目的起点是一次很具体的对话。我们问了几位做线路运维的工程师同一个问题："发现一个疑似断股，你多久能到现场看清？"答案通常是当天不行，最快第二天，遇到山区道路受阻就说不准。无人机和在线监测已经能告诉他们"这里可能有问题"，但从"可能"到"看清"，中间仍然要有人上山。</w:t>
      </w:r>
    </w:p>
    <w:p>
      <w:r>
        <w:rPr>
          <w:rFonts w:ascii="宋体" w:hAnsi="宋体" w:eastAsia="宋体" w:cs="宋体"/>
          <w:b w:val="0"/>
          <w:i w:val="0"/>
          <w:color w:val="000000"/>
          <w:sz w:val="22"/>
        </w:rPr>
        <w:t>LineGuard 想补的就是这一段。系统把机器人长期部署在架空地线或 OPGW 上，收到任务后自主抵达检测位置，采集近距离图像和设备状态，上传结果并安全返回驻留节点。</w:t>
      </w:r>
    </w:p>
    <w:p>
      <w:r>
        <w:br w:type="page"/>
      </w:r>
    </w:p>
    <w:p>
      <w:pPr>
        <w:pStyle w:val="Heading1"/>
        <w:spacing w:before="0"/>
      </w:pPr>
      <w:r>
        <w:t>目录</w:t>
      </w:r>
    </w:p>
    <w:p>
      <w:pPr>
        <w:spacing w:after="80" w:line="240" w:lineRule="auto"/>
      </w:pPr>
      <w:hyperlink w:anchor="section_1">
        <w:r>
          <w:rPr>
            <w:color w:val="000000"/>
            <w:rFonts w:ascii="宋体" w:hAnsi="宋体" w:eastAsia="宋体" w:cs="宋体"/>
            <w:sz w:val="21"/>
          </w:rPr>
          <w:t>1 项目摘要</w:t>
        </w:r>
      </w:hyperlink>
    </w:p>
    <w:p>
      <w:pPr>
        <w:spacing w:after="80" w:line="240" w:lineRule="auto"/>
      </w:pPr>
      <w:hyperlink w:anchor="section_2">
        <w:r>
          <w:rPr>
            <w:color w:val="000000"/>
            <w:rFonts w:ascii="宋体" w:hAnsi="宋体" w:eastAsia="宋体" w:cs="宋体"/>
            <w:sz w:val="21"/>
          </w:rPr>
          <w:t>2 问题、目标与边界</w:t>
        </w:r>
      </w:hyperlink>
    </w:p>
    <w:p>
      <w:pPr>
        <w:spacing w:after="80" w:line="240" w:lineRule="auto"/>
      </w:pPr>
      <w:hyperlink w:anchor="section_3">
        <w:r>
          <w:rPr>
            <w:color w:val="000000"/>
            <w:rFonts w:ascii="宋体" w:hAnsi="宋体" w:eastAsia="宋体" w:cs="宋体"/>
            <w:sz w:val="21"/>
          </w:rPr>
          <w:t>3 市场、客户与单位经济性</w:t>
        </w:r>
      </w:hyperlink>
    </w:p>
    <w:p>
      <w:pPr>
        <w:spacing w:after="80" w:line="240" w:lineRule="auto"/>
      </w:pPr>
      <w:hyperlink w:anchor="section_4">
        <w:r>
          <w:rPr>
            <w:color w:val="000000"/>
            <w:rFonts w:ascii="宋体" w:hAnsi="宋体" w:eastAsia="宋体" w:cs="宋体"/>
            <w:sz w:val="21"/>
          </w:rPr>
          <w:t>4 核心功能闭环</w:t>
        </w:r>
      </w:hyperlink>
    </w:p>
    <w:p>
      <w:pPr>
        <w:spacing w:after="80" w:line="240" w:lineRule="auto"/>
      </w:pPr>
      <w:hyperlink w:anchor="section_5">
        <w:r>
          <w:rPr>
            <w:color w:val="000000"/>
            <w:rFonts w:ascii="宋体" w:hAnsi="宋体" w:eastAsia="宋体" w:cs="宋体"/>
            <w:sz w:val="21"/>
          </w:rPr>
          <w:t>5 应用场景与系统组成</w:t>
        </w:r>
      </w:hyperlink>
    </w:p>
    <w:p>
      <w:pPr>
        <w:spacing w:after="80" w:line="240" w:lineRule="auto"/>
      </w:pPr>
      <w:hyperlink w:anchor="section_6">
        <w:r>
          <w:rPr>
            <w:color w:val="000000"/>
            <w:rFonts w:ascii="宋体" w:hAnsi="宋体" w:eastAsia="宋体" w:cs="宋体"/>
            <w:sz w:val="21"/>
          </w:rPr>
          <w:t>6 关键技术方案</w:t>
        </w:r>
      </w:hyperlink>
    </w:p>
    <w:p>
      <w:pPr>
        <w:spacing w:after="80" w:line="240" w:lineRule="auto"/>
      </w:pPr>
      <w:hyperlink w:anchor="section_7">
        <w:r>
          <w:rPr>
            <w:color w:val="000000"/>
            <w:rFonts w:ascii="宋体" w:hAnsi="宋体" w:eastAsia="宋体" w:cs="宋体"/>
            <w:sz w:val="21"/>
          </w:rPr>
          <w:t>7 软件系统架构</w:t>
        </w:r>
      </w:hyperlink>
    </w:p>
    <w:p>
      <w:pPr>
        <w:spacing w:after="80" w:line="240" w:lineRule="auto"/>
      </w:pPr>
      <w:hyperlink w:anchor="section_8">
        <w:r>
          <w:rPr>
            <w:color w:val="000000"/>
            <w:rFonts w:ascii="宋体" w:hAnsi="宋体" w:eastAsia="宋体" w:cs="宋体"/>
            <w:sz w:val="21"/>
          </w:rPr>
          <w:t>8 第一阶段实施方案与验收</w:t>
        </w:r>
      </w:hyperlink>
    </w:p>
    <w:p>
      <w:pPr>
        <w:spacing w:after="80" w:line="240" w:lineRule="auto"/>
      </w:pPr>
      <w:hyperlink w:anchor="section_9">
        <w:r>
          <w:rPr>
            <w:color w:val="000000"/>
            <w:rFonts w:ascii="宋体" w:hAnsi="宋体" w:eastAsia="宋体" w:cs="宋体"/>
            <w:sz w:val="21"/>
          </w:rPr>
          <w:t>9 风险与取舍</w:t>
        </w:r>
      </w:hyperlink>
    </w:p>
    <w:p>
      <w:pPr>
        <w:spacing w:after="80" w:line="240" w:lineRule="auto"/>
      </w:pPr>
      <w:hyperlink w:anchor="section_10">
        <w:r>
          <w:rPr>
            <w:color w:val="000000"/>
            <w:rFonts w:ascii="宋体" w:hAnsi="宋体" w:eastAsia="宋体" w:cs="宋体"/>
            <w:sz w:val="21"/>
          </w:rPr>
          <w:t>10 项目价值与发展方向</w:t>
        </w:r>
      </w:hyperlink>
    </w:p>
    <w:p>
      <w:pPr>
        <w:spacing w:after="80" w:line="240" w:lineRule="auto"/>
      </w:pPr>
      <w:hyperlink w:anchor="section_11">
        <w:r>
          <w:rPr>
            <w:color w:val="000000"/>
            <w:rFonts w:ascii="宋体" w:hAnsi="宋体" w:eastAsia="宋体" w:cs="宋体"/>
            <w:sz w:val="21"/>
          </w:rPr>
          <w:t>附录 参考数据来源</w:t>
        </w:r>
      </w:hyperlink>
    </w:p>
    <w:p>
      <w:r>
        <w:br w:type="page"/>
      </w:r>
    </w:p>
    <w:p>
      <w:bookmarkStart w:id="1" w:name="section_1"/>
      <w:pPr>
        <w:pStyle w:val="Heading1"/>
      </w:pPr>
      <w:r>
        <w:t>1 项目摘要</w:t>
      </w:r>
      <w:bookmarkEnd w:id="1"/>
    </w:p>
    <w:p>
      <w:pPr>
        <w:jc w:val="both"/>
      </w:pPr>
      <w:r>
        <w:rPr>
          <w:rFonts w:ascii="宋体" w:hAnsi="宋体" w:eastAsia="宋体" w:cs="宋体"/>
          <w:b w:val="0"/>
          <w:i w:val="0"/>
          <w:color w:val="000000"/>
          <w:sz w:val="22"/>
        </w:rPr>
        <w:t>偏远输电区段已经可以使用无人机、固定摄像头和在线监测发现异常，但近距离确认仍可能需要专业人员携带设备进入现场。山地交通、装备转运、登塔准备和高空作业共同拉长了响应流程。LineGuard 将巡检设备预先部署在线路上，使运维人员能够先获得近距离证据，再决定是否组织现场检修。</w:t>
      </w:r>
    </w:p>
    <w:p>
      <w:pPr>
        <w:jc w:val="both"/>
      </w:pPr>
      <w:r>
        <w:rPr>
          <w:rFonts w:ascii="宋体" w:hAnsi="宋体" w:eastAsia="宋体" w:cs="宋体"/>
          <w:b w:val="0"/>
          <w:i w:val="0"/>
          <w:color w:val="000000"/>
          <w:sz w:val="22"/>
        </w:rPr>
        <w:t>全国 220 千伏及以上输电线路约 92 万公里（截至 2023 年底），其中相当比例位于车辆难以到达的山地。这部分线路的巡视成本主要由人的往返构成，而不由检测动作构成——这正是把设备留在现场能够改变的地方。本文的全部推演基于一个具体的示范场景：云岭示范区段，一条单档距 1000 米、带两个检测点的架空地线区段。</w:t>
      </w:r>
    </w:p>
    <w:p>
      <w:pPr>
        <w:jc w:val="both"/>
      </w:pPr>
      <w:r>
        <w:rPr>
          <w:rFonts w:ascii="宋体" w:hAnsi="宋体" w:eastAsia="宋体" w:cs="宋体"/>
          <w:b w:val="0"/>
          <w:i w:val="0"/>
          <w:color w:val="000000"/>
          <w:sz w:val="22"/>
        </w:rPr>
        <w:t>LineGuard V1 的核心功能只有一个：在限定单档距内，自主完成一次近距离巡检任务并安全返回。完整任务包括驻留待命、设备预检、沿线移动、定点停车、图像采集、结果上传、异常处理和返回对接。每个环节都记录状态，使任务结果可以复核。</w:t>
      </w:r>
    </w:p>
    <w:p>
      <w:pPr>
        <w:jc w:val="both"/>
      </w:pPr>
      <w:r>
        <w:rPr>
          <w:rFonts w:ascii="宋体" w:hAnsi="宋体" w:eastAsia="宋体" w:cs="宋体"/>
          <w:b w:val="0"/>
          <w:i w:val="0"/>
          <w:color w:val="000000"/>
          <w:sz w:val="22"/>
        </w:rPr>
        <w:t>系统由 LineGuard Robot、LineGuard Dock 和远程管理平台组成。Robot 负责移动和采集；Dock 负责驻留、补能、通信和对接；平台负责任务下发、状态展示、数据归档和人工确认。无人机继续承担通道及塔体的大范围巡查，人工负责安装、复杂维修和设备救援。</w:t>
      </w:r>
    </w:p>
    <w:p>
      <w:pPr>
        <w:jc w:val="both"/>
      </w:pPr>
      <w:r>
        <w:rPr>
          <w:rFonts w:ascii="宋体" w:hAnsi="宋体" w:eastAsia="宋体" w:cs="宋体"/>
          <w:b w:val="0"/>
          <w:i w:val="0"/>
          <w:color w:val="000000"/>
          <w:sz w:val="22"/>
        </w:rPr>
        <w:t>第一阶段的完成标志是一件很小的事：任务能够重复跑通，数据能支持人工复核，异常时机器人知道该停下、返回还是驻停。趋势诊断、轻维护工具、复杂越障和多节点协同都在这个基础之上。</w:t>
      </w:r>
    </w:p>
    <w:p>
      <w:bookmarkStart w:id="2" w:name="section_2"/>
      <w:pPr>
        <w:pStyle w:val="Heading1"/>
      </w:pPr>
      <w:r>
        <w:t>2 问题、目标与边界</w:t>
      </w:r>
      <w:bookmarkEnd w:id="2"/>
    </w:p>
    <w:p>
      <w:pPr>
        <w:pStyle w:val="Heading2"/>
      </w:pPr>
      <w:r>
        <w:t>2.1 需要解决的问题</w:t>
      </w:r>
    </w:p>
    <w:p>
      <w:pPr>
        <w:jc w:val="both"/>
      </w:pPr>
      <w:r>
        <w:rPr>
          <w:rFonts w:ascii="宋体" w:hAnsi="宋体" w:eastAsia="宋体" w:cs="宋体"/>
          <w:b w:val="0"/>
          <w:i w:val="0"/>
          <w:color w:val="000000"/>
          <w:sz w:val="22"/>
        </w:rPr>
        <w:t>偏远区段一次巡检任务的成本不只来自检测动作，还包括人员组织、车辆与设备运输、山地通行、现场部署、登塔和撤收。平台发现疑似异常后，如果缺少近距离图像，运维人员可能需要到场后才能判断问题是否真实、是否需要维修。LineGuard 把近距离巡检能力留在线路现场：发生异常时机器人从附近驻留点出发先完成细部复核，结果明确时直接形成观察或检修计划，结果不足时再安排无人机或人员补充检查。</w:t>
      </w:r>
    </w:p>
    <w:p>
      <w:pPr>
        <w:pStyle w:val="Heading2"/>
      </w:pPr>
      <w:r>
        <w:t>2.2 目标线路与使用者</w:t>
      </w:r>
    </w:p>
    <w:p>
      <w:pPr>
        <w:jc w:val="both"/>
      </w:pPr>
      <w:r>
        <w:rPr>
          <w:rFonts w:ascii="宋体" w:hAnsi="宋体" w:eastAsia="宋体" w:cs="宋体"/>
          <w:b w:val="0"/>
          <w:i w:val="0"/>
          <w:color w:val="000000"/>
          <w:sz w:val="22"/>
        </w:rPr>
        <w:t>项目首选 220 kV 及以上架空线路中的人员难达区段，重点关注山区、高海拔、跨谷、道路受限和灾后通行困难位置。第一代运行对象为一种明确规格的架空地线或 OPGW，检测对象以地线表面、附件和视野内金具为主。</w:t>
      </w:r>
    </w:p>
    <w:p>
      <w:pPr>
        <w:jc w:val="both"/>
      </w:pPr>
      <w:r>
        <w:rPr>
          <w:rFonts w:ascii="宋体" w:hAnsi="宋体" w:eastAsia="宋体" w:cs="宋体"/>
          <w:b w:val="0"/>
          <w:i w:val="0"/>
          <w:color w:val="000000"/>
          <w:sz w:val="22"/>
        </w:rPr>
        <w:t>直接使用者包括巡检人员、状态评价人员、检修负责人和设备管理员：巡检人员创建任务并查看图像，状态评价人员结合历史记录判断异常，检修负责人决定是否派人，设备管理员关注 Robot 与 Dock 的运行状态。采购与运维由省检修公司或地市运检部门承担，因此项目需要说服的实际上是设备管理员与检修负责人——前者关心设备可靠性和运维工作量，后者关心"拿到这张图之后能不能少派一次人"。</w:t>
      </w:r>
    </w:p>
    <w:p>
      <w:pPr>
        <w:pStyle w:val="Heading2"/>
      </w:pPr>
      <w:r>
        <w:t>2.3 项目目标</w:t>
      </w:r>
    </w:p>
    <w:p>
      <w:pPr>
        <w:jc w:val="both"/>
      </w:pPr>
      <w:r>
        <w:rPr>
          <w:rFonts w:ascii="宋体" w:hAnsi="宋体" w:eastAsia="宋体" w:cs="宋体"/>
          <w:b w:val="0"/>
          <w:i w:val="0"/>
          <w:color w:val="000000"/>
          <w:sz w:val="22"/>
        </w:rPr>
        <w:t>第一阶段以"任务能够稳定闭环"为目标，不以功能数量作为完成标准。机器人需要在给定线路模型中重复执行任务，遇到低电量、通信中断、定位异常和未知障碍时进入可解释的安全状态。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1860"/>
        <w:gridCol w:w="3917"/>
        <w:gridCol w:w="4015"/>
      </w:tblGrid>
      <w:tr>
        <w:trPr>
          <w:cantSplit/>
          <w:tblHeader/>
        </w:trPr>
        <w:tc>
          <w:tcPr>
            <w:tcW w:type="dxa" w:w="1860"/>
            <w:vAlign w:val="center"/>
            <w:shd w:fill="DCE8EF"/>
          </w:tcPr>
          <w:p>
            <w:pPr>
              <w:keepNext/>
              <w:spacing w:after="0" w:before="0" w:line="283" w:lineRule="auto"/>
              <w:jc w:val="center"/>
            </w:pPr>
            <w:r>
              <w:rPr>
                <w:rFonts w:ascii="宋体" w:hAnsi="宋体" w:eastAsia="宋体" w:cs="宋体"/>
                <w:b/>
                <w:i w:val="0"/>
                <w:color w:val="000000"/>
                <w:sz w:val="20"/>
              </w:rPr>
              <w:t>目标层级</w:t>
            </w:r>
          </w:p>
        </w:tc>
        <w:tc>
          <w:tcPr>
            <w:tcW w:type="dxa" w:w="3917"/>
            <w:vAlign w:val="center"/>
            <w:shd w:fill="DCE8EF"/>
          </w:tcPr>
          <w:p>
            <w:pPr>
              <w:keepNext/>
              <w:spacing w:after="0" w:before="0" w:line="283" w:lineRule="auto"/>
              <w:jc w:val="center"/>
            </w:pPr>
            <w:r>
              <w:rPr>
                <w:rFonts w:ascii="宋体" w:hAnsi="宋体" w:eastAsia="宋体" w:cs="宋体"/>
                <w:b/>
                <w:i w:val="0"/>
                <w:color w:val="000000"/>
                <w:sz w:val="20"/>
              </w:rPr>
              <w:t>目标内容</w:t>
            </w:r>
          </w:p>
        </w:tc>
        <w:tc>
          <w:tcPr>
            <w:tcW w:type="dxa" w:w="4015"/>
            <w:vAlign w:val="center"/>
            <w:shd w:fill="DCE8EF"/>
          </w:tcPr>
          <w:p>
            <w:pPr>
              <w:keepNext/>
              <w:spacing w:after="0" w:before="0" w:line="283" w:lineRule="auto"/>
              <w:jc w:val="center"/>
            </w:pPr>
            <w:r>
              <w:rPr>
                <w:rFonts w:ascii="宋体" w:hAnsi="宋体" w:eastAsia="宋体" w:cs="宋体"/>
                <w:b/>
                <w:i w:val="0"/>
                <w:color w:val="000000"/>
                <w:sz w:val="20"/>
              </w:rPr>
              <w:t>第一阶段结果</w:t>
            </w:r>
          </w:p>
        </w:tc>
      </w:tr>
      <w:tr>
        <w:trPr>
          <w:cantSplit/>
        </w:trPr>
        <w:tc>
          <w:tcPr>
            <w:tcW w:type="dxa" w:w="1860"/>
            <w:vAlign w:val="center"/>
            <w:shd w:fill="FFFFFF"/>
          </w:tcPr>
          <w:p>
            <w:pPr>
              <w:keepNext/>
              <w:spacing w:after="0" w:before="0" w:line="283" w:lineRule="auto"/>
              <w:jc w:val="left"/>
            </w:pPr>
            <w:r>
              <w:rPr>
                <w:rFonts w:ascii="宋体" w:hAnsi="宋体" w:eastAsia="宋体" w:cs="宋体"/>
                <w:b w:val="0"/>
                <w:i w:val="0"/>
                <w:color w:val="000000"/>
                <w:sz w:val="20"/>
              </w:rPr>
              <w:t>核心目标</w:t>
            </w:r>
          </w:p>
        </w:tc>
        <w:tc>
          <w:tcPr>
            <w:tcW w:type="dxa" w:w="3917"/>
            <w:vAlign w:val="center"/>
            <w:shd w:fill="FFFFFF"/>
          </w:tcPr>
          <w:p>
            <w:pPr>
              <w:keepNext/>
              <w:spacing w:after="0" w:before="0" w:line="283" w:lineRule="auto"/>
              <w:jc w:val="left"/>
            </w:pPr>
            <w:r>
              <w:rPr>
                <w:rFonts w:ascii="宋体" w:hAnsi="宋体" w:eastAsia="宋体" w:cs="宋体"/>
                <w:b w:val="0"/>
                <w:i w:val="0"/>
                <w:color w:val="000000"/>
                <w:sz w:val="20"/>
              </w:rPr>
              <w:t>单档距近距离巡检和安全返回</w:t>
            </w:r>
          </w:p>
        </w:tc>
        <w:tc>
          <w:tcPr>
            <w:tcW w:type="dxa" w:w="4015"/>
            <w:vAlign w:val="center"/>
            <w:shd w:fill="FFFFFF"/>
          </w:tcPr>
          <w:p>
            <w:pPr>
              <w:keepNext/>
              <w:spacing w:after="0" w:before="0" w:line="283" w:lineRule="auto"/>
              <w:jc w:val="left"/>
            </w:pPr>
            <w:r>
              <w:rPr>
                <w:rFonts w:ascii="宋体" w:hAnsi="宋体" w:eastAsia="宋体" w:cs="宋体"/>
                <w:b w:val="0"/>
                <w:i w:val="0"/>
                <w:color w:val="000000"/>
                <w:sz w:val="20"/>
              </w:rPr>
              <w:t>完整任务闭环</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系统目标</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Robot、Dock 与平台状态一致</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可追溯任务记录</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数据目标</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图像、位置、时间和对象正确关联</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可供人工复核的数据</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安全目标</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异常情况下停止、返回或驻停</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明确的故障处置结果</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第一代运行范围为一种已验证线型的单档距区段。复杂相导线带电维修、大型部件更换、任意障碍跨越和强风雷暴期间出勤不在第一阶段范围内——这些边界使机械设计、任务状态和验证条件保持清晰，也决定了第一条验证线路应当选在哪里。</w:t>
      </w:r>
    </w:p>
    <w:p>
      <w:bookmarkStart w:id="3" w:name="section_3"/>
      <w:pPr>
        <w:pStyle w:val="Heading1"/>
      </w:pPr>
      <w:r>
        <w:t>3 市场、客户与单位经济性</w:t>
      </w:r>
      <w:bookmarkEnd w:id="3"/>
    </w:p>
    <w:p>
      <w:pPr>
        <w:pStyle w:val="Heading2"/>
      </w:pPr>
      <w:r>
        <w:t>3.1 市场与客户</w:t>
      </w:r>
    </w:p>
    <w:p>
      <w:pPr>
        <w:jc w:val="both"/>
      </w:pPr>
      <w:r>
        <w:rPr>
          <w:rFonts w:ascii="宋体" w:hAnsi="宋体" w:eastAsia="宋体" w:cs="宋体"/>
          <w:b w:val="0"/>
          <w:i w:val="0"/>
          <w:color w:val="000000"/>
          <w:sz w:val="22"/>
        </w:rPr>
        <w:t>全国 220 千伏及以上输电线路长度约 92 万公里，较 2013 年增长约 69.1%（国家能源局，2024 年 7 月）。南方电网曾在公开报道中说明，其 80% 以上的线路位于远离城镇、人烟稀少的高山峻岭地区（中国能源报，2015 年）。后者是 2015 年针对单一电网公司的表述，用于说明地形分布的量级，不作为全国统计口径。</w:t>
      </w:r>
    </w:p>
    <w:p>
      <w:pPr>
        <w:jc w:val="both"/>
      </w:pPr>
      <w:r>
        <w:rPr>
          <w:rFonts w:ascii="宋体" w:hAnsi="宋体" w:eastAsia="宋体" w:cs="宋体"/>
          <w:b w:val="0"/>
          <w:i w:val="0"/>
          <w:color w:val="000000"/>
          <w:sz w:val="22"/>
        </w:rPr>
        <w:t>对本项目而言，真正可服务的是"人员难达且已具备部署条件"的区段，而不是全部线路里程。这一口径需要与目标客户共同确定，属于需要现场核实的参数，我们在 3.3 中把它列为假设而非结论。</w:t>
      </w:r>
    </w:p>
    <w:p>
      <w:pPr>
        <w:pStyle w:val="Heading2"/>
      </w:pPr>
      <w:r>
        <w:t>3.2 与现有运维手段的分工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2742"/>
        <w:gridCol w:w="1469"/>
        <w:gridCol w:w="685"/>
        <w:gridCol w:w="1567"/>
        <w:gridCol w:w="3329"/>
      </w:tblGrid>
      <w:tr>
        <w:trPr>
          <w:cantSplit/>
          <w:tblHeader/>
        </w:trPr>
        <w:tc>
          <w:tcPr>
            <w:tcW w:type="dxa" w:w="2742"/>
            <w:vAlign w:val="center"/>
            <w:shd w:fill="DCE8EF"/>
          </w:tcPr>
          <w:p>
            <w:pPr>
              <w:keepNext/>
              <w:spacing w:after="0" w:before="0" w:line="283" w:lineRule="auto"/>
              <w:jc w:val="center"/>
            </w:pPr>
            <w:r>
              <w:rPr>
                <w:rFonts w:ascii="宋体" w:hAnsi="宋体" w:eastAsia="宋体" w:cs="宋体"/>
                <w:b/>
                <w:i w:val="0"/>
                <w:color w:val="000000"/>
                <w:sz w:val="20"/>
              </w:rPr>
              <w:t>手段</w:t>
            </w:r>
          </w:p>
        </w:tc>
        <w:tc>
          <w:tcPr>
            <w:tcW w:type="dxa" w:w="1469"/>
            <w:vAlign w:val="center"/>
            <w:shd w:fill="DCE8EF"/>
          </w:tcPr>
          <w:p>
            <w:pPr>
              <w:keepNext/>
              <w:spacing w:after="0" w:before="0" w:line="283" w:lineRule="auto"/>
              <w:jc w:val="center"/>
            </w:pPr>
            <w:r>
              <w:rPr>
                <w:rFonts w:ascii="宋体" w:hAnsi="宋体" w:eastAsia="宋体" w:cs="宋体"/>
                <w:b/>
                <w:i w:val="0"/>
                <w:color w:val="000000"/>
                <w:sz w:val="20"/>
              </w:rPr>
              <w:t>覆盖粒度</w:t>
            </w:r>
          </w:p>
        </w:tc>
        <w:tc>
          <w:tcPr>
            <w:tcW w:type="dxa" w:w="685"/>
            <w:vAlign w:val="center"/>
            <w:shd w:fill="DCE8EF"/>
          </w:tcPr>
          <w:p>
            <w:pPr>
              <w:keepNext/>
              <w:spacing w:after="0" w:before="0" w:line="283" w:lineRule="auto"/>
              <w:jc w:val="center"/>
            </w:pPr>
            <w:r>
              <w:rPr>
                <w:rFonts w:ascii="宋体" w:hAnsi="宋体" w:eastAsia="宋体" w:cs="宋体"/>
                <w:b/>
                <w:i w:val="0"/>
                <w:color w:val="000000"/>
                <w:sz w:val="20"/>
              </w:rPr>
              <w:t>单次成本结构</w:t>
            </w:r>
          </w:p>
        </w:tc>
        <w:tc>
          <w:tcPr>
            <w:tcW w:type="dxa" w:w="1567"/>
            <w:vAlign w:val="center"/>
            <w:shd w:fill="DCE8EF"/>
          </w:tcPr>
          <w:p>
            <w:pPr>
              <w:keepNext/>
              <w:spacing w:after="0" w:before="0" w:line="283" w:lineRule="auto"/>
              <w:jc w:val="center"/>
            </w:pPr>
            <w:r>
              <w:rPr>
                <w:rFonts w:ascii="宋体" w:hAnsi="宋体" w:eastAsia="宋体" w:cs="宋体"/>
                <w:b/>
                <w:i w:val="0"/>
                <w:color w:val="000000"/>
                <w:sz w:val="20"/>
              </w:rPr>
              <w:t>主要局限</w:t>
            </w:r>
          </w:p>
        </w:tc>
        <w:tc>
          <w:tcPr>
            <w:tcW w:type="dxa" w:w="3329"/>
            <w:vAlign w:val="center"/>
            <w:shd w:fill="DCE8EF"/>
          </w:tcPr>
          <w:p>
            <w:pPr>
              <w:keepNext/>
              <w:spacing w:after="0" w:before="0" w:line="283" w:lineRule="auto"/>
              <w:jc w:val="center"/>
            </w:pPr>
            <w:r>
              <w:rPr>
                <w:rFonts w:ascii="宋体" w:hAnsi="宋体" w:eastAsia="宋体" w:cs="宋体"/>
                <w:b/>
                <w:i w:val="0"/>
                <w:color w:val="000000"/>
                <w:sz w:val="20"/>
              </w:rPr>
              <w:t>依据</w:t>
            </w:r>
          </w:p>
        </w:tc>
      </w:tr>
      <w:tr>
        <w:trPr>
          <w:cantSplit/>
        </w:trPr>
        <w:tc>
          <w:tcPr>
            <w:tcW w:type="dxa" w:w="2742"/>
            <w:vAlign w:val="center"/>
            <w:shd w:fill="FFFFFF"/>
          </w:tcPr>
          <w:p>
            <w:pPr>
              <w:keepNext/>
              <w:spacing w:after="0" w:before="0" w:line="283" w:lineRule="auto"/>
              <w:jc w:val="left"/>
            </w:pPr>
            <w:r>
              <w:rPr>
                <w:rFonts w:ascii="宋体" w:hAnsi="宋体" w:eastAsia="宋体" w:cs="宋体"/>
                <w:b w:val="0"/>
                <w:i w:val="0"/>
                <w:color w:val="000000"/>
                <w:sz w:val="20"/>
              </w:rPr>
              <w:t>人工登塔巡检</w:t>
            </w:r>
          </w:p>
        </w:tc>
        <w:tc>
          <w:tcPr>
            <w:tcW w:type="dxa" w:w="1469"/>
            <w:vAlign w:val="center"/>
            <w:shd w:fill="FFFFFF"/>
          </w:tcPr>
          <w:p>
            <w:pPr>
              <w:keepNext/>
              <w:spacing w:after="0" w:before="0" w:line="283" w:lineRule="auto"/>
              <w:jc w:val="left"/>
            </w:pPr>
            <w:r>
              <w:rPr>
                <w:rFonts w:ascii="宋体" w:hAnsi="宋体" w:eastAsia="宋体" w:cs="宋体"/>
                <w:b w:val="0"/>
                <w:i w:val="0"/>
                <w:color w:val="000000"/>
                <w:sz w:val="20"/>
              </w:rPr>
              <w:t>部件级</w:t>
            </w:r>
          </w:p>
        </w:tc>
        <w:tc>
          <w:tcPr>
            <w:tcW w:type="dxa" w:w="685"/>
            <w:vAlign w:val="center"/>
            <w:shd w:fill="FFFFFF"/>
          </w:tcPr>
          <w:p>
            <w:pPr>
              <w:keepNext/>
              <w:spacing w:after="0" w:before="0" w:line="283" w:lineRule="auto"/>
              <w:jc w:val="left"/>
            </w:pPr>
            <w:r>
              <w:rPr>
                <w:rFonts w:ascii="宋体" w:hAnsi="宋体" w:eastAsia="宋体" w:cs="宋体"/>
                <w:b w:val="0"/>
                <w:i w:val="0"/>
                <w:color w:val="000000"/>
                <w:sz w:val="20"/>
              </w:rPr>
              <w:t>人员往返与登塔作业，按人日计</w:t>
            </w:r>
          </w:p>
        </w:tc>
        <w:tc>
          <w:tcPr>
            <w:tcW w:type="dxa" w:w="1567"/>
            <w:vAlign w:val="center"/>
            <w:shd w:fill="FFFFFF"/>
          </w:tcPr>
          <w:p>
            <w:pPr>
              <w:keepNext/>
              <w:spacing w:after="0" w:before="0" w:line="283" w:lineRule="auto"/>
              <w:jc w:val="left"/>
            </w:pPr>
            <w:r>
              <w:rPr>
                <w:rFonts w:ascii="宋体" w:hAnsi="宋体" w:eastAsia="宋体" w:cs="宋体"/>
                <w:b w:val="0"/>
                <w:i w:val="0"/>
                <w:color w:val="000000"/>
                <w:sz w:val="20"/>
              </w:rPr>
              <w:t>受地形与天气限制，响应以天计</w:t>
            </w:r>
          </w:p>
        </w:tc>
        <w:tc>
          <w:tcPr>
            <w:tcW w:type="dxa" w:w="3329"/>
            <w:vAlign w:val="center"/>
            <w:shd w:fill="FFFFFF"/>
          </w:tcPr>
          <w:p>
            <w:pPr>
              <w:keepNext/>
              <w:spacing w:after="0" w:before="0" w:line="283" w:lineRule="auto"/>
              <w:jc w:val="left"/>
            </w:pPr>
            <w:r>
              <w:rPr>
                <w:rFonts w:ascii="宋体" w:hAnsi="宋体" w:eastAsia="宋体" w:cs="宋体"/>
                <w:b w:val="0"/>
                <w:i w:val="0"/>
                <w:color w:val="000000"/>
                <w:sz w:val="20"/>
              </w:rPr>
              <w:t>待核实</w:t>
            </w:r>
          </w:p>
        </w:tc>
      </w:tr>
      <w:tr>
        <w:trPr>
          <w:cantSplit/>
        </w:trPr>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无人机巡检</w:t>
            </w:r>
          </w:p>
        </w:tc>
        <w:tc>
          <w:tcPr>
            <w:tcW w:type="dxa" w:w="1469"/>
            <w:vAlign w:val="center"/>
            <w:shd w:fill="F6F8FA"/>
          </w:tcPr>
          <w:p>
            <w:pPr>
              <w:keepNext w:val="0"/>
              <w:spacing w:after="0" w:before="0" w:line="283" w:lineRule="auto"/>
              <w:jc w:val="left"/>
            </w:pPr>
            <w:r>
              <w:rPr>
                <w:rFonts w:ascii="宋体" w:hAnsi="宋体" w:eastAsia="宋体" w:cs="宋体"/>
                <w:b w:val="0"/>
                <w:i w:val="0"/>
                <w:color w:val="000000"/>
                <w:sz w:val="20"/>
              </w:rPr>
              <w:t>通道与塔体级</w:t>
            </w:r>
          </w:p>
        </w:tc>
        <w:tc>
          <w:tcPr>
            <w:tcW w:type="dxa" w:w="685"/>
            <w:vAlign w:val="center"/>
            <w:shd w:fill="F6F8FA"/>
          </w:tcPr>
          <w:p>
            <w:pPr>
              <w:keepNext w:val="0"/>
              <w:spacing w:after="0" w:before="0" w:line="283" w:lineRule="auto"/>
              <w:jc w:val="left"/>
            </w:pPr>
            <w:r>
              <w:rPr>
                <w:rFonts w:ascii="宋体" w:hAnsi="宋体" w:eastAsia="宋体" w:cs="宋体"/>
                <w:b w:val="0"/>
                <w:i w:val="0"/>
                <w:color w:val="000000"/>
                <w:sz w:val="20"/>
              </w:rPr>
              <w:t>设备摊销与飞手人日</w:t>
            </w:r>
          </w:p>
        </w:tc>
        <w:tc>
          <w:tcPr>
            <w:tcW w:type="dxa" w:w="1567"/>
            <w:vAlign w:val="center"/>
            <w:shd w:fill="F6F8FA"/>
          </w:tcPr>
          <w:p>
            <w:pPr>
              <w:keepNext w:val="0"/>
              <w:spacing w:after="0" w:before="0" w:line="283" w:lineRule="auto"/>
              <w:jc w:val="left"/>
            </w:pPr>
            <w:r>
              <w:rPr>
                <w:rFonts w:ascii="宋体" w:hAnsi="宋体" w:eastAsia="宋体" w:cs="宋体"/>
                <w:b w:val="0"/>
                <w:i w:val="0"/>
                <w:color w:val="000000"/>
                <w:sz w:val="20"/>
              </w:rPr>
              <w:t>地线表面等细部视角受限，受空域与风速约束</w:t>
            </w:r>
          </w:p>
        </w:tc>
        <w:tc>
          <w:tcPr>
            <w:tcW w:type="dxa" w:w="3329"/>
            <w:vAlign w:val="center"/>
            <w:shd w:fill="F6F8FA"/>
          </w:tcPr>
          <w:p>
            <w:pPr>
              <w:keepNext w:val="0"/>
              <w:spacing w:after="0" w:before="0" w:line="283" w:lineRule="auto"/>
              <w:jc w:val="left"/>
            </w:pPr>
            <w:r>
              <w:rPr>
                <w:rFonts w:ascii="宋体" w:hAnsi="宋体" w:eastAsia="宋体" w:cs="宋体"/>
                <w:b w:val="0"/>
                <w:i w:val="0"/>
                <w:color w:val="000000"/>
                <w:sz w:val="20"/>
              </w:rPr>
              <w:t>待核实</w:t>
            </w:r>
          </w:p>
        </w:tc>
      </w:tr>
      <w:tr>
        <w:trPr>
          <w:cantSplit/>
        </w:trPr>
        <w:tc>
          <w:tcPr>
            <w:tcW w:type="dxa" w:w="2742"/>
            <w:vAlign w:val="center"/>
            <w:shd w:fill="FFFFFF"/>
          </w:tcPr>
          <w:p>
            <w:pPr>
              <w:keepNext w:val="0"/>
              <w:spacing w:after="0" w:before="0" w:line="283" w:lineRule="auto"/>
              <w:jc w:val="left"/>
            </w:pPr>
            <w:r>
              <w:rPr>
                <w:rFonts w:ascii="宋体" w:hAnsi="宋体" w:eastAsia="宋体" w:cs="宋体"/>
                <w:b w:val="0"/>
                <w:i w:val="0"/>
                <w:color w:val="000000"/>
                <w:sz w:val="20"/>
              </w:rPr>
              <w:t>固定摄像头</w:t>
            </w:r>
          </w:p>
        </w:tc>
        <w:tc>
          <w:tcPr>
            <w:tcW w:type="dxa" w:w="1469"/>
            <w:vAlign w:val="center"/>
            <w:shd w:fill="FFFFFF"/>
          </w:tcPr>
          <w:p>
            <w:pPr>
              <w:keepNext w:val="0"/>
              <w:spacing w:after="0" w:before="0" w:line="283" w:lineRule="auto"/>
              <w:jc w:val="left"/>
            </w:pPr>
            <w:r>
              <w:rPr>
                <w:rFonts w:ascii="宋体" w:hAnsi="宋体" w:eastAsia="宋体" w:cs="宋体"/>
                <w:b w:val="0"/>
                <w:i w:val="0"/>
                <w:color w:val="000000"/>
                <w:sz w:val="20"/>
              </w:rPr>
              <w:t>单点持续</w:t>
            </w:r>
          </w:p>
        </w:tc>
        <w:tc>
          <w:tcPr>
            <w:tcW w:type="dxa" w:w="685"/>
            <w:vAlign w:val="center"/>
            <w:shd w:fill="FFFFFF"/>
          </w:tcPr>
          <w:p>
            <w:pPr>
              <w:keepNext w:val="0"/>
              <w:spacing w:after="0" w:before="0" w:line="283" w:lineRule="auto"/>
              <w:jc w:val="left"/>
            </w:pPr>
            <w:r>
              <w:rPr>
                <w:rFonts w:ascii="宋体" w:hAnsi="宋体" w:eastAsia="宋体" w:cs="宋体"/>
                <w:b w:val="0"/>
                <w:i w:val="0"/>
                <w:color w:val="000000"/>
                <w:sz w:val="20"/>
              </w:rPr>
              <w:t>一次性安装与通信维护</w:t>
            </w:r>
          </w:p>
        </w:tc>
        <w:tc>
          <w:tcPr>
            <w:tcW w:type="dxa" w:w="1567"/>
            <w:vAlign w:val="center"/>
            <w:shd w:fill="FFFFFF"/>
          </w:tcPr>
          <w:p>
            <w:pPr>
              <w:keepNext w:val="0"/>
              <w:spacing w:after="0" w:before="0" w:line="283" w:lineRule="auto"/>
              <w:jc w:val="left"/>
            </w:pPr>
            <w:r>
              <w:rPr>
                <w:rFonts w:ascii="宋体" w:hAnsi="宋体" w:eastAsia="宋体" w:cs="宋体"/>
                <w:b w:val="0"/>
                <w:i w:val="0"/>
                <w:color w:val="000000"/>
                <w:sz w:val="20"/>
              </w:rPr>
              <w:t>只能覆盖安装点，视角固定</w:t>
            </w:r>
          </w:p>
        </w:tc>
        <w:tc>
          <w:tcPr>
            <w:tcW w:type="dxa" w:w="3329"/>
            <w:vAlign w:val="center"/>
            <w:shd w:fill="FFFFFF"/>
          </w:tcPr>
          <w:p>
            <w:pPr>
              <w:keepNext w:val="0"/>
              <w:spacing w:after="0" w:before="0" w:line="283" w:lineRule="auto"/>
              <w:jc w:val="left"/>
            </w:pPr>
            <w:r>
              <w:rPr>
                <w:rFonts w:ascii="宋体" w:hAnsi="宋体" w:eastAsia="宋体" w:cs="宋体"/>
                <w:b w:val="0"/>
                <w:i w:val="0"/>
                <w:color w:val="000000"/>
                <w:sz w:val="20"/>
              </w:rPr>
              <w:t>待核实</w:t>
            </w:r>
          </w:p>
        </w:tc>
      </w:tr>
      <w:tr>
        <w:trPr>
          <w:cantSplit/>
        </w:trPr>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在线监测装置</w:t>
            </w:r>
          </w:p>
        </w:tc>
        <w:tc>
          <w:tcPr>
            <w:tcW w:type="dxa" w:w="1469"/>
            <w:vAlign w:val="center"/>
            <w:shd w:fill="F6F8FA"/>
          </w:tcPr>
          <w:p>
            <w:pPr>
              <w:keepNext w:val="0"/>
              <w:spacing w:after="0" w:before="0" w:line="283" w:lineRule="auto"/>
              <w:jc w:val="left"/>
            </w:pPr>
            <w:r>
              <w:rPr>
                <w:rFonts w:ascii="宋体" w:hAnsi="宋体" w:eastAsia="宋体" w:cs="宋体"/>
                <w:b w:val="0"/>
                <w:i w:val="0"/>
                <w:color w:val="000000"/>
                <w:sz w:val="20"/>
              </w:rPr>
              <w:t>单点持续</w:t>
            </w:r>
          </w:p>
        </w:tc>
        <w:tc>
          <w:tcPr>
            <w:tcW w:type="dxa" w:w="685"/>
            <w:vAlign w:val="center"/>
            <w:shd w:fill="F6F8FA"/>
          </w:tcPr>
          <w:p>
            <w:pPr>
              <w:keepNext w:val="0"/>
              <w:spacing w:after="0" w:before="0" w:line="283" w:lineRule="auto"/>
              <w:jc w:val="left"/>
            </w:pPr>
            <w:r>
              <w:rPr>
                <w:rFonts w:ascii="宋体" w:hAnsi="宋体" w:eastAsia="宋体" w:cs="宋体"/>
                <w:b w:val="0"/>
                <w:i w:val="0"/>
                <w:color w:val="000000"/>
                <w:sz w:val="20"/>
              </w:rPr>
              <w:t>一次性安装与供电维护</w:t>
            </w:r>
          </w:p>
        </w:tc>
        <w:tc>
          <w:tcPr>
            <w:tcW w:type="dxa" w:w="1567"/>
            <w:vAlign w:val="center"/>
            <w:shd w:fill="F6F8FA"/>
          </w:tcPr>
          <w:p>
            <w:pPr>
              <w:keepNext w:val="0"/>
              <w:spacing w:after="0" w:before="0" w:line="283" w:lineRule="auto"/>
              <w:jc w:val="left"/>
            </w:pPr>
            <w:r>
              <w:rPr>
                <w:rFonts w:ascii="宋体" w:hAnsi="宋体" w:eastAsia="宋体" w:cs="宋体"/>
                <w:b w:val="0"/>
                <w:i w:val="0"/>
                <w:color w:val="000000"/>
                <w:sz w:val="20"/>
              </w:rPr>
              <w:t>给出趋势判断，不给视觉证据</w:t>
            </w:r>
          </w:p>
        </w:tc>
        <w:tc>
          <w:tcPr>
            <w:tcW w:type="dxa" w:w="3329"/>
            <w:vAlign w:val="center"/>
            <w:shd w:fill="F6F8FA"/>
          </w:tcPr>
          <w:p>
            <w:pPr>
              <w:keepNext w:val="0"/>
              <w:spacing w:after="0" w:before="0" w:line="283" w:lineRule="auto"/>
              <w:jc w:val="left"/>
            </w:pPr>
            <w:r>
              <w:rPr>
                <w:rFonts w:ascii="宋体" w:hAnsi="宋体" w:eastAsia="宋体" w:cs="宋体"/>
                <w:b w:val="0"/>
                <w:i w:val="0"/>
                <w:color w:val="000000"/>
                <w:sz w:val="20"/>
              </w:rPr>
              <w:t>待核实</w:t>
            </w:r>
          </w:p>
        </w:tc>
      </w:tr>
      <w:tr>
        <w:trPr>
          <w:cantSplit/>
        </w:trPr>
        <w:tc>
          <w:tcPr>
            <w:tcW w:type="dxa" w:w="2742"/>
            <w:vAlign w:val="center"/>
            <w:shd w:fill="FFFFFF"/>
          </w:tcPr>
          <w:p>
            <w:pPr>
              <w:keepNext w:val="0"/>
              <w:spacing w:after="0" w:before="0" w:line="283" w:lineRule="auto"/>
              <w:jc w:val="left"/>
            </w:pPr>
            <w:r>
              <w:rPr>
                <w:rFonts w:ascii="宋体" w:hAnsi="宋体" w:eastAsia="宋体" w:cs="宋体"/>
                <w:b w:val="0"/>
                <w:i w:val="0"/>
                <w:color w:val="000000"/>
                <w:sz w:val="20"/>
              </w:rPr>
              <w:t>LineGuard</w:t>
            </w:r>
          </w:p>
        </w:tc>
        <w:tc>
          <w:tcPr>
            <w:tcW w:type="dxa" w:w="1469"/>
            <w:vAlign w:val="center"/>
            <w:shd w:fill="FFFFFF"/>
          </w:tcPr>
          <w:p>
            <w:pPr>
              <w:keepNext w:val="0"/>
              <w:spacing w:after="0" w:before="0" w:line="283" w:lineRule="auto"/>
              <w:jc w:val="left"/>
            </w:pPr>
            <w:r>
              <w:rPr>
                <w:rFonts w:ascii="宋体" w:hAnsi="宋体" w:eastAsia="宋体" w:cs="宋体"/>
                <w:b w:val="0"/>
                <w:i w:val="0"/>
                <w:color w:val="000000"/>
                <w:sz w:val="20"/>
              </w:rPr>
              <w:t>已部署区段近距</w:t>
            </w:r>
          </w:p>
        </w:tc>
        <w:tc>
          <w:tcPr>
            <w:tcW w:type="dxa" w:w="685"/>
            <w:vAlign w:val="center"/>
            <w:shd w:fill="FFFFFF"/>
          </w:tcPr>
          <w:p>
            <w:pPr>
              <w:keepNext w:val="0"/>
              <w:spacing w:after="0" w:before="0" w:line="283" w:lineRule="auto"/>
              <w:jc w:val="left"/>
            </w:pPr>
            <w:r>
              <w:rPr>
                <w:rFonts w:ascii="宋体" w:hAnsi="宋体" w:eastAsia="宋体" w:cs="宋体"/>
                <w:b w:val="0"/>
                <w:i w:val="0"/>
                <w:color w:val="000000"/>
                <w:sz w:val="20"/>
              </w:rPr>
              <w:t>设备折旧与部署摊销</w:t>
            </w:r>
          </w:p>
        </w:tc>
        <w:tc>
          <w:tcPr>
            <w:tcW w:type="dxa" w:w="1567"/>
            <w:vAlign w:val="center"/>
            <w:shd w:fill="FFFFFF"/>
          </w:tcPr>
          <w:p>
            <w:pPr>
              <w:keepNext w:val="0"/>
              <w:spacing w:after="0" w:before="0" w:line="283" w:lineRule="auto"/>
              <w:jc w:val="left"/>
            </w:pPr>
            <w:r>
              <w:rPr>
                <w:rFonts w:ascii="宋体" w:hAnsi="宋体" w:eastAsia="宋体" w:cs="宋体"/>
                <w:b w:val="0"/>
                <w:i w:val="0"/>
                <w:color w:val="000000"/>
                <w:sz w:val="20"/>
              </w:rPr>
              <w:t>只覆盖已部署区段，需配套 Dock</w:t>
            </w:r>
          </w:p>
        </w:tc>
        <w:tc>
          <w:tcPr>
            <w:tcW w:type="dxa" w:w="3329"/>
            <w:vAlign w:val="center"/>
            <w:shd w:fill="FFFFFF"/>
          </w:tcPr>
          <w:p>
            <w:pPr>
              <w:keepNext w:val="0"/>
              <w:spacing w:after="0" w:before="0" w:line="283" w:lineRule="auto"/>
              <w:jc w:val="left"/>
            </w:pPr>
            <w:r>
              <w:rPr>
                <w:rFonts w:ascii="宋体" w:hAnsi="宋体" w:eastAsia="宋体" w:cs="宋体"/>
                <w:b w:val="0"/>
                <w:i w:val="0"/>
                <w:color w:val="000000"/>
                <w:sz w:val="20"/>
              </w:rPr>
              <w:t>待核实</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这张表目前是量级判断，不是采购依据。我们刻意没有填入未经核实的金额：这些取值必须在样机阶段通过目标客户的运维口径复核，复核方式列在 3.3 的参数表中。</w:t>
      </w:r>
    </w:p>
    <w:p>
      <w:pPr>
        <w:pStyle w:val="Heading2"/>
      </w:pPr>
      <w:r>
        <w:t>3.3 单位经济性</w:t>
      </w:r>
    </w:p>
    <w:p>
      <w:pPr>
        <w:jc w:val="both"/>
      </w:pPr>
      <w:r>
        <w:rPr>
          <w:rFonts w:ascii="宋体" w:hAnsi="宋体" w:eastAsia="宋体" w:cs="宋体"/>
          <w:b w:val="0"/>
          <w:i w:val="0"/>
          <w:color w:val="000000"/>
          <w:sz w:val="22"/>
        </w:rPr>
        <w:t>先把成本写成一个可以代入的式子，而不是先给结论：</w:t>
      </w:r>
    </w:p>
    <w:p>
      <w:pPr>
        <w:jc w:val="both"/>
      </w:pPr>
      <w:r>
        <w:rPr>
          <w:rFonts w:ascii="宋体" w:hAnsi="宋体" w:eastAsia="宋体" w:cs="宋体"/>
          <w:b w:val="0"/>
          <w:i w:val="0"/>
          <w:color w:val="000000"/>
          <w:sz w:val="22"/>
        </w:rPr>
        <w:t>单次摊销成本 = 单套设备成本 ÷ (设计寿命年数 × 年任务次数) + 维护与部署年支出 ÷ 年任务次数</w:t>
      </w:r>
    </w:p>
    <w:p>
      <w:pPr>
        <w:jc w:val="both"/>
      </w:pPr>
      <w:r>
        <w:rPr>
          <w:rFonts w:ascii="宋体" w:hAnsi="宋体" w:eastAsia="宋体" w:cs="宋体"/>
          <w:b w:val="0"/>
          <w:i w:val="0"/>
          <w:color w:val="000000"/>
          <w:sz w:val="22"/>
        </w:rPr>
        <w:t>机器人只有在"单次人工往返成本 &gt; 单次摊销成本"时才具备经济性，也就是年任务次数要超过盈亏平衡值 N\* = 年化固定成本 ÷ 单次人工巡检的往返成本，其中年化固定成本 = 单套设备成本 ÷ 设计寿命年数 + 年维护 + 年部署摊销；两个式子里的"次数"必须取同一个口径。式中两个关键取值目前都无法从公开资料可靠获得，因此我们只给出区间而不给唯一结论：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1567"/>
        <w:gridCol w:w="2742"/>
        <w:gridCol w:w="2742"/>
        <w:gridCol w:w="2742"/>
      </w:tblGrid>
      <w:tr>
        <w:trPr>
          <w:cantSplit/>
          <w:tblHeader/>
        </w:trPr>
        <w:tc>
          <w:tcPr>
            <w:tcW w:type="dxa" w:w="1567"/>
            <w:vAlign w:val="center"/>
            <w:shd w:fill="DCE8EF"/>
          </w:tcPr>
          <w:p>
            <w:pPr>
              <w:keepNext/>
              <w:spacing w:after="0" w:before="0" w:line="283" w:lineRule="auto"/>
              <w:jc w:val="center"/>
            </w:pPr>
            <w:r>
              <w:rPr>
                <w:rFonts w:ascii="宋体" w:hAnsi="宋体" w:eastAsia="宋体" w:cs="宋体"/>
                <w:b/>
                <w:i w:val="0"/>
                <w:color w:val="000000"/>
                <w:sz w:val="20"/>
              </w:rPr>
              <w:t>参数</w:t>
            </w:r>
          </w:p>
        </w:tc>
        <w:tc>
          <w:tcPr>
            <w:tcW w:type="dxa" w:w="2742"/>
            <w:vAlign w:val="center"/>
            <w:shd w:fill="DCE8EF"/>
          </w:tcPr>
          <w:p>
            <w:pPr>
              <w:keepNext/>
              <w:spacing w:after="0" w:before="0" w:line="283" w:lineRule="auto"/>
              <w:jc w:val="center"/>
            </w:pPr>
            <w:r>
              <w:rPr>
                <w:rFonts w:ascii="宋体" w:hAnsi="宋体" w:eastAsia="宋体" w:cs="宋体"/>
                <w:b/>
                <w:i w:val="0"/>
                <w:color w:val="000000"/>
                <w:sz w:val="20"/>
              </w:rPr>
              <w:t>取值区间</w:t>
            </w:r>
          </w:p>
        </w:tc>
        <w:tc>
          <w:tcPr>
            <w:tcW w:type="dxa" w:w="2742"/>
            <w:vAlign w:val="center"/>
            <w:shd w:fill="DCE8EF"/>
          </w:tcPr>
          <w:p>
            <w:pPr>
              <w:keepNext/>
              <w:spacing w:after="0" w:before="0" w:line="283" w:lineRule="auto"/>
              <w:jc w:val="center"/>
            </w:pPr>
            <w:r>
              <w:rPr>
                <w:rFonts w:ascii="宋体" w:hAnsi="宋体" w:eastAsia="宋体" w:cs="宋体"/>
                <w:b/>
                <w:i w:val="0"/>
                <w:color w:val="000000"/>
                <w:sz w:val="20"/>
              </w:rPr>
              <w:t>依据</w:t>
            </w:r>
          </w:p>
        </w:tc>
        <w:tc>
          <w:tcPr>
            <w:tcW w:type="dxa" w:w="2742"/>
            <w:vAlign w:val="center"/>
            <w:shd w:fill="DCE8EF"/>
          </w:tcPr>
          <w:p>
            <w:pPr>
              <w:keepNext/>
              <w:spacing w:after="0" w:before="0" w:line="283" w:lineRule="auto"/>
              <w:jc w:val="center"/>
            </w:pPr>
            <w:r>
              <w:rPr>
                <w:rFonts w:ascii="宋体" w:hAnsi="宋体" w:eastAsia="宋体" w:cs="宋体"/>
                <w:b/>
                <w:i w:val="0"/>
                <w:color w:val="000000"/>
                <w:sz w:val="20"/>
              </w:rPr>
              <w:t>验证方式</w:t>
            </w:r>
          </w:p>
        </w:tc>
      </w:tr>
      <w:tr>
        <w:trPr>
          <w:cantSplit/>
        </w:trPr>
        <w:tc>
          <w:tcPr>
            <w:tcW w:type="dxa" w:w="1567"/>
            <w:vAlign w:val="center"/>
            <w:shd w:fill="FFFFFF"/>
          </w:tcPr>
          <w:p>
            <w:pPr>
              <w:keepNext/>
              <w:spacing w:after="0" w:before="0" w:line="283" w:lineRule="auto"/>
              <w:jc w:val="left"/>
            </w:pPr>
            <w:r>
              <w:rPr>
                <w:rFonts w:ascii="宋体" w:hAnsi="宋体" w:eastAsia="宋体" w:cs="宋体"/>
                <w:b w:val="0"/>
                <w:i w:val="0"/>
                <w:color w:val="000000"/>
                <w:sz w:val="20"/>
              </w:rPr>
              <w:t>单套设备成本</w:t>
            </w:r>
          </w:p>
        </w:tc>
        <w:tc>
          <w:tcPr>
            <w:tcW w:type="dxa" w:w="2742"/>
            <w:vAlign w:val="center"/>
            <w:shd w:fill="FFFFFF"/>
          </w:tcPr>
          <w:p>
            <w:pPr>
              <w:keepNext/>
              <w:spacing w:after="0" w:before="0" w:line="283" w:lineRule="auto"/>
              <w:jc w:val="left"/>
            </w:pPr>
            <w:r>
              <w:rPr>
                <w:rFonts w:ascii="宋体" w:hAnsi="宋体" w:eastAsia="宋体" w:cs="宋体"/>
                <w:b w:val="0"/>
                <w:i w:val="0"/>
                <w:color w:val="000000"/>
                <w:sz w:val="20"/>
              </w:rPr>
              <w:t>待定</w:t>
            </w:r>
          </w:p>
        </w:tc>
        <w:tc>
          <w:tcPr>
            <w:tcW w:type="dxa" w:w="2742"/>
            <w:vAlign w:val="center"/>
            <w:shd w:fill="FFFFFF"/>
          </w:tcPr>
          <w:p>
            <w:pPr>
              <w:keepNext/>
              <w:spacing w:after="0" w:before="0" w:line="283" w:lineRule="auto"/>
              <w:jc w:val="left"/>
            </w:pPr>
            <w:r>
              <w:rPr>
                <w:rFonts w:ascii="宋体" w:hAnsi="宋体" w:eastAsia="宋体" w:cs="宋体"/>
                <w:b w:val="0"/>
                <w:i w:val="0"/>
                <w:color w:val="000000"/>
                <w:sz w:val="20"/>
              </w:rPr>
              <w:t>未定型，无有效报价</w:t>
            </w:r>
          </w:p>
        </w:tc>
        <w:tc>
          <w:tcPr>
            <w:tcW w:type="dxa" w:w="2742"/>
            <w:vAlign w:val="center"/>
            <w:shd w:fill="FFFFFF"/>
          </w:tcPr>
          <w:p>
            <w:pPr>
              <w:keepNext/>
              <w:spacing w:after="0" w:before="0" w:line="283" w:lineRule="auto"/>
              <w:jc w:val="left"/>
            </w:pPr>
            <w:r>
              <w:rPr>
                <w:rFonts w:ascii="宋体" w:hAnsi="宋体" w:eastAsia="宋体" w:cs="宋体"/>
                <w:b w:val="0"/>
                <w:i w:val="0"/>
                <w:color w:val="000000"/>
                <w:sz w:val="20"/>
              </w:rPr>
              <w:t>样机 BOM 与外协报价</w:t>
            </w:r>
          </w:p>
        </w:tc>
      </w:tr>
      <w:tr>
        <w:trPr>
          <w:cantSplit/>
        </w:trPr>
        <w:tc>
          <w:tcPr>
            <w:tcW w:type="dxa" w:w="1567"/>
            <w:vAlign w:val="center"/>
            <w:shd w:fill="F6F8FA"/>
          </w:tcPr>
          <w:p>
            <w:pPr>
              <w:keepNext w:val="0"/>
              <w:spacing w:after="0" w:before="0" w:line="283" w:lineRule="auto"/>
              <w:jc w:val="left"/>
            </w:pPr>
            <w:r>
              <w:rPr>
                <w:rFonts w:ascii="宋体" w:hAnsi="宋体" w:eastAsia="宋体" w:cs="宋体"/>
                <w:b w:val="0"/>
                <w:i w:val="0"/>
                <w:color w:val="000000"/>
                <w:sz w:val="20"/>
              </w:rPr>
              <w:t>设计寿命</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5 ~ 8 年</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按户外机电设备一般寿命假设</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加速老化与现场考核</w:t>
            </w:r>
          </w:p>
        </w:tc>
      </w:tr>
      <w:tr>
        <w:trPr>
          <w:cantSplit/>
        </w:trPr>
        <w:tc>
          <w:tcPr>
            <w:tcW w:type="dxa" w:w="1567"/>
            <w:vAlign w:val="center"/>
            <w:shd w:fill="FFFFFF"/>
          </w:tcPr>
          <w:p>
            <w:pPr>
              <w:keepNext w:val="0"/>
              <w:spacing w:after="0" w:before="0" w:line="283" w:lineRule="auto"/>
              <w:jc w:val="left"/>
            </w:pPr>
            <w:r>
              <w:rPr>
                <w:rFonts w:ascii="宋体" w:hAnsi="宋体" w:eastAsia="宋体" w:cs="宋体"/>
                <w:b w:val="0"/>
                <w:i w:val="0"/>
                <w:color w:val="000000"/>
                <w:sz w:val="20"/>
              </w:rPr>
              <w:t>单次人工巡检往返成本</w:t>
            </w:r>
          </w:p>
        </w:tc>
        <w:tc>
          <w:tcPr>
            <w:tcW w:type="dxa" w:w="2742"/>
            <w:vAlign w:val="center"/>
            <w:shd w:fill="FFFFFF"/>
          </w:tcPr>
          <w:p>
            <w:pPr>
              <w:keepNext w:val="0"/>
              <w:spacing w:after="0" w:before="0" w:line="283" w:lineRule="auto"/>
              <w:jc w:val="left"/>
            </w:pPr>
            <w:r>
              <w:rPr>
                <w:rFonts w:ascii="宋体" w:hAnsi="宋体" w:eastAsia="宋体" w:cs="宋体"/>
                <w:b w:val="0"/>
                <w:i w:val="0"/>
                <w:color w:val="000000"/>
                <w:sz w:val="20"/>
              </w:rPr>
              <w:t>待定</w:t>
            </w:r>
          </w:p>
        </w:tc>
        <w:tc>
          <w:tcPr>
            <w:tcW w:type="dxa" w:w="2742"/>
            <w:vAlign w:val="center"/>
            <w:shd w:fill="FFFFFF"/>
          </w:tcPr>
          <w:p>
            <w:pPr>
              <w:keepNext w:val="0"/>
              <w:spacing w:after="0" w:before="0" w:line="283" w:lineRule="auto"/>
              <w:jc w:val="left"/>
            </w:pPr>
            <w:r>
              <w:rPr>
                <w:rFonts w:ascii="宋体" w:hAnsi="宋体" w:eastAsia="宋体" w:cs="宋体"/>
                <w:b w:val="0"/>
                <w:i w:val="0"/>
                <w:color w:val="000000"/>
                <w:sz w:val="20"/>
              </w:rPr>
              <w:t>公开资料无可靠口径</w:t>
            </w:r>
          </w:p>
        </w:tc>
        <w:tc>
          <w:tcPr>
            <w:tcW w:type="dxa" w:w="2742"/>
            <w:vAlign w:val="center"/>
            <w:shd w:fill="FFFFFF"/>
          </w:tcPr>
          <w:p>
            <w:pPr>
              <w:keepNext w:val="0"/>
              <w:spacing w:after="0" w:before="0" w:line="283" w:lineRule="auto"/>
              <w:jc w:val="left"/>
            </w:pPr>
            <w:r>
              <w:rPr>
                <w:rFonts w:ascii="宋体" w:hAnsi="宋体" w:eastAsia="宋体" w:cs="宋体"/>
                <w:b w:val="0"/>
                <w:i w:val="0"/>
                <w:color w:val="000000"/>
                <w:sz w:val="20"/>
              </w:rPr>
              <w:t>向目标客户调取人日与车辆口径</w:t>
            </w:r>
          </w:p>
        </w:tc>
      </w:tr>
      <w:tr>
        <w:trPr>
          <w:cantSplit/>
        </w:trPr>
        <w:tc>
          <w:tcPr>
            <w:tcW w:type="dxa" w:w="1567"/>
            <w:vAlign w:val="center"/>
            <w:shd w:fill="F6F8FA"/>
          </w:tcPr>
          <w:p>
            <w:pPr>
              <w:keepNext w:val="0"/>
              <w:spacing w:after="0" w:before="0" w:line="283" w:lineRule="auto"/>
              <w:jc w:val="left"/>
            </w:pPr>
            <w:r>
              <w:rPr>
                <w:rFonts w:ascii="宋体" w:hAnsi="宋体" w:eastAsia="宋体" w:cs="宋体"/>
                <w:b w:val="0"/>
                <w:i w:val="0"/>
                <w:color w:val="000000"/>
                <w:sz w:val="20"/>
              </w:rPr>
              <w:t>年任务次数</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20 ~ 60 次</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按巡视频次与告警次数假设</w:t>
            </w:r>
          </w:p>
        </w:tc>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客户历史工单统计</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在取值明确之前，任何盈亏平衡结论都是不可信的。这一判断本身就是第一阶段的产出之一：样机阶段要拿到的是这四个数的实际范围，而不是继续论证一个假设。</w:t>
      </w:r>
    </w:p>
    <w:p>
      <w:bookmarkStart w:id="4" w:name="section_4"/>
      <w:pPr>
        <w:pStyle w:val="Heading1"/>
      </w:pPr>
      <w:r>
        <w:t>4 核心功能闭环</w:t>
      </w:r>
      <w:bookmarkEnd w:id="4"/>
    </w:p>
    <w:p>
      <w:pPr>
        <w:jc w:val="both"/>
      </w:pPr>
      <w:r>
        <w:rPr>
          <w:rFonts w:ascii="宋体" w:hAnsi="宋体" w:eastAsia="宋体" w:cs="宋体"/>
          <w:b w:val="0"/>
          <w:i w:val="0"/>
          <w:color w:val="000000"/>
          <w:sz w:val="22"/>
        </w:rPr>
        <w:t>LineGuard 的核心能力是一条连续任务链。驻留、移动、检测、回传和返航必须作为一个整体运行；其中任何环节无法完成，任务都不能被记录为成功。</w:t>
      </w:r>
    </w:p>
    <w:p>
      <w:pPr>
        <w:pStyle w:val="Heading2"/>
      </w:pPr>
      <w:r>
        <w:t>4.1 驻留待命与任务预检</w:t>
      </w:r>
    </w:p>
    <w:p>
      <w:pPr>
        <w:jc w:val="both"/>
      </w:pPr>
      <w:r>
        <w:rPr>
          <w:rFonts w:ascii="宋体" w:hAnsi="宋体" w:eastAsia="宋体" w:cs="宋体"/>
          <w:b w:val="0"/>
          <w:i w:val="0"/>
          <w:color w:val="000000"/>
          <w:sz w:val="22"/>
        </w:rPr>
        <w:t>Robot 在 Dock 中保持机械锁定并补充能源。平台接到周期任务、人工任务或外部告警后，先检查设备健康、剩余电量、通信状态、天气条件和目标路径。条件满足时任务进入待执行队列；条件不足时保留任务并说明原因。预检是核心闭环的起点：它避免机器人在无法安全返回时出发，也避免多个任务同时占用同一节点，每次判断条件都会保存下来供后续复盘。</w:t>
      </w:r>
    </w:p>
    <w:p>
      <w:pPr>
        <w:pStyle w:val="Heading2"/>
      </w:pPr>
      <w:r>
        <w:t>4.2 自主出发与沿线移动</w:t>
      </w:r>
    </w:p>
    <w:p>
      <w:pPr>
        <w:jc w:val="both"/>
      </w:pPr>
      <w:r>
        <w:rPr>
          <w:rFonts w:ascii="宋体" w:hAnsi="宋体" w:eastAsia="宋体" w:cs="宋体"/>
          <w:b w:val="0"/>
          <w:i w:val="0"/>
          <w:color w:val="000000"/>
          <w:sz w:val="22"/>
        </w:rPr>
        <w:t>机器人解除 Dock 锁止后进入标定路径，依靠夹持轮编码器估计行程，并用视觉标记或测距信息修正位置。运动控制由本地控制器完成，平台只下发目标位置和任务类型，不持续遥控每一次电机动作。移动过程持续监测速度、电流、姿态、通信和防脱状态；到达检测点后停车并稳定姿态。遇到位置不可信、夹持轮打滑或未知障碍时，机器人停止前进，根据剩余能源和路径状态选择返回或安全驻停。</w:t>
      </w:r>
    </w:p>
    <w:p>
      <w:pPr>
        <w:pStyle w:val="Heading2"/>
      </w:pPr>
      <w:r>
        <w:t>4.3 近距离检测</w:t>
      </w:r>
    </w:p>
    <w:p>
      <w:pPr>
        <w:jc w:val="both"/>
      </w:pPr>
      <w:r>
        <w:rPr>
          <w:rFonts w:ascii="宋体" w:hAnsi="宋体" w:eastAsia="宋体" w:cs="宋体"/>
          <w:b w:val="0"/>
          <w:i w:val="0"/>
          <w:color w:val="000000"/>
          <w:sz w:val="22"/>
        </w:rPr>
        <w:t>第一阶段以高清 RGB 图像为主要检测数据。机器人在固定位置和固定视角下拍摄地线表面、附件和附近金具，记录断股迹象、腐蚀、异物和相对位置变化。导航画面与检测画面分开管理，避免一套摄像头同时承担所有任务。检测记录包含目标对象、拍摄位置、时间、设备姿态和图像质量；画面模糊、遮挡或定位偏差超出要求时系统请求重新采集，仍无法获得有效图像时任务返回"数据不足"，交由人工决定后续方式。</w:t>
      </w:r>
    </w:p>
    <w:p>
      <w:pPr>
        <w:pStyle w:val="Heading2"/>
      </w:pPr>
      <w:r>
        <w:t>4.4 数据回传与人工复核</w:t>
      </w:r>
    </w:p>
    <w:p>
      <w:pPr>
        <w:jc w:val="both"/>
      </w:pPr>
      <w:r>
        <w:rPr>
          <w:rFonts w:ascii="宋体" w:hAnsi="宋体" w:eastAsia="宋体" w:cs="宋体"/>
          <w:b w:val="0"/>
          <w:i w:val="0"/>
          <w:color w:val="000000"/>
          <w:sz w:val="22"/>
        </w:rPr>
        <w:t>机器人先上传任务状态、缩略图和关键检测结果，再根据网络状况传输原始图像。断网时数据保存在本地，恢复连接后继续上传；平台把本次数据与同一对象的历史记录放在一起，供运维人员比较。人工复核结果分为四类：未见异常、继续观察、安排专项复检、派遣现场人员。系统保留原始图像和人工结论，不让算法评分直接替代运维判断。</w:t>
      </w:r>
    </w:p>
    <w:p>
      <w:pPr>
        <w:pStyle w:val="Heading2"/>
      </w:pPr>
      <w:r>
        <w:t>4.5 安全返回与完成条件</w:t>
      </w:r>
    </w:p>
    <w:p>
      <w:pPr>
        <w:jc w:val="both"/>
      </w:pPr>
      <w:r>
        <w:rPr>
          <w:rFonts w:ascii="宋体" w:hAnsi="宋体" w:eastAsia="宋体" w:cs="宋体"/>
          <w:b w:val="0"/>
          <w:i w:val="0"/>
          <w:color w:val="000000"/>
          <w:sz w:val="22"/>
        </w:rPr>
        <w:t>检测完成后，机器人沿已验证路线返回 Dock，到达对接区后依次确认位置、机械锁止和充电状态，再结束任务；对接失败时允许按限定次数重新尝试，超过次数后保持挂线安全状态并上报。</w:t>
      </w:r>
    </w:p>
    <w:p>
      <w:pPr>
        <w:jc w:val="both"/>
      </w:pPr>
      <w:r>
        <w:rPr>
          <w:rFonts w:ascii="宋体" w:hAnsi="宋体" w:eastAsia="宋体" w:cs="宋体"/>
          <w:b w:val="0"/>
          <w:i w:val="0"/>
          <w:color w:val="000000"/>
          <w:sz w:val="22"/>
        </w:rPr>
        <w:t>核心闭环同时满足五项条件才算完成：Robot 到达正确检测点；图像质量达到人工复核要求；任务数据与目标对象正确关联；Robot 安全返回并完成 Dock 对接；平台、Robot 与 Dock 的最终状态一致。如果检测完成但无法返回，任务属于异常结束；如果返回成功但图像不可判读，任务属于数据失败。把运动结果、检测结果和返回结果分开记录，可以准确判断问题发生在哪个环节，具体状态与迁移规则见 7.1。</w:t>
      </w:r>
    </w:p>
    <w:p>
      <w:bookmarkStart w:id="5" w:name="section_5"/>
      <w:pPr>
        <w:pStyle w:val="Heading1"/>
      </w:pPr>
      <w:r>
        <w:t>5 应用场景与系统组成</w:t>
      </w:r>
      <w:bookmarkEnd w:id="5"/>
    </w:p>
    <w:p>
      <w:pPr>
        <w:pStyle w:val="Heading2"/>
      </w:pPr>
      <w:r>
        <w:t>5.1 三个应用场景</w:t>
      </w:r>
    </w:p>
    <w:p>
      <w:pPr>
        <w:jc w:val="both"/>
      </w:pPr>
      <w:r>
        <w:rPr>
          <w:rFonts w:ascii="宋体" w:hAnsi="宋体" w:eastAsia="宋体" w:cs="宋体"/>
          <w:b w:val="0"/>
          <w:i w:val="0"/>
          <w:color w:val="000000"/>
          <w:sz w:val="22"/>
        </w:rPr>
        <w:t>三类任务共用同一闭环，只改变任务来源、优先级和检测目标。周期性近距巡检由平台按线路计划生成任务，机器人在预定检测点重复拍摄，用于比较同一位置在不同时间的图像；告警后的快速复核由固定监测、无人机或人工记录触发，平台把位置匹配到节点责任区后以较高优先级派机器人补充近距离图像；灾害后的区段检查在确认安全运行窗口后，对可达范围内的地线和附件做局部快速复核，发现断裂、明显变形或路径异常时立即停止并上传现场信息。三者都不替代完整的灾后巡视或专业检修。</w:t>
      </w:r>
    </w:p>
    <w:p>
      <w:pPr>
        <w:pStyle w:val="Heading2"/>
      </w:pPr>
      <w:r>
        <w:t>5.2 LineGuard Robot</w:t>
      </w:r>
    </w:p>
    <w:p>
      <w:pPr>
        <w:jc w:val="both"/>
      </w:pPr>
      <w:r>
        <w:rPr>
          <w:rFonts w:ascii="宋体" w:hAnsi="宋体" w:eastAsia="宋体" w:cs="宋体"/>
          <w:b w:val="0"/>
          <w:i w:val="0"/>
          <w:color w:val="000000"/>
          <w:sz w:val="22"/>
        </w:rPr>
        <w:t>Robot 长期保持挂线约束，由夹持行走机构、承载单元、控制器、摄像头、通信模块和电池组成。行走不靠机体自重压线，而是由前后两个夹持站点把地线夹在上、下 V 槽轮之间：下轮由预压弹簧顶紧，上轮由电机经锥齿轮驱动，牵引力取决于弹簧产生的法向力而非机器人重量，因此爬坡、覆冰和倒挂工况都不会打滑；一台电机同时带动一对正反夹持轮，两轮对地线同向推，扭矩不做内部抵消。两个站点共四个 V 槽轮形成四点接触，除行进方向外的自由度都被约束，夹持框架同时兼作防脱。控制器负责速度、位置、能量和异常监测；失电或程序异常时，轮槽与框架的机械保持仍维持挂线状态。机体吊挂在夹持框架下方并配低重心电池，抑制行走摆动。第一代载荷集中在移动和图像采集，结构上为后续传感器和工具接口保留安装位置。</w:t>
      </w:r>
    </w:p>
    <w:p>
      <w:pPr>
        <w:keepNext/>
        <w:spacing w:before="120"/>
        <w:jc w:val="center"/>
      </w:pPr>
      <w:r>
        <w:drawing>
          <wp:inline xmlns:a="http://schemas.openxmlformats.org/drawingml/2006/main" xmlns:pic="http://schemas.openxmlformats.org/drawingml/2006/picture">
            <wp:extent cx="5852160" cy="3675017"/>
            <wp:docPr id="1" name="Picture 1" descr="Robot 挂线断面与功能单元组成"/>
            <wp:cNvGraphicFramePr>
              <a:graphicFrameLocks noChangeAspect="1"/>
            </wp:cNvGraphicFramePr>
            <a:graphic>
              <a:graphicData uri="http://schemas.openxmlformats.org/drawingml/2006/picture">
                <pic:pic>
                  <pic:nvPicPr>
                    <pic:cNvPr id="0" name="cross-section.png"/>
                    <pic:cNvPicPr/>
                  </pic:nvPicPr>
                  <pic:blipFill>
                    <a:blip r:embed="rId11"/>
                    <a:stretch>
                      <a:fillRect/>
                    </a:stretch>
                  </pic:blipFill>
                  <pic:spPr>
                    <a:xfrm>
                      <a:off x="0" y="0"/>
                      <a:ext cx="5852160" cy="3675017"/>
                    </a:xfrm>
                    <a:prstGeom prst="rect"/>
                  </pic:spPr>
                </pic:pic>
              </a:graphicData>
            </a:graphic>
          </wp:inline>
        </w:drawing>
      </w:r>
    </w:p>
    <w:p>
      <w:pPr>
        <w:pStyle w:val="Caption"/>
        <w:spacing w:after="200"/>
        <w:jc w:val="center"/>
      </w:pPr>
      <w:r>
        <w:t>图 1  Robot 挂线断面与功能单元组成</w:t>
      </w:r>
    </w:p>
    <w:p>
      <w:pPr>
        <w:pStyle w:val="Heading2"/>
      </w:pPr>
      <w:r>
        <w:t>5.3 LineGuard Dock</w:t>
      </w:r>
    </w:p>
    <w:p>
      <w:pPr>
        <w:jc w:val="both"/>
      </w:pPr>
      <w:r>
        <w:rPr>
          <w:rFonts w:ascii="宋体" w:hAnsi="宋体" w:eastAsia="宋体" w:cs="宋体"/>
          <w:b w:val="0"/>
          <w:i w:val="0"/>
          <w:color w:val="000000"/>
          <w:sz w:val="22"/>
        </w:rPr>
        <w:t>Dock 设置在靠近杆塔的安全位置，为 Robot 提供机械驻留、补能、通信转发和数据同步，包含对接标记、到位检测、锁止机构、充电接口、储能和环境监测。机器人正常返回时不完全脱离地线，而是在保持承载约束的情况下进入对接区。站点设计同时考虑防水、结冰、散热和检修空间；第一阶段用实验室供电模拟补能流程，户外能源方案在样机阶段验证。</w:t>
      </w:r>
    </w:p>
    <w:p>
      <w:pPr>
        <w:keepNext/>
        <w:spacing w:before="120"/>
        <w:jc w:val="center"/>
      </w:pPr>
      <w:r>
        <w:drawing>
          <wp:inline xmlns:a="http://schemas.openxmlformats.org/drawingml/2006/main" xmlns:pic="http://schemas.openxmlformats.org/drawingml/2006/picture">
            <wp:extent cx="5852160" cy="1961691"/>
            <wp:docPr id="2" name="Picture 2" descr="Dock 对接分步——接近对位与锁止充电"/>
            <wp:cNvGraphicFramePr>
              <a:graphicFrameLocks noChangeAspect="1"/>
            </wp:cNvGraphicFramePr>
            <a:graphic>
              <a:graphicData uri="http://schemas.openxmlformats.org/drawingml/2006/picture">
                <pic:pic>
                  <pic:nvPicPr>
                    <pic:cNvPr id="0" name="docking.png"/>
                    <pic:cNvPicPr/>
                  </pic:nvPicPr>
                  <pic:blipFill>
                    <a:blip r:embed="rId12"/>
                    <a:stretch>
                      <a:fillRect/>
                    </a:stretch>
                  </pic:blipFill>
                  <pic:spPr>
                    <a:xfrm>
                      <a:off x="0" y="0"/>
                      <a:ext cx="5852160" cy="1961691"/>
                    </a:xfrm>
                    <a:prstGeom prst="rect"/>
                  </pic:spPr>
                </pic:pic>
              </a:graphicData>
            </a:graphic>
          </wp:inline>
        </w:drawing>
      </w:r>
    </w:p>
    <w:p>
      <w:pPr>
        <w:pStyle w:val="Caption"/>
        <w:spacing w:after="200"/>
        <w:jc w:val="center"/>
      </w:pPr>
      <w:r>
        <w:t>图 2  Dock 对接分步——接近对位与锁止充电</w:t>
      </w:r>
    </w:p>
    <w:p>
      <w:pPr>
        <w:pStyle w:val="Heading2"/>
      </w:pPr>
      <w:r>
        <w:t>5.4 远程管理平台与协同分工</w:t>
      </w:r>
    </w:p>
    <w:p>
      <w:pPr>
        <w:jc w:val="both"/>
      </w:pPr>
      <w:r>
        <w:rPr>
          <w:rFonts w:ascii="宋体" w:hAnsi="宋体" w:eastAsia="宋体" w:cs="宋体"/>
          <w:b w:val="0"/>
          <w:i w:val="0"/>
          <w:color w:val="000000"/>
          <w:sz w:val="22"/>
        </w:rPr>
        <w:t>平台以任务为中心展示线路、节点、Robot、Dock、告警和检测记录，运维人员可以创建任务、查看执行进度、复核图像、记录结论和查询设备状态，平台保留操作日志使任务来源、执行过程和处理结果能够追溯。</w:t>
      </w:r>
    </w:p>
    <w:p>
      <w:pPr>
        <w:jc w:val="both"/>
      </w:pPr>
      <w:r>
        <w:rPr>
          <w:rFonts w:ascii="宋体" w:hAnsi="宋体" w:eastAsia="宋体" w:cs="宋体"/>
          <w:b w:val="0"/>
          <w:i w:val="0"/>
          <w:color w:val="000000"/>
          <w:sz w:val="22"/>
        </w:rPr>
        <w:t>无人机适合大范围取景和塔体巡查，固定传感器适合持续监测局部状态，人工负责复杂判断和维修。LineGuard 位于这些手段之间，负责已部署区段内的重复近距任务：外部系统发现异常后可以触发复核，机器人无法判断时再升级为无人机或人工任务。</w:t>
      </w:r>
    </w:p>
    <w:p>
      <w:bookmarkStart w:id="6" w:name="section_6"/>
      <w:pPr>
        <w:pStyle w:val="Heading1"/>
      </w:pPr>
      <w:r>
        <w:t>6 关键技术方案</w:t>
      </w:r>
      <w:bookmarkEnd w:id="6"/>
    </w:p>
    <w:p>
      <w:pPr>
        <w:pStyle w:val="Heading2"/>
      </w:pPr>
      <w:r>
        <w:t>6.1 机械路线与运行对象</w:t>
      </w:r>
    </w:p>
    <w:p>
      <w:pPr>
        <w:jc w:val="both"/>
      </w:pPr>
      <w:r>
        <w:rPr>
          <w:rFonts w:ascii="宋体" w:hAnsi="宋体" w:eastAsia="宋体" w:cs="宋体"/>
          <w:b w:val="0"/>
          <w:i w:val="0"/>
          <w:color w:val="000000"/>
          <w:sz w:val="22"/>
        </w:rPr>
        <w:t>第一阶段选择一种明确直径、结构和附件布置的地线样本，在非带电试验架上完成往返验证，轮槽槽底半径、夹持力上限、附加载荷和冲击限制逐项标定。OPGW 含有光纤单元，机构设计需要控制接触压力、弯曲和扭转影响。首阶段路径为 Dock 到限定端点之间的单档距连续区段，已知附件在路径模型中标记，机器人到达未验证障碍前停止，防振锤、接续管和标准悬垂结构在后续阶段逐项验证。</w:t>
      </w:r>
    </w:p>
    <w:p>
      <w:pPr>
        <w:keepNext/>
        <w:spacing w:before="120"/>
        <w:jc w:val="center"/>
      </w:pPr>
      <w:r>
        <w:drawing>
          <wp:inline xmlns:a="http://schemas.openxmlformats.org/drawingml/2006/main" xmlns:pic="http://schemas.openxmlformats.org/drawingml/2006/picture">
            <wp:extent cx="5852160" cy="1698324"/>
            <wp:docPr id="3" name="Picture 3" descr="Robot 外形三视图（标注为模型外形包络，含云台与配重）"/>
            <wp:cNvGraphicFramePr>
              <a:graphicFrameLocks noChangeAspect="1"/>
            </wp:cNvGraphicFramePr>
            <a:graphic>
              <a:graphicData uri="http://schemas.openxmlformats.org/drawingml/2006/picture">
                <pic:pic>
                  <pic:nvPicPr>
                    <pic:cNvPr id="0" name="three-views.png"/>
                    <pic:cNvPicPr/>
                  </pic:nvPicPr>
                  <pic:blipFill>
                    <a:blip r:embed="rId13"/>
                    <a:stretch>
                      <a:fillRect/>
                    </a:stretch>
                  </pic:blipFill>
                  <pic:spPr>
                    <a:xfrm>
                      <a:off x="0" y="0"/>
                      <a:ext cx="5852160" cy="1698324"/>
                    </a:xfrm>
                    <a:prstGeom prst="rect"/>
                  </pic:spPr>
                </pic:pic>
              </a:graphicData>
            </a:graphic>
          </wp:inline>
        </w:drawing>
      </w:r>
    </w:p>
    <w:p>
      <w:pPr>
        <w:pStyle w:val="Caption"/>
        <w:spacing w:after="200"/>
        <w:jc w:val="center"/>
      </w:pPr>
      <w:r>
        <w:t>图 3  Robot 外形三视图（标注为模型外形包络，含云台与配重）</w:t>
      </w:r>
    </w:p>
    <w:p>
      <w:pPr>
        <w:pStyle w:val="Heading2"/>
      </w:pPr>
      <w:r>
        <w:t>6.2 定位与检测布置</w:t>
      </w:r>
    </w:p>
    <w:p>
      <w:pPr>
        <w:jc w:val="both"/>
      </w:pPr>
      <w:r>
        <w:rPr>
          <w:rFonts w:ascii="宋体" w:hAnsi="宋体" w:eastAsia="宋体" w:cs="宋体"/>
          <w:b w:val="0"/>
          <w:i w:val="0"/>
          <w:color w:val="000000"/>
          <w:sz w:val="22"/>
        </w:rPr>
        <w:t>编码器提供沿线行程估计，视觉标记或测距模块用于端点和检测点校正；Dock 使用独立对接标记和到位传感器，减少累计定位误差对回站的影响。摄像头覆盖前进方向和目标区域，机器人到达检测点后停车、稳定姿态再采集图像，图像数据同时记录拍摄位置和设备姿态，为重复拍摄和历史对比提供基础。</w:t>
      </w:r>
    </w:p>
    <w:p>
      <w:pPr>
        <w:pStyle w:val="Heading2"/>
      </w:pPr>
      <w:r>
        <w:t>6.3 能源与通信</w:t>
      </w:r>
    </w:p>
    <w:p>
      <w:pPr>
        <w:jc w:val="both"/>
      </w:pPr>
      <w:r>
        <w:rPr>
          <w:rFonts w:ascii="宋体" w:hAnsi="宋体" w:eastAsia="宋体" w:cs="宋体"/>
          <w:b w:val="0"/>
          <w:i w:val="0"/>
          <w:color w:val="000000"/>
          <w:sz w:val="22"/>
        </w:rPr>
        <w:t>能源预算包括移动、停车检测、计算、通信、待机和返程储备，平台在任务前计算可用能量，返程储备不足时不允许出发。后续户外 Dock 以塔侧太阳能和储能为主要方案，低温或低辐照条件下降低任务频率。通信优先回传设备状态和关键结果，原始图像分级上传；山区网络中断时 Robot 保存任务进度和检测数据，本地控制器独立于网络保持基本安全，不依赖云端实时控制电机。</w:t>
      </w:r>
    </w:p>
    <w:p>
      <w:pPr>
        <w:pStyle w:val="Heading2"/>
      </w:pPr>
      <w:r>
        <w:t>6.4 安全与异常处置</w:t>
      </w:r>
    </w:p>
    <w:p>
      <w:pPr>
        <w:jc w:val="both"/>
      </w:pPr>
      <w:r>
        <w:rPr>
          <w:rFonts w:ascii="宋体" w:hAnsi="宋体" w:eastAsia="宋体" w:cs="宋体"/>
          <w:b w:val="0"/>
          <w:i w:val="0"/>
          <w:color w:val="000000"/>
          <w:sz w:val="22"/>
        </w:rPr>
        <w:t>本地安全控制器持续监测夹持轮、承载、防脱、电池和姿态：通信中断时禁止开始新的工具动作，定位异常时停止前进，低电量时优先返回，机械异常时保持承载并上报。平台超时仅表示结果未知，不能自动重复执行运动指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1860"/>
        <w:gridCol w:w="3917"/>
        <w:gridCol w:w="4015"/>
      </w:tblGrid>
      <w:tr>
        <w:trPr>
          <w:cantSplit/>
          <w:tblHeader/>
        </w:trPr>
        <w:tc>
          <w:tcPr>
            <w:tcW w:type="dxa" w:w="1860"/>
            <w:vAlign w:val="center"/>
            <w:shd w:fill="DCE8EF"/>
          </w:tcPr>
          <w:p>
            <w:pPr>
              <w:keepNext/>
              <w:spacing w:after="0" w:before="0" w:line="283" w:lineRule="auto"/>
              <w:jc w:val="center"/>
            </w:pPr>
            <w:r>
              <w:rPr>
                <w:rFonts w:ascii="宋体" w:hAnsi="宋体" w:eastAsia="宋体" w:cs="宋体"/>
                <w:b/>
                <w:i w:val="0"/>
                <w:color w:val="000000"/>
                <w:sz w:val="20"/>
              </w:rPr>
              <w:t>异常</w:t>
            </w:r>
          </w:p>
        </w:tc>
        <w:tc>
          <w:tcPr>
            <w:tcW w:type="dxa" w:w="3917"/>
            <w:vAlign w:val="center"/>
            <w:shd w:fill="DCE8EF"/>
          </w:tcPr>
          <w:p>
            <w:pPr>
              <w:keepNext/>
              <w:spacing w:after="0" w:before="0" w:line="283" w:lineRule="auto"/>
              <w:jc w:val="center"/>
            </w:pPr>
            <w:r>
              <w:rPr>
                <w:rFonts w:ascii="宋体" w:hAnsi="宋体" w:eastAsia="宋体" w:cs="宋体"/>
                <w:b/>
                <w:i w:val="0"/>
                <w:color w:val="000000"/>
                <w:sz w:val="20"/>
              </w:rPr>
              <w:t>本地动作</w:t>
            </w:r>
          </w:p>
        </w:tc>
        <w:tc>
          <w:tcPr>
            <w:tcW w:type="dxa" w:w="4015"/>
            <w:vAlign w:val="center"/>
            <w:shd w:fill="DCE8EF"/>
          </w:tcPr>
          <w:p>
            <w:pPr>
              <w:keepNext/>
              <w:spacing w:after="0" w:before="0" w:line="283" w:lineRule="auto"/>
              <w:jc w:val="center"/>
            </w:pPr>
            <w:r>
              <w:rPr>
                <w:rFonts w:ascii="宋体" w:hAnsi="宋体" w:eastAsia="宋体" w:cs="宋体"/>
                <w:b/>
                <w:i w:val="0"/>
                <w:color w:val="000000"/>
                <w:sz w:val="20"/>
              </w:rPr>
              <w:t>平台处理</w:t>
            </w:r>
          </w:p>
        </w:tc>
      </w:tr>
      <w:tr>
        <w:trPr>
          <w:cantSplit/>
        </w:trPr>
        <w:tc>
          <w:tcPr>
            <w:tcW w:type="dxa" w:w="1860"/>
            <w:vAlign w:val="center"/>
            <w:shd w:fill="FFFFFF"/>
          </w:tcPr>
          <w:p>
            <w:pPr>
              <w:keepNext/>
              <w:spacing w:after="0" w:before="0" w:line="283" w:lineRule="auto"/>
              <w:jc w:val="left"/>
            </w:pPr>
            <w:r>
              <w:rPr>
                <w:rFonts w:ascii="宋体" w:hAnsi="宋体" w:eastAsia="宋体" w:cs="宋体"/>
                <w:b w:val="0"/>
                <w:i w:val="0"/>
                <w:color w:val="000000"/>
                <w:sz w:val="20"/>
              </w:rPr>
              <w:t>低电量</w:t>
            </w:r>
          </w:p>
        </w:tc>
        <w:tc>
          <w:tcPr>
            <w:tcW w:type="dxa" w:w="3917"/>
            <w:vAlign w:val="center"/>
            <w:shd w:fill="FFFFFF"/>
          </w:tcPr>
          <w:p>
            <w:pPr>
              <w:keepNext/>
              <w:spacing w:after="0" w:before="0" w:line="283" w:lineRule="auto"/>
              <w:jc w:val="left"/>
            </w:pPr>
            <w:r>
              <w:rPr>
                <w:rFonts w:ascii="宋体" w:hAnsi="宋体" w:eastAsia="宋体" w:cs="宋体"/>
                <w:b w:val="0"/>
                <w:i w:val="0"/>
                <w:color w:val="000000"/>
                <w:sz w:val="20"/>
              </w:rPr>
              <w:t>停止新增任务并返回</w:t>
            </w:r>
          </w:p>
        </w:tc>
        <w:tc>
          <w:tcPr>
            <w:tcW w:type="dxa" w:w="4015"/>
            <w:vAlign w:val="center"/>
            <w:shd w:fill="FFFFFF"/>
          </w:tcPr>
          <w:p>
            <w:pPr>
              <w:keepNext/>
              <w:spacing w:after="0" w:before="0" w:line="283" w:lineRule="auto"/>
              <w:jc w:val="left"/>
            </w:pPr>
            <w:r>
              <w:rPr>
                <w:rFonts w:ascii="宋体" w:hAnsi="宋体" w:eastAsia="宋体" w:cs="宋体"/>
                <w:b w:val="0"/>
                <w:i w:val="0"/>
                <w:color w:val="000000"/>
                <w:sz w:val="20"/>
              </w:rPr>
              <w:t>自动返航，与人工返航共用同一套联锁；电量低于安全阈值时转安全驻停</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通信中断</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缓存数据并按预案返回或驻停</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标记离线并等待状态同步</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定位异常</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原地停车并重新定位</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请求人工确认目标</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未知障碍</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停止前进并拍摄障碍</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创建专项复检任务</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对接失败</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限次重试后安全驻停</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生成 Dock 检查任务</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Dock 在机器人出发前提供任务许可，确认机械锁止已解除、通信正常且能源满足往返；Robot 离站后 Dock 保持通信中继并记录站点状态，返回时先进入低速对接区，再完成位置确认、锁止和充电握手。对接采用分步确认，不能把"检测到 Robot 靠近"直接视为驻留成功。</w:t>
      </w:r>
    </w:p>
    <w:p>
      <w:bookmarkStart w:id="7" w:name="section_7"/>
      <w:pPr>
        <w:pStyle w:val="Heading1"/>
      </w:pPr>
      <w:r>
        <w:t>7 软件系统架构</w:t>
      </w:r>
      <w:bookmarkEnd w:id="7"/>
    </w:p>
    <w:p>
      <w:pPr>
        <w:jc w:val="both"/>
      </w:pPr>
      <w:r>
        <w:rPr>
          <w:rFonts w:ascii="宋体" w:hAnsi="宋体" w:eastAsia="宋体" w:cs="宋体"/>
          <w:b w:val="0"/>
          <w:i w:val="0"/>
          <w:color w:val="000000"/>
          <w:sz w:val="22"/>
        </w:rPr>
        <w:t>管理平台采用 Java 与 Spring Boot 的模块化单体，按设备管理、任务管理、检测管理、告警复核、人工确认和数据存储六个模块划分，避免在早期引入与任务无关的复杂服务。</w:t>
      </w:r>
    </w:p>
    <w:p>
      <w:pPr>
        <w:keepNext/>
        <w:spacing w:before="120"/>
        <w:jc w:val="center"/>
      </w:pPr>
      <w:r>
        <w:drawing>
          <wp:inline xmlns:a="http://schemas.openxmlformats.org/drawingml/2006/main" xmlns:pic="http://schemas.openxmlformats.org/drawingml/2006/picture">
            <wp:extent cx="5852160" cy="3597884"/>
            <wp:docPr id="4" name="Picture 4" descr="LineGuard 系统逻辑架构"/>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852160" cy="3597884"/>
                    </a:xfrm>
                    <a:prstGeom prst="rect"/>
                  </pic:spPr>
                </pic:pic>
              </a:graphicData>
            </a:graphic>
          </wp:inline>
        </w:drawing>
      </w:r>
    </w:p>
    <w:p>
      <w:pPr>
        <w:pStyle w:val="Caption"/>
        <w:spacing w:after="200"/>
        <w:jc w:val="center"/>
      </w:pPr>
      <w:r>
        <w:t>图 4  系统逻辑架构</w:t>
      </w:r>
    </w:p>
    <w:p>
      <w:pPr>
        <w:jc w:val="both"/>
      </w:pPr>
      <w:r>
        <w:rPr>
          <w:rFonts w:ascii="宋体" w:hAnsi="宋体" w:eastAsia="宋体" w:cs="宋体"/>
          <w:b w:val="0"/>
          <w:i w:val="0"/>
          <w:color w:val="000000"/>
          <w:sz w:val="22"/>
        </w:rPr>
        <w:t>平台只下发任务级指令，运动与安全动作由本地控制器执行。</w:t>
      </w:r>
    </w:p>
    <w:p>
      <w:pPr>
        <w:pStyle w:val="Heading2"/>
      </w:pPr>
      <w:r>
        <w:t>7.1 核心任务状态</w:t>
      </w:r>
    </w:p>
    <w:p>
      <w:pPr>
        <w:jc w:val="both"/>
      </w:pPr>
      <w:r>
        <w:rPr>
          <w:rFonts w:ascii="宋体" w:hAnsi="宋体" w:eastAsia="宋体" w:cs="宋体"/>
          <w:b w:val="0"/>
          <w:i w:val="0"/>
          <w:color w:val="000000"/>
          <w:sz w:val="22"/>
        </w:rPr>
        <w:t>任务状态依次为驻留、预检、出发、移动、检测、上传、等待复核、返回、对接和完成。等待人工处理、任务中止和安全驻停是独立异常状态，任何状态转换都记录触发条件、设备反馈和时间。</w:t>
      </w:r>
    </w:p>
    <w:p>
      <w:pPr>
        <w:keepNext/>
        <w:spacing w:before="120"/>
        <w:jc w:val="center"/>
      </w:pPr>
      <w:r>
        <w:drawing>
          <wp:inline xmlns:a="http://schemas.openxmlformats.org/drawingml/2006/main" xmlns:pic="http://schemas.openxmlformats.org/drawingml/2006/picture">
            <wp:extent cx="5852160" cy="485192"/>
            <wp:docPr id="5" name="Picture 5" descr="LineGuard 核心任务状态（正常闭环）"/>
            <wp:cNvGraphicFramePr>
              <a:graphicFrameLocks noChangeAspect="1"/>
            </wp:cNvGraphicFramePr>
            <a:graphic>
              <a:graphicData uri="http://schemas.openxmlformats.org/drawingml/2006/picture">
                <pic:pic>
                  <pic:nvPicPr>
                    <pic:cNvPr id="0" name="figure-5.png"/>
                    <pic:cNvPicPr/>
                  </pic:nvPicPr>
                  <pic:blipFill>
                    <a:blip r:embed="rId15"/>
                    <a:stretch>
                      <a:fillRect/>
                    </a:stretch>
                  </pic:blipFill>
                  <pic:spPr>
                    <a:xfrm>
                      <a:off x="0" y="0"/>
                      <a:ext cx="5852160" cy="485192"/>
                    </a:xfrm>
                    <a:prstGeom prst="rect"/>
                  </pic:spPr>
                </pic:pic>
              </a:graphicData>
            </a:graphic>
          </wp:inline>
        </w:drawing>
      </w:r>
    </w:p>
    <w:p>
      <w:pPr>
        <w:pStyle w:val="Caption"/>
        <w:spacing w:after="200"/>
        <w:jc w:val="center"/>
      </w:pPr>
      <w:r>
        <w:t>图 5  核心任务状态（正常闭环）</w:t>
      </w:r>
    </w:p>
    <w:p>
      <w:pPr>
        <w:jc w:val="both"/>
      </w:pPr>
      <w:r>
        <w:rPr>
          <w:rFonts w:ascii="宋体" w:hAnsi="宋体" w:eastAsia="宋体" w:cs="宋体"/>
          <w:b w:val="0"/>
          <w:i w:val="0"/>
          <w:color w:val="000000"/>
          <w:sz w:val="22"/>
        </w:rPr>
        <w:t>正常闭环之外还有两条可自动重试的支线：预检未通过时可以修正后重新派发，图像不可判读时允许在原位重新采集一次。其余异常会进入安全驻停或等待人工处理，机器人保持挂线承载，只有人工下达召回或返航指令才会重新移动。终止只在机器人仍驻留于 Dock 时才结束任务；已经离站时终止只会转入安全驻停并保留任务归属，必须先召回——挂线约束优先于任务状态。</w:t>
      </w:r>
    </w:p>
    <w:p>
      <w:pPr>
        <w:keepNext/>
        <w:spacing w:before="120"/>
        <w:jc w:val="center"/>
      </w:pPr>
      <w:r>
        <w:drawing>
          <wp:inline xmlns:a="http://schemas.openxmlformats.org/drawingml/2006/main" xmlns:pic="http://schemas.openxmlformats.org/drawingml/2006/picture">
            <wp:extent cx="5852160" cy="1642188"/>
            <wp:docPr id="6" name="Picture 6" descr="LineGuard 异常状态与恢复路径"/>
            <wp:cNvGraphicFramePr>
              <a:graphicFrameLocks noChangeAspect="1"/>
            </wp:cNvGraphicFramePr>
            <a:graphic>
              <a:graphicData uri="http://schemas.openxmlformats.org/drawingml/2006/picture">
                <pic:pic>
                  <pic:nvPicPr>
                    <pic:cNvPr id="0" name="figure-6.png"/>
                    <pic:cNvPicPr/>
                  </pic:nvPicPr>
                  <pic:blipFill>
                    <a:blip r:embed="rId16"/>
                    <a:stretch>
                      <a:fillRect/>
                    </a:stretch>
                  </pic:blipFill>
                  <pic:spPr>
                    <a:xfrm>
                      <a:off x="0" y="0"/>
                      <a:ext cx="5852160" cy="1642188"/>
                    </a:xfrm>
                    <a:prstGeom prst="rect"/>
                  </pic:spPr>
                </pic:pic>
              </a:graphicData>
            </a:graphic>
          </wp:inline>
        </w:drawing>
      </w:r>
    </w:p>
    <w:p>
      <w:pPr>
        <w:pStyle w:val="Caption"/>
        <w:spacing w:after="200"/>
        <w:jc w:val="center"/>
      </w:pPr>
      <w:r>
        <w:t>图 6  异常状态与恢复路径</w:t>
      </w:r>
    </w:p>
    <w:p>
      <w:pPr>
        <w:jc w:val="both"/>
      </w:pPr>
      <w:r>
        <w:rPr>
          <w:rFonts w:ascii="宋体" w:hAnsi="宋体" w:eastAsia="宋体" w:cs="宋体"/>
          <w:b w:val="0"/>
          <w:i w:val="0"/>
          <w:color w:val="000000"/>
          <w:sz w:val="22"/>
        </w:rPr>
        <w:t>状态机以白名单方式实现：未列出的转换会被拒绝，终态没有出口。任务携带目标设备、目标位置和有效期，指令携带唯一编号，Robot 收到重复消息时只返回当前状态、不重复执行运动；断网重连后平台先同步设备实际状态，再决定继续、返回或结束任务。</w:t>
      </w:r>
    </w:p>
    <w:p>
      <w:pPr>
        <w:pStyle w:val="Heading2"/>
      </w:pPr>
      <w:r>
        <w:t>7.2 数据模型与角色分工</w:t>
      </w:r>
    </w:p>
    <w:p>
      <w:pPr>
        <w:jc w:val="both"/>
      </w:pPr>
      <w:r>
        <w:rPr>
          <w:rFonts w:ascii="宋体" w:hAnsi="宋体" w:eastAsia="宋体" w:cs="宋体"/>
          <w:b w:val="0"/>
          <w:i w:val="0"/>
          <w:color w:val="000000"/>
          <w:sz w:val="22"/>
        </w:rPr>
        <w:t>检测记录按照线路、区段、设备和目标对象组织，每次任务保存原始图像、缩略图、位置、时间、设备状态和人工结论；数据质量不足时明确标记，不将缺失结果计为正常。</w:t>
      </w:r>
    </w:p>
    <w:p>
      <w:pPr>
        <w:keepNext/>
        <w:spacing w:before="120"/>
        <w:jc w:val="center"/>
      </w:pPr>
      <w:r>
        <w:drawing>
          <wp:inline xmlns:a="http://schemas.openxmlformats.org/drawingml/2006/main" xmlns:pic="http://schemas.openxmlformats.org/drawingml/2006/picture">
            <wp:extent cx="5852160" cy="4717558"/>
            <wp:docPr id="7" name="Picture 7" descr="LineGuard 数据模型"/>
            <wp:cNvGraphicFramePr>
              <a:graphicFrameLocks noChangeAspect="1"/>
            </wp:cNvGraphicFramePr>
            <a:graphic>
              <a:graphicData uri="http://schemas.openxmlformats.org/drawingml/2006/picture">
                <pic:pic>
                  <pic:nvPicPr>
                    <pic:cNvPr id="0" name="figure-7.png"/>
                    <pic:cNvPicPr/>
                  </pic:nvPicPr>
                  <pic:blipFill>
                    <a:blip r:embed="rId17"/>
                    <a:stretch>
                      <a:fillRect/>
                    </a:stretch>
                  </pic:blipFill>
                  <pic:spPr>
                    <a:xfrm>
                      <a:off x="0" y="0"/>
                      <a:ext cx="5852160" cy="4717558"/>
                    </a:xfrm>
                    <a:prstGeom prst="rect"/>
                  </pic:spPr>
                </pic:pic>
              </a:graphicData>
            </a:graphic>
          </wp:inline>
        </w:drawing>
      </w:r>
    </w:p>
    <w:p>
      <w:pPr>
        <w:pStyle w:val="Caption"/>
        <w:spacing w:after="200"/>
        <w:jc w:val="center"/>
      </w:pPr>
      <w:r>
        <w:t>图 7  数据模型</w:t>
      </w:r>
    </w:p>
    <w:p>
      <w:pPr>
        <w:jc w:val="both"/>
      </w:pPr>
      <w:r>
        <w:rPr>
          <w:rFonts w:ascii="宋体" w:hAnsi="宋体" w:eastAsia="宋体" w:cs="宋体"/>
          <w:b w:val="0"/>
          <w:i w:val="0"/>
          <w:color w:val="000000"/>
          <w:sz w:val="22"/>
        </w:rPr>
        <w:t>实体之间是应用层维护的逻辑引用，数据库未建立外键约束，以便后续按区段或按年度归档时保持调整空间；指令去重表在任务编号与指令编号上有唯一约束，重复指令会在此处被拦截。巡检人员、状态评价人员、检修负责人与设备管理员的职责划分见 2.2，那是组织上的分工；**原型阶段不做身份与权限校验**，复核结论的填写人由界面固定填入，正式系统需要与客户已有的身份体系对接。</w:t>
      </w:r>
    </w:p>
    <w:p>
      <w:pPr>
        <w:pStyle w:val="Heading2"/>
      </w:pPr>
      <w:r>
        <w:t>7.3 核心软件接口与交互</w:t>
      </w:r>
    </w:p>
    <w:p>
      <w:pPr>
        <w:jc w:val="both"/>
      </w:pPr>
      <w:r>
        <w:rPr>
          <w:rFonts w:ascii="宋体" w:hAnsi="宋体" w:eastAsia="宋体" w:cs="宋体"/>
          <w:b w:val="0"/>
          <w:i w:val="0"/>
          <w:color w:val="000000"/>
          <w:sz w:val="22"/>
        </w:rPr>
        <w:t>平台与设备执行端之间目前只有一条窄边界：</w:t>
      </w:r>
      <w:r>
        <w:rPr>
          <w:rFonts w:ascii="Consolas" w:hAnsi="Consolas" w:eastAsia="Consolas" w:cs="Consolas"/>
          <w:b w:val="0"/>
          <w:i w:val="0"/>
          <w:color w:val="000000"/>
          <w:sz w:val="20"/>
        </w:rPr>
        <w:t>DeviceGateway</w:t>
      </w:r>
      <w:r>
        <w:rPr>
          <w:rFonts w:ascii="宋体" w:hAnsi="宋体" w:eastAsia="宋体" w:cs="宋体"/>
          <w:b w:val="0"/>
          <w:i w:val="0"/>
          <w:color w:val="000000"/>
          <w:sz w:val="22"/>
        </w:rPr>
        <w:t xml:space="preserve"> 按任务启停执行端的推进（</w:t>
      </w:r>
      <w:r>
        <w:rPr>
          <w:rFonts w:ascii="Consolas" w:hAnsi="Consolas" w:eastAsia="Consolas" w:cs="Consolas"/>
          <w:b w:val="0"/>
          <w:i w:val="0"/>
          <w:color w:val="000000"/>
          <w:sz w:val="20"/>
        </w:rPr>
        <w:t>startOrResume</w:t>
      </w:r>
      <w:r>
        <w:rPr>
          <w:rFonts w:ascii="宋体" w:hAnsi="宋体" w:eastAsia="宋体" w:cs="宋体"/>
          <w:b w:val="0"/>
          <w:i w:val="0"/>
          <w:color w:val="000000"/>
          <w:sz w:val="22"/>
        </w:rPr>
        <w:t xml:space="preserve"> / </w:t>
      </w:r>
      <w:r>
        <w:rPr>
          <w:rFonts w:ascii="Consolas" w:hAnsi="Consolas" w:eastAsia="Consolas" w:cs="Consolas"/>
          <w:b w:val="0"/>
          <w:i w:val="0"/>
          <w:color w:val="000000"/>
          <w:sz w:val="20"/>
        </w:rPr>
        <w:t>stop</w:t>
      </w:r>
      <w:r>
        <w:rPr>
          <w:rFonts w:ascii="宋体" w:hAnsi="宋体" w:eastAsia="宋体" w:cs="宋体"/>
          <w:b w:val="0"/>
          <w:i w:val="0"/>
          <w:color w:val="000000"/>
          <w:sz w:val="22"/>
        </w:rPr>
        <w:t xml:space="preserve"> / </w:t>
      </w:r>
      <w:r>
        <w:rPr>
          <w:rFonts w:ascii="Consolas" w:hAnsi="Consolas" w:eastAsia="Consolas" w:cs="Consolas"/>
          <w:b w:val="0"/>
          <w:i w:val="0"/>
          <w:color w:val="000000"/>
          <w:sz w:val="20"/>
        </w:rPr>
        <w:t>stopAll</w:t>
      </w:r>
      <w:r>
        <w:rPr>
          <w:rFonts w:ascii="宋体" w:hAnsi="宋体" w:eastAsia="宋体" w:cs="宋体"/>
          <w:b w:val="0"/>
          <w:i w:val="0"/>
          <w:color w:val="000000"/>
          <w:sz w:val="22"/>
        </w:rPr>
        <w:t>），当前实现把它交给内置仿真调度器按固定步长推进。设备状态本身由平台侧的仿真逻辑算出并直接落库，因此"任务下发、状态上报、检测上传、对接握手和异常事件"这五类交互在这一阶段都是同进程内的调用，还不是一条可替换的设备通信链路；接入真实设备需要新增通信端口（下发与上报）并重新审视"设备即数据库记录"这个假设，任务状态机与数据模型可以保持不动。</w:t>
      </w:r>
    </w:p>
    <w:p>
      <w:pPr>
        <w:keepNext/>
        <w:spacing w:before="120"/>
        <w:jc w:val="center"/>
      </w:pPr>
      <w:r>
        <w:drawing>
          <wp:inline xmlns:a="http://schemas.openxmlformats.org/drawingml/2006/main" xmlns:pic="http://schemas.openxmlformats.org/drawingml/2006/picture">
            <wp:extent cx="5852160" cy="2926080"/>
            <wp:docPr id="8" name="Picture 8" descr="LineGuard 单次任务的全链路交互"/>
            <wp:cNvGraphicFramePr>
              <a:graphicFrameLocks noChangeAspect="1"/>
            </wp:cNvGraphicFramePr>
            <a:graphic>
              <a:graphicData uri="http://schemas.openxmlformats.org/drawingml/2006/picture">
                <pic:pic>
                  <pic:nvPicPr>
                    <pic:cNvPr id="0" name="figure-8.png"/>
                    <pic:cNvPicPr/>
                  </pic:nvPicPr>
                  <pic:blipFill>
                    <a:blip r:embed="rId18"/>
                    <a:stretch>
                      <a:fillRect/>
                    </a:stretch>
                  </pic:blipFill>
                  <pic:spPr>
                    <a:xfrm>
                      <a:off x="0" y="0"/>
                      <a:ext cx="5852160" cy="2926080"/>
                    </a:xfrm>
                    <a:prstGeom prst="rect"/>
                  </pic:spPr>
                </pic:pic>
              </a:graphicData>
            </a:graphic>
          </wp:inline>
        </w:drawing>
      </w:r>
    </w:p>
    <w:p>
      <w:pPr>
        <w:pStyle w:val="Caption"/>
        <w:spacing w:after="200"/>
        <w:jc w:val="center"/>
      </w:pPr>
      <w:r>
        <w:t>图 8  单次任务的全链路交互</w:t>
      </w:r>
    </w:p>
    <w:p>
      <w:pPr>
        <w:pStyle w:val="Heading2"/>
      </w:pPr>
      <w:r>
        <w:t>7.4 部署视图</w:t>
      </w:r>
    </w:p>
    <w:p>
      <w:pPr>
        <w:jc w:val="both"/>
      </w:pPr>
      <w:r>
        <w:rPr>
          <w:rFonts w:ascii="宋体" w:hAnsi="宋体" w:eastAsia="宋体" w:cs="宋体"/>
          <w:b w:val="0"/>
          <w:i w:val="0"/>
          <w:color w:val="000000"/>
          <w:sz w:val="22"/>
        </w:rPr>
        <w:t>第一阶段按单机部署：一个 Spring Boot 进程同时承载管理平台与仿真调度，检测图像与任务数据落在本地文件系统，运维人员通过浏览器访问。</w:t>
      </w:r>
    </w:p>
    <w:p>
      <w:pPr>
        <w:keepNext/>
        <w:spacing w:before="120"/>
        <w:jc w:val="center"/>
      </w:pPr>
      <w:r>
        <w:drawing>
          <wp:inline xmlns:a="http://schemas.openxmlformats.org/drawingml/2006/main" xmlns:pic="http://schemas.openxmlformats.org/drawingml/2006/picture">
            <wp:extent cx="5852160" cy="1821336"/>
            <wp:docPr id="9" name="Picture 9" descr="LineGuard 原型部署形态"/>
            <wp:cNvGraphicFramePr>
              <a:graphicFrameLocks noChangeAspect="1"/>
            </wp:cNvGraphicFramePr>
            <a:graphic>
              <a:graphicData uri="http://schemas.openxmlformats.org/drawingml/2006/picture">
                <pic:pic>
                  <pic:nvPicPr>
                    <pic:cNvPr id="0" name="figure-9.png"/>
                    <pic:cNvPicPr/>
                  </pic:nvPicPr>
                  <pic:blipFill>
                    <a:blip r:embed="rId19"/>
                    <a:stretch>
                      <a:fillRect/>
                    </a:stretch>
                  </pic:blipFill>
                  <pic:spPr>
                    <a:xfrm>
                      <a:off x="0" y="0"/>
                      <a:ext cx="5852160" cy="1821336"/>
                    </a:xfrm>
                    <a:prstGeom prst="rect"/>
                  </pic:spPr>
                </pic:pic>
              </a:graphicData>
            </a:graphic>
          </wp:inline>
        </w:drawing>
      </w:r>
    </w:p>
    <w:p>
      <w:pPr>
        <w:pStyle w:val="Caption"/>
        <w:spacing w:after="200"/>
        <w:jc w:val="center"/>
      </w:pPr>
      <w:r>
        <w:t>图 9  原型部署形态</w:t>
      </w:r>
    </w:p>
    <w:p>
      <w:pPr>
        <w:jc w:val="both"/>
      </w:pPr>
      <w:r>
        <w:rPr>
          <w:rFonts w:ascii="宋体" w:hAnsi="宋体" w:eastAsia="宋体" w:cs="宋体"/>
          <w:b w:val="0"/>
          <w:i w:val="0"/>
          <w:color w:val="000000"/>
          <w:sz w:val="22"/>
        </w:rPr>
        <w:t>该部署形态用于验证任务逻辑与数据流程。接入真实设备还需要新增设备通信端口、替换仿真调度，并把"设备状态直接落库"改为通过端口收发；正式数据库是另一项独立工作。任务状态机与数据模型可以保持不动。</w:t>
      </w:r>
    </w:p>
    <w:p>
      <w:bookmarkStart w:id="8" w:name="section_8"/>
      <w:pPr>
        <w:pStyle w:val="Heading1"/>
      </w:pPr>
      <w:r>
        <w:t>8 第一阶段实施方案与验收</w:t>
      </w:r>
      <w:bookmarkEnd w:id="8"/>
    </w:p>
    <w:p>
      <w:pPr>
        <w:jc w:val="both"/>
      </w:pPr>
      <w:r>
        <w:rPr>
          <w:rFonts w:ascii="宋体" w:hAnsi="宋体" w:eastAsia="宋体" w:cs="宋体"/>
          <w:b w:val="0"/>
          <w:i w:val="0"/>
          <w:color w:val="000000"/>
          <w:sz w:val="22"/>
        </w:rPr>
        <w:t>第一阶段只实现单档距核心闭环，软件先接入设备模拟器，再接入非带电试验架，以便分别验证任务逻辑、数据流程和机械能力。</w:t>
      </w:r>
    </w:p>
    <w:p>
      <w:pPr>
        <w:pStyle w:val="Heading2"/>
      </w:pPr>
      <w:r>
        <w:t>8.1 工作内容</w:t>
      </w:r>
    </w:p>
    <w:p>
      <w:pPr>
        <w:jc w:val="both"/>
      </w:pPr>
      <w:r>
        <w:rPr>
          <w:rFonts w:ascii="宋体" w:hAnsi="宋体" w:eastAsia="宋体" w:cs="宋体"/>
          <w:b w:val="0"/>
          <w:i w:val="0"/>
          <w:color w:val="000000"/>
          <w:sz w:val="22"/>
        </w:rPr>
        <w:t>工作分五块：确定目标线路、检测点、角色与边界，产出需求清单；完成 Robot 与 Dock 的机构概念、接口和状态定义；实现设备、任务、检测与复核模块的 Java 原型与模拟器；打通预检、移动、采集、上传和返回的闭环联调；注入断网、低电量、障碍和对接失败，输出测试记录与改进清单。</w:t>
      </w:r>
    </w:p>
    <w:p>
      <w:pPr>
        <w:pStyle w:val="Heading2"/>
      </w:pPr>
      <w:r>
        <w:t>8.2 演示流程</w:t>
      </w:r>
    </w:p>
    <w:p>
      <w:pPr>
        <w:ind w:left="216" w:hanging="216"/>
        <w:jc w:val="left"/>
      </w:pPr>
      <w:r>
        <w:rPr>
          <w:rFonts w:ascii="宋体" w:hAnsi="宋体" w:eastAsia="宋体" w:cs="宋体"/>
          <w:b w:val="0"/>
          <w:i w:val="0"/>
          <w:color w:val="000000"/>
          <w:sz w:val="22"/>
        </w:rPr>
        <w:t>1. 运维人员在平台选择"云岭示范区段"与检测点，创建近距巡检任务。</w:t>
      </w:r>
    </w:p>
    <w:p>
      <w:pPr>
        <w:ind w:left="216" w:hanging="216"/>
        <w:jc w:val="left"/>
      </w:pPr>
      <w:r>
        <w:rPr>
          <w:rFonts w:ascii="宋体" w:hAnsi="宋体" w:eastAsia="宋体" w:cs="宋体"/>
          <w:b w:val="0"/>
          <w:i w:val="0"/>
          <w:color w:val="000000"/>
          <w:sz w:val="22"/>
        </w:rPr>
        <w:t>2. 平台检查 Robot、Dock、通信和电量，确认任务可以执行。</w:t>
      </w:r>
    </w:p>
    <w:p>
      <w:pPr>
        <w:ind w:left="216" w:hanging="216"/>
        <w:jc w:val="left"/>
      </w:pPr>
      <w:r>
        <w:rPr>
          <w:rFonts w:ascii="宋体" w:hAnsi="宋体" w:eastAsia="宋体" w:cs="宋体"/>
          <w:b w:val="0"/>
          <w:i w:val="0"/>
          <w:color w:val="000000"/>
          <w:sz w:val="22"/>
        </w:rPr>
        <w:t>3. Robot 解锁离站，沿标定线路移动并持续上传状态。</w:t>
      </w:r>
    </w:p>
    <w:p>
      <w:pPr>
        <w:ind w:left="216" w:hanging="216"/>
        <w:jc w:val="left"/>
      </w:pPr>
      <w:r>
        <w:rPr>
          <w:rFonts w:ascii="宋体" w:hAnsi="宋体" w:eastAsia="宋体" w:cs="宋体"/>
          <w:b w:val="0"/>
          <w:i w:val="0"/>
          <w:color w:val="000000"/>
          <w:sz w:val="22"/>
        </w:rPr>
        <w:t>4. Robot 到达检测点，停车拍摄并上传图像。</w:t>
      </w:r>
    </w:p>
    <w:p>
      <w:pPr>
        <w:ind w:left="216" w:hanging="216"/>
        <w:jc w:val="left"/>
      </w:pPr>
      <w:r>
        <w:rPr>
          <w:rFonts w:ascii="宋体" w:hAnsi="宋体" w:eastAsia="宋体" w:cs="宋体"/>
          <w:b w:val="0"/>
          <w:i w:val="0"/>
          <w:color w:val="000000"/>
          <w:sz w:val="22"/>
        </w:rPr>
        <w:t>5. 运维人员查看图像并记录复核结论。</w:t>
      </w:r>
    </w:p>
    <w:p>
      <w:pPr>
        <w:ind w:left="216" w:hanging="216"/>
        <w:jc w:val="left"/>
      </w:pPr>
      <w:r>
        <w:rPr>
          <w:rFonts w:ascii="宋体" w:hAnsi="宋体" w:eastAsia="宋体" w:cs="宋体"/>
          <w:b w:val="0"/>
          <w:i w:val="0"/>
          <w:color w:val="000000"/>
          <w:sz w:val="22"/>
        </w:rPr>
        <w:t>6. Robot 返回 Dock，完成机械锁止、充电确认和数据同步。</w:t>
      </w:r>
    </w:p>
    <w:p>
      <w:pPr>
        <w:ind w:left="216" w:hanging="216"/>
        <w:jc w:val="left"/>
      </w:pPr>
      <w:r>
        <w:rPr>
          <w:rFonts w:ascii="宋体" w:hAnsi="宋体" w:eastAsia="宋体" w:cs="宋体"/>
          <w:b w:val="0"/>
          <w:i w:val="0"/>
          <w:color w:val="000000"/>
          <w:sz w:val="22"/>
        </w:rPr>
        <w:t>7. 平台生成完整任务记录，展示各状态、用时和异常信息。</w:t>
      </w:r>
    </w:p>
    <w:p>
      <w:pPr>
        <w:ind w:left="216" w:hanging="216"/>
        <w:jc w:val="left"/>
      </w:pPr>
      <w:r>
        <w:rPr>
          <w:rFonts w:ascii="宋体" w:hAnsi="宋体" w:eastAsia="宋体" w:cs="宋体"/>
          <w:b w:val="0"/>
          <w:i w:val="0"/>
          <w:color w:val="000000"/>
          <w:sz w:val="22"/>
        </w:rPr>
        <w:t>8. 在任务运行中终止任务，观察 Robot 进入安全驻停；随后下达召回返航，确认任务按闭环收尾。</w:t>
      </w:r>
    </w:p>
    <w:p>
      <w:pPr>
        <w:jc w:val="both"/>
      </w:pPr>
      <w:r>
        <w:rPr>
          <w:rFonts w:ascii="宋体" w:hAnsi="宋体" w:eastAsia="宋体" w:cs="宋体"/>
          <w:b w:val="0"/>
          <w:i w:val="0"/>
          <w:color w:val="000000"/>
          <w:sz w:val="22"/>
        </w:rPr>
        <w:t>原型包含任务管理、设备状态、检测结果和任务记录页面；设备模拟器能够接收任务、按时间推进状态、上传示例图像并注入故障。演示以一条完整任务为主线，正常闭环与异常闭环使用同一套任务状态。</w:t>
      </w:r>
    </w:p>
    <w:p>
      <w:pPr>
        <w:keepNext/>
        <w:spacing w:before="120"/>
        <w:jc w:val="center"/>
      </w:pPr>
      <w:r>
        <w:drawing>
          <wp:inline xmlns:a="http://schemas.openxmlformats.org/drawingml/2006/main" xmlns:pic="http://schemas.openxmlformats.org/drawingml/2006/picture">
            <wp:extent cx="5852160" cy="2486044"/>
            <wp:docPr id="10" name="Picture 10" descr="原型任务控制台的运行视图"/>
            <wp:cNvGraphicFramePr>
              <a:graphicFrameLocks noChangeAspect="1"/>
            </wp:cNvGraphicFramePr>
            <a:graphic>
              <a:graphicData uri="http://schemas.openxmlformats.org/drawingml/2006/picture">
                <pic:pic>
                  <pic:nvPicPr>
                    <pic:cNvPr id="0" name="console-running.png"/>
                    <pic:cNvPicPr/>
                  </pic:nvPicPr>
                  <pic:blipFill>
                    <a:blip r:embed="rId20"/>
                    <a:stretch>
                      <a:fillRect/>
                    </a:stretch>
                  </pic:blipFill>
                  <pic:spPr>
                    <a:xfrm>
                      <a:off x="0" y="0"/>
                      <a:ext cx="5852160" cy="2486044"/>
                    </a:xfrm>
                    <a:prstGeom prst="rect"/>
                  </pic:spPr>
                </pic:pic>
              </a:graphicData>
            </a:graphic>
          </wp:inline>
        </w:drawing>
      </w:r>
    </w:p>
    <w:p>
      <w:pPr>
        <w:pStyle w:val="Caption"/>
        <w:spacing w:after="200"/>
        <w:jc w:val="center"/>
      </w:pPr>
      <w:r>
        <w:t>图 10  原型任务控制台的运行视图</w:t>
      </w:r>
    </w:p>
    <w:p>
      <w:pPr>
        <w:pStyle w:val="Heading2"/>
      </w:pPr>
      <w:r>
        <w:t>8.3 验收标准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1860"/>
        <w:gridCol w:w="3917"/>
        <w:gridCol w:w="4015"/>
      </w:tblGrid>
      <w:tr>
        <w:trPr>
          <w:cantSplit/>
          <w:tblHeader/>
        </w:trPr>
        <w:tc>
          <w:tcPr>
            <w:tcW w:type="dxa" w:w="1860"/>
            <w:vAlign w:val="center"/>
            <w:shd w:fill="DCE8EF"/>
          </w:tcPr>
          <w:p>
            <w:pPr>
              <w:keepNext/>
              <w:spacing w:after="0" w:before="0" w:line="283" w:lineRule="auto"/>
              <w:jc w:val="center"/>
            </w:pPr>
            <w:r>
              <w:rPr>
                <w:rFonts w:ascii="宋体" w:hAnsi="宋体" w:eastAsia="宋体" w:cs="宋体"/>
                <w:b/>
                <w:i w:val="0"/>
                <w:color w:val="000000"/>
                <w:sz w:val="20"/>
              </w:rPr>
              <w:t>验收对象</w:t>
            </w:r>
          </w:p>
        </w:tc>
        <w:tc>
          <w:tcPr>
            <w:tcW w:type="dxa" w:w="3917"/>
            <w:vAlign w:val="center"/>
            <w:shd w:fill="DCE8EF"/>
          </w:tcPr>
          <w:p>
            <w:pPr>
              <w:keepNext/>
              <w:spacing w:after="0" w:before="0" w:line="283" w:lineRule="auto"/>
              <w:jc w:val="center"/>
            </w:pPr>
            <w:r>
              <w:rPr>
                <w:rFonts w:ascii="宋体" w:hAnsi="宋体" w:eastAsia="宋体" w:cs="宋体"/>
                <w:b/>
                <w:i w:val="0"/>
                <w:color w:val="000000"/>
                <w:sz w:val="20"/>
              </w:rPr>
              <w:t>检查内容</w:t>
            </w:r>
          </w:p>
        </w:tc>
        <w:tc>
          <w:tcPr>
            <w:tcW w:type="dxa" w:w="4015"/>
            <w:vAlign w:val="center"/>
            <w:shd w:fill="DCE8EF"/>
          </w:tcPr>
          <w:p>
            <w:pPr>
              <w:keepNext/>
              <w:spacing w:after="0" w:before="0" w:line="283" w:lineRule="auto"/>
              <w:jc w:val="center"/>
            </w:pPr>
            <w:r>
              <w:rPr>
                <w:rFonts w:ascii="宋体" w:hAnsi="宋体" w:eastAsia="宋体" w:cs="宋体"/>
                <w:b/>
                <w:i w:val="0"/>
                <w:color w:val="000000"/>
                <w:sz w:val="20"/>
              </w:rPr>
              <w:t>达成表现</w:t>
            </w:r>
          </w:p>
        </w:tc>
      </w:tr>
      <w:tr>
        <w:trPr>
          <w:cantSplit/>
        </w:trPr>
        <w:tc>
          <w:tcPr>
            <w:tcW w:type="dxa" w:w="1860"/>
            <w:vAlign w:val="center"/>
            <w:shd w:fill="FFFFFF"/>
          </w:tcPr>
          <w:p>
            <w:pPr>
              <w:keepNext/>
              <w:spacing w:after="0" w:before="0" w:line="283" w:lineRule="auto"/>
              <w:jc w:val="left"/>
            </w:pPr>
            <w:r>
              <w:rPr>
                <w:rFonts w:ascii="宋体" w:hAnsi="宋体" w:eastAsia="宋体" w:cs="宋体"/>
                <w:b w:val="0"/>
                <w:i w:val="0"/>
                <w:color w:val="000000"/>
                <w:sz w:val="20"/>
              </w:rPr>
              <w:t>正常闭环</w:t>
            </w:r>
          </w:p>
        </w:tc>
        <w:tc>
          <w:tcPr>
            <w:tcW w:type="dxa" w:w="3917"/>
            <w:vAlign w:val="center"/>
            <w:shd w:fill="FFFFFF"/>
          </w:tcPr>
          <w:p>
            <w:pPr>
              <w:keepNext/>
              <w:spacing w:after="0" w:before="0" w:line="283" w:lineRule="auto"/>
              <w:jc w:val="left"/>
            </w:pPr>
            <w:r>
              <w:rPr>
                <w:rFonts w:ascii="宋体" w:hAnsi="宋体" w:eastAsia="宋体" w:cs="宋体"/>
                <w:b w:val="0"/>
                <w:i w:val="0"/>
                <w:color w:val="000000"/>
                <w:sz w:val="20"/>
              </w:rPr>
              <w:t>预检、出发、检测、上传、返回、对接</w:t>
            </w:r>
          </w:p>
        </w:tc>
        <w:tc>
          <w:tcPr>
            <w:tcW w:type="dxa" w:w="4015"/>
            <w:vAlign w:val="center"/>
            <w:shd w:fill="FFFFFF"/>
          </w:tcPr>
          <w:p>
            <w:pPr>
              <w:keepNext/>
              <w:spacing w:after="0" w:before="0" w:line="283" w:lineRule="auto"/>
              <w:jc w:val="left"/>
            </w:pPr>
            <w:r>
              <w:rPr>
                <w:rFonts w:ascii="宋体" w:hAnsi="宋体" w:eastAsia="宋体" w:cs="宋体"/>
                <w:b w:val="0"/>
                <w:i w:val="0"/>
                <w:color w:val="000000"/>
                <w:sz w:val="20"/>
              </w:rPr>
              <w:t>全部状态连续且可追溯</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数据完整</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图像、位置、时间和目标对象关联</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缺失数据可识别并重采</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异常处理</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断网、低电量、重复消息和障碍</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不误执行并进入安全状态</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状态一致</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平台、Robot 与 Dock 记录</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重连后状态保持一致</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人工复核</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原始图像和处理结论</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任务能够形成明确结果</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表中除"数据完整"外，其余四行在原型里都有对应的自动化验证，可复现：正常闭环由后端集成测试断言完整的事件子序列；异常处理中的低电量返航、通信中断转人工、未知障碍与解除、Dock 对接失败重试、重复指令各有独立用例；状态一致由「重启后任务、Robot 与 Dock 三方一致」和「前端断线重连后回源补齐」两个用例覆盖；人工复核在闭环用例中以"提交复核结论并完成任务"的形式覆盖。"数据完整"一行目前只做到"不可判读的图像被明确标记、允许原位重采"，还没有自动化断言。</w:t>
      </w:r>
    </w:p>
    <w:p>
      <w:pPr>
        <w:jc w:val="both"/>
      </w:pPr>
      <w:r>
        <w:rPr>
          <w:rFonts w:ascii="宋体" w:hAnsi="宋体" w:eastAsia="宋体" w:cs="宋体"/>
          <w:b w:val="0"/>
          <w:i w:val="0"/>
          <w:color w:val="000000"/>
          <w:sz w:val="22"/>
        </w:rPr>
        <w:t xml:space="preserve">测试位于 </w:t>
      </w:r>
      <w:r>
        <w:rPr>
          <w:rFonts w:ascii="Consolas" w:hAnsi="Consolas" w:eastAsia="Consolas" w:cs="Consolas"/>
          <w:b w:val="0"/>
          <w:i w:val="0"/>
          <w:color w:val="000000"/>
          <w:sz w:val="20"/>
        </w:rPr>
        <w:t>lineguard-system/backend/src/test</w:t>
      </w:r>
      <w:r>
        <w:rPr>
          <w:rFonts w:ascii="宋体" w:hAnsi="宋体" w:eastAsia="宋体" w:cs="宋体"/>
          <w:b w:val="0"/>
          <w:i w:val="0"/>
          <w:color w:val="000000"/>
          <w:sz w:val="22"/>
        </w:rPr>
        <w:t xml:space="preserve"> 与 </w:t>
      </w:r>
      <w:r>
        <w:rPr>
          <w:rFonts w:ascii="Consolas" w:hAnsi="Consolas" w:eastAsia="Consolas" w:cs="Consolas"/>
          <w:b w:val="0"/>
          <w:i w:val="0"/>
          <w:color w:val="000000"/>
          <w:sz w:val="20"/>
        </w:rPr>
        <w:t>lineguard-system/frontend/src</w:t>
      </w:r>
      <w:r>
        <w:rPr>
          <w:rFonts w:ascii="宋体" w:hAnsi="宋体" w:eastAsia="宋体" w:cs="宋体"/>
          <w:b w:val="0"/>
          <w:i w:val="0"/>
          <w:color w:val="000000"/>
          <w:sz w:val="22"/>
        </w:rPr>
        <w:t xml:space="preserve">，两端的运行命令见仓库根目录 </w:t>
      </w:r>
      <w:r>
        <w:rPr>
          <w:rFonts w:ascii="Consolas" w:hAnsi="Consolas" w:eastAsia="Consolas" w:cs="Consolas"/>
          <w:b w:val="0"/>
          <w:i w:val="0"/>
          <w:color w:val="000000"/>
          <w:sz w:val="20"/>
        </w:rPr>
        <w:t>README.md</w:t>
      </w:r>
      <w:r>
        <w:rPr>
          <w:rFonts w:ascii="宋体" w:hAnsi="宋体" w:eastAsia="宋体" w:cs="宋体"/>
          <w:b w:val="0"/>
          <w:i w:val="0"/>
          <w:color w:val="000000"/>
          <w:sz w:val="22"/>
        </w:rPr>
        <w:t>。</w:t>
      </w:r>
    </w:p>
    <w:p>
      <w:pPr>
        <w:pStyle w:val="Heading2"/>
      </w:pPr>
      <w:r>
        <w:t>8.4 阶段安排</w:t>
      </w:r>
    </w:p>
    <w:p>
      <w:pPr>
        <w:jc w:val="both"/>
      </w:pPr>
      <w:r>
        <w:rPr>
          <w:rFonts w:ascii="宋体" w:hAnsi="宋体" w:eastAsia="宋体" w:cs="宋体"/>
          <w:b w:val="0"/>
          <w:i w:val="0"/>
          <w:color w:val="000000"/>
          <w:sz w:val="22"/>
        </w:rPr>
        <w:t>第一步冻结目标场景和核心状态；第二步完成 Robot、Dock 与平台接口；第三步实现 Java 平台和设备模拟器；第四步打通完整任务并进行异常测试；第五步整理验证结果，决定下一阶段是否进入机械样机和长期驻留验证。</w:t>
      </w:r>
    </w:p>
    <w:p>
      <w:bookmarkStart w:id="9" w:name="section_9"/>
      <w:pPr>
        <w:pStyle w:val="Heading1"/>
      </w:pPr>
      <w:r>
        <w:t>9 风险与取舍</w:t>
      </w:r>
      <w:bookmarkEnd w:id="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2056"/>
        <w:gridCol w:w="3819"/>
        <w:gridCol w:w="3917"/>
      </w:tblGrid>
      <w:tr>
        <w:trPr>
          <w:cantSplit/>
          <w:tblHeader/>
        </w:trPr>
        <w:tc>
          <w:tcPr>
            <w:tcW w:type="dxa" w:w="2056"/>
            <w:vAlign w:val="center"/>
            <w:shd w:fill="DCE8EF"/>
          </w:tcPr>
          <w:p>
            <w:pPr>
              <w:keepNext/>
              <w:spacing w:after="0" w:before="0" w:line="283" w:lineRule="auto"/>
              <w:jc w:val="center"/>
            </w:pPr>
            <w:r>
              <w:rPr>
                <w:rFonts w:ascii="宋体" w:hAnsi="宋体" w:eastAsia="宋体" w:cs="宋体"/>
                <w:b/>
                <w:i w:val="0"/>
                <w:color w:val="000000"/>
                <w:sz w:val="20"/>
              </w:rPr>
              <w:t>风险</w:t>
            </w:r>
          </w:p>
        </w:tc>
        <w:tc>
          <w:tcPr>
            <w:tcW w:type="dxa" w:w="3819"/>
            <w:vAlign w:val="center"/>
            <w:shd w:fill="DCE8EF"/>
          </w:tcPr>
          <w:p>
            <w:pPr>
              <w:keepNext/>
              <w:spacing w:after="0" w:before="0" w:line="283" w:lineRule="auto"/>
              <w:jc w:val="center"/>
            </w:pPr>
            <w:r>
              <w:rPr>
                <w:rFonts w:ascii="宋体" w:hAnsi="宋体" w:eastAsia="宋体" w:cs="宋体"/>
                <w:b/>
                <w:i w:val="0"/>
                <w:color w:val="000000"/>
                <w:sz w:val="20"/>
              </w:rPr>
              <w:t>影响</w:t>
            </w:r>
          </w:p>
        </w:tc>
        <w:tc>
          <w:tcPr>
            <w:tcW w:type="dxa" w:w="3917"/>
            <w:vAlign w:val="center"/>
            <w:shd w:fill="DCE8EF"/>
          </w:tcPr>
          <w:p>
            <w:pPr>
              <w:keepNext/>
              <w:spacing w:after="0" w:before="0" w:line="283" w:lineRule="auto"/>
              <w:jc w:val="center"/>
            </w:pPr>
            <w:r>
              <w:rPr>
                <w:rFonts w:ascii="宋体" w:hAnsi="宋体" w:eastAsia="宋体" w:cs="宋体"/>
                <w:b/>
                <w:i w:val="0"/>
                <w:color w:val="000000"/>
                <w:sz w:val="20"/>
              </w:rPr>
              <w:t>当前控制方式</w:t>
            </w:r>
          </w:p>
        </w:tc>
      </w:tr>
      <w:tr>
        <w:trPr>
          <w:cantSplit/>
        </w:trPr>
        <w:tc>
          <w:tcPr>
            <w:tcW w:type="dxa" w:w="2056"/>
            <w:vAlign w:val="center"/>
            <w:shd w:fill="FFFFFF"/>
          </w:tcPr>
          <w:p>
            <w:pPr>
              <w:keepNext/>
              <w:spacing w:after="0" w:before="0" w:line="283" w:lineRule="auto"/>
              <w:jc w:val="left"/>
            </w:pPr>
            <w:r>
              <w:rPr>
                <w:rFonts w:ascii="宋体" w:hAnsi="宋体" w:eastAsia="宋体" w:cs="宋体"/>
                <w:b w:val="0"/>
                <w:i w:val="0"/>
                <w:color w:val="000000"/>
                <w:sz w:val="20"/>
              </w:rPr>
              <w:t>挂线和承载不可靠</w:t>
            </w:r>
          </w:p>
        </w:tc>
        <w:tc>
          <w:tcPr>
            <w:tcW w:type="dxa" w:w="3819"/>
            <w:vAlign w:val="center"/>
            <w:shd w:fill="FFFFFF"/>
          </w:tcPr>
          <w:p>
            <w:pPr>
              <w:keepNext/>
              <w:spacing w:after="0" w:before="0" w:line="283" w:lineRule="auto"/>
              <w:jc w:val="left"/>
            </w:pPr>
            <w:r>
              <w:rPr>
                <w:rFonts w:ascii="宋体" w:hAnsi="宋体" w:eastAsia="宋体" w:cs="宋体"/>
                <w:b w:val="0"/>
                <w:i w:val="0"/>
                <w:color w:val="000000"/>
                <w:sz w:val="20"/>
              </w:rPr>
              <w:t>设备掉落或损伤线路</w:t>
            </w:r>
          </w:p>
        </w:tc>
        <w:tc>
          <w:tcPr>
            <w:tcW w:type="dxa" w:w="3917"/>
            <w:vAlign w:val="center"/>
            <w:shd w:fill="FFFFFF"/>
          </w:tcPr>
          <w:p>
            <w:pPr>
              <w:keepNext/>
              <w:spacing w:after="0" w:before="0" w:line="283" w:lineRule="auto"/>
              <w:jc w:val="left"/>
            </w:pPr>
            <w:r>
              <w:rPr>
                <w:rFonts w:ascii="宋体" w:hAnsi="宋体" w:eastAsia="宋体" w:cs="宋体"/>
                <w:b w:val="0"/>
                <w:i w:val="0"/>
                <w:color w:val="000000"/>
                <w:sz w:val="20"/>
              </w:rPr>
              <w:t>双重防脱、非带电试验和载荷检查</w:t>
            </w:r>
          </w:p>
        </w:tc>
      </w:tr>
      <w:tr>
        <w:trPr>
          <w:cantSplit/>
        </w:trPr>
        <w:tc>
          <w:tcPr>
            <w:tcW w:type="dxa" w:w="2056"/>
            <w:vAlign w:val="center"/>
            <w:shd w:fill="F6F8FA"/>
          </w:tcPr>
          <w:p>
            <w:pPr>
              <w:keepNext w:val="0"/>
              <w:spacing w:after="0" w:before="0" w:line="283" w:lineRule="auto"/>
              <w:jc w:val="left"/>
            </w:pPr>
            <w:r>
              <w:rPr>
                <w:rFonts w:ascii="宋体" w:hAnsi="宋体" w:eastAsia="宋体" w:cs="宋体"/>
                <w:b w:val="0"/>
                <w:i w:val="0"/>
                <w:color w:val="000000"/>
                <w:sz w:val="20"/>
              </w:rPr>
              <w:t>路径或障碍识别错误</w:t>
            </w:r>
          </w:p>
        </w:tc>
        <w:tc>
          <w:tcPr>
            <w:tcW w:type="dxa" w:w="3819"/>
            <w:vAlign w:val="center"/>
            <w:shd w:fill="F6F8FA"/>
          </w:tcPr>
          <w:p>
            <w:pPr>
              <w:keepNext w:val="0"/>
              <w:spacing w:after="0" w:before="0" w:line="283" w:lineRule="auto"/>
              <w:jc w:val="left"/>
            </w:pPr>
            <w:r>
              <w:rPr>
                <w:rFonts w:ascii="宋体" w:hAnsi="宋体" w:eastAsia="宋体" w:cs="宋体"/>
                <w:b w:val="0"/>
                <w:i w:val="0"/>
                <w:color w:val="000000"/>
                <w:sz w:val="20"/>
              </w:rPr>
              <w:t>Robot 卡滞或无法返回</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标定路线和障碍白名单</w:t>
            </w:r>
          </w:p>
        </w:tc>
      </w:tr>
      <w:tr>
        <w:trPr>
          <w:cantSplit/>
        </w:trPr>
        <w:tc>
          <w:tcPr>
            <w:tcW w:type="dxa" w:w="2056"/>
            <w:vAlign w:val="center"/>
            <w:shd w:fill="FFFFFF"/>
          </w:tcPr>
          <w:p>
            <w:pPr>
              <w:keepNext w:val="0"/>
              <w:spacing w:after="0" w:before="0" w:line="283" w:lineRule="auto"/>
              <w:jc w:val="left"/>
            </w:pPr>
            <w:r>
              <w:rPr>
                <w:rFonts w:ascii="宋体" w:hAnsi="宋体" w:eastAsia="宋体" w:cs="宋体"/>
                <w:b w:val="0"/>
                <w:i w:val="0"/>
                <w:color w:val="000000"/>
                <w:sz w:val="20"/>
              </w:rPr>
              <w:t>能源不足</w:t>
            </w:r>
          </w:p>
        </w:tc>
        <w:tc>
          <w:tcPr>
            <w:tcW w:type="dxa" w:w="3819"/>
            <w:vAlign w:val="center"/>
            <w:shd w:fill="FFFFFF"/>
          </w:tcPr>
          <w:p>
            <w:pPr>
              <w:keepNext w:val="0"/>
              <w:spacing w:after="0" w:before="0" w:line="283" w:lineRule="auto"/>
              <w:jc w:val="left"/>
            </w:pPr>
            <w:r>
              <w:rPr>
                <w:rFonts w:ascii="宋体" w:hAnsi="宋体" w:eastAsia="宋体" w:cs="宋体"/>
                <w:b w:val="0"/>
                <w:i w:val="0"/>
                <w:color w:val="000000"/>
                <w:sz w:val="20"/>
              </w:rPr>
              <w:t>任务中断</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任务前预算和返程储备</w:t>
            </w:r>
          </w:p>
        </w:tc>
      </w:tr>
      <w:tr>
        <w:trPr>
          <w:cantSplit/>
        </w:trPr>
        <w:tc>
          <w:tcPr>
            <w:tcW w:type="dxa" w:w="2056"/>
            <w:vAlign w:val="center"/>
            <w:shd w:fill="F6F8FA"/>
          </w:tcPr>
          <w:p>
            <w:pPr>
              <w:keepNext w:val="0"/>
              <w:spacing w:after="0" w:before="0" w:line="283" w:lineRule="auto"/>
              <w:jc w:val="left"/>
            </w:pPr>
            <w:r>
              <w:rPr>
                <w:rFonts w:ascii="宋体" w:hAnsi="宋体" w:eastAsia="宋体" w:cs="宋体"/>
                <w:b w:val="0"/>
                <w:i w:val="0"/>
                <w:color w:val="000000"/>
                <w:sz w:val="20"/>
              </w:rPr>
              <w:t>通信不稳定</w:t>
            </w:r>
          </w:p>
        </w:tc>
        <w:tc>
          <w:tcPr>
            <w:tcW w:type="dxa" w:w="3819"/>
            <w:vAlign w:val="center"/>
            <w:shd w:fill="F6F8FA"/>
          </w:tcPr>
          <w:p>
            <w:pPr>
              <w:keepNext w:val="0"/>
              <w:spacing w:after="0" w:before="0" w:line="283" w:lineRule="auto"/>
              <w:jc w:val="left"/>
            </w:pPr>
            <w:r>
              <w:rPr>
                <w:rFonts w:ascii="宋体" w:hAnsi="宋体" w:eastAsia="宋体" w:cs="宋体"/>
                <w:b w:val="0"/>
                <w:i w:val="0"/>
                <w:color w:val="000000"/>
                <w:sz w:val="20"/>
              </w:rPr>
              <w:t>状态未知或数据丢失</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本地控制、数据缓存和状态同步</w:t>
            </w:r>
          </w:p>
        </w:tc>
      </w:tr>
      <w:tr>
        <w:trPr>
          <w:cantSplit/>
        </w:trPr>
        <w:tc>
          <w:tcPr>
            <w:tcW w:type="dxa" w:w="2056"/>
            <w:vAlign w:val="center"/>
            <w:shd w:fill="FFFFFF"/>
          </w:tcPr>
          <w:p>
            <w:pPr>
              <w:keepNext w:val="0"/>
              <w:spacing w:after="0" w:before="0" w:line="283" w:lineRule="auto"/>
              <w:jc w:val="left"/>
            </w:pPr>
            <w:r>
              <w:rPr>
                <w:rFonts w:ascii="宋体" w:hAnsi="宋体" w:eastAsia="宋体" w:cs="宋体"/>
                <w:b w:val="0"/>
                <w:i w:val="0"/>
                <w:color w:val="000000"/>
                <w:sz w:val="20"/>
              </w:rPr>
              <w:t>图像无法判读</w:t>
            </w:r>
          </w:p>
        </w:tc>
        <w:tc>
          <w:tcPr>
            <w:tcW w:type="dxa" w:w="3819"/>
            <w:vAlign w:val="center"/>
            <w:shd w:fill="FFFFFF"/>
          </w:tcPr>
          <w:p>
            <w:pPr>
              <w:keepNext w:val="0"/>
              <w:spacing w:after="0" w:before="0" w:line="283" w:lineRule="auto"/>
              <w:jc w:val="left"/>
            </w:pPr>
            <w:r>
              <w:rPr>
                <w:rFonts w:ascii="宋体" w:hAnsi="宋体" w:eastAsia="宋体" w:cs="宋体"/>
                <w:b w:val="0"/>
                <w:i w:val="0"/>
                <w:color w:val="000000"/>
                <w:sz w:val="20"/>
              </w:rPr>
              <w:t>无法形成巡检结论</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固定视角、质量检查和重采</w:t>
            </w:r>
          </w:p>
        </w:tc>
      </w:tr>
      <w:tr>
        <w:trPr>
          <w:cantSplit/>
        </w:trPr>
        <w:tc>
          <w:tcPr>
            <w:tcW w:type="dxa" w:w="2056"/>
            <w:vAlign w:val="center"/>
            <w:shd w:fill="F6F8FA"/>
          </w:tcPr>
          <w:p>
            <w:pPr>
              <w:keepNext w:val="0"/>
              <w:spacing w:after="0" w:before="0" w:line="283" w:lineRule="auto"/>
              <w:jc w:val="left"/>
            </w:pPr>
            <w:r>
              <w:rPr>
                <w:rFonts w:ascii="宋体" w:hAnsi="宋体" w:eastAsia="宋体" w:cs="宋体"/>
                <w:b w:val="0"/>
                <w:i w:val="0"/>
                <w:color w:val="000000"/>
                <w:sz w:val="20"/>
              </w:rPr>
              <w:t>Dock 对接失败</w:t>
            </w:r>
          </w:p>
        </w:tc>
        <w:tc>
          <w:tcPr>
            <w:tcW w:type="dxa" w:w="3819"/>
            <w:vAlign w:val="center"/>
            <w:shd w:fill="F6F8FA"/>
          </w:tcPr>
          <w:p>
            <w:pPr>
              <w:keepNext w:val="0"/>
              <w:spacing w:after="0" w:before="0" w:line="283" w:lineRule="auto"/>
              <w:jc w:val="left"/>
            </w:pPr>
            <w:r>
              <w:rPr>
                <w:rFonts w:ascii="宋体" w:hAnsi="宋体" w:eastAsia="宋体" w:cs="宋体"/>
                <w:b w:val="0"/>
                <w:i w:val="0"/>
                <w:color w:val="000000"/>
                <w:sz w:val="20"/>
              </w:rPr>
              <w:t>无法补能</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对接检测、限次重试和安全驻停</w:t>
            </w:r>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以下三处是我们主动放弃的东西，列出它们比列出边界更有信息量。第一，不追求一次任务覆盖整条线路：多节点协同的成本不在机器人本身，而在每个节点的 Dock 与通信，第一阶段用它换取单点可靠性。第二，暂不做轻维护：机械臂或工具头的价值取决于动作可限力和结果可检查，在移动与检测尚不稳定时引入工具，会把安全责任和验证复杂度同时放大。第三，暂不接入自动缺陷识别：运维人员当前需要的是一张能看清的图，而不是一个需要二次验证的评分。</w:t>
      </w:r>
    </w:p>
    <w:p>
      <w:pPr>
        <w:jc w:val="both"/>
      </w:pPr>
      <w:r>
        <w:rPr>
          <w:rFonts w:ascii="宋体" w:hAnsi="宋体" w:eastAsia="宋体" w:cs="宋体"/>
          <w:b w:val="0"/>
          <w:i w:val="0"/>
          <w:color w:val="000000"/>
          <w:sz w:val="22"/>
        </w:rPr>
        <w:t>Robot 只在已验证线型和路径上运行，不跨越耐张塔和未验证金具，不接触相导线，不进入雷暴、强风或严重覆冰环境；线路出现明显断裂、变形或承载状态未知时停止移动。设备自身发生故障时，按照预留吊点、位置记录和现场方案执行救援。</w:t>
      </w:r>
    </w:p>
    <w:p>
      <w:bookmarkStart w:id="10" w:name="section_10"/>
      <w:pPr>
        <w:pStyle w:val="Heading1"/>
      </w:pPr>
      <w:r>
        <w:t>10 项目价值与发展方向</w:t>
      </w:r>
      <w:bookmarkEnd w:id="10"/>
    </w:p>
    <w:p>
      <w:pPr>
        <w:jc w:val="both"/>
      </w:pPr>
      <w:r>
        <w:rPr>
          <w:rFonts w:ascii="宋体" w:hAnsi="宋体" w:eastAsia="宋体" w:cs="宋体"/>
          <w:b w:val="0"/>
          <w:i w:val="0"/>
          <w:color w:val="000000"/>
          <w:sz w:val="22"/>
        </w:rPr>
        <w:t>LineGuard 的直接价值是缩短"发现异常到获得近距离证据"的流程。对周期性任务，系统能够重复采集同一位置；对告警任务，系统能够在节点可达范围内快速复核；对灾后任务，系统能够在安全窗口恢复后提供局部现场信息。</w:t>
      </w:r>
    </w:p>
    <w:p>
      <w:pPr>
        <w:jc w:val="both"/>
      </w:pPr>
      <w:r>
        <w:rPr>
          <w:rFonts w:ascii="宋体" w:hAnsi="宋体" w:eastAsia="宋体" w:cs="宋体"/>
          <w:b w:val="0"/>
          <w:i w:val="0"/>
          <w:color w:val="000000"/>
          <w:sz w:val="22"/>
        </w:rPr>
        <w:t>第一阶段完成后，项目应先判断核心闭环是否稳定，再选择下一项能力。若移动、检测和返回仍不可靠，就继续优化 Robot 与 Dock；若闭环稳定，则优先验证一种典型附件越障和一种附加检测载荷。每增加一种附件、检测载荷或工具，都需要重新验证机械、安全和软件状态，因此每项功能独立立项，不改变"近距巡检闭环"的核心定位。历史趋势、红外、振动和接触检测可以在核心闭环稳定后加入；轻维护仅考虑目标明确、动作可限力、结果可检查且工具可回收的任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1860"/>
        <w:gridCol w:w="3917"/>
        <w:gridCol w:w="4015"/>
      </w:tblGrid>
      <w:tr>
        <w:trPr>
          <w:cantSplit/>
          <w:tblHeader/>
        </w:trPr>
        <w:tc>
          <w:tcPr>
            <w:tcW w:type="dxa" w:w="1860"/>
            <w:vAlign w:val="center"/>
            <w:shd w:fill="DCE8EF"/>
          </w:tcPr>
          <w:p>
            <w:pPr>
              <w:keepNext/>
              <w:spacing w:after="0" w:before="0" w:line="283" w:lineRule="auto"/>
              <w:jc w:val="center"/>
            </w:pPr>
            <w:r>
              <w:rPr>
                <w:rFonts w:ascii="宋体" w:hAnsi="宋体" w:eastAsia="宋体" w:cs="宋体"/>
                <w:b/>
                <w:i w:val="0"/>
                <w:color w:val="000000"/>
                <w:sz w:val="20"/>
              </w:rPr>
              <w:t>发展阶段</w:t>
            </w:r>
          </w:p>
        </w:tc>
        <w:tc>
          <w:tcPr>
            <w:tcW w:type="dxa" w:w="3917"/>
            <w:vAlign w:val="center"/>
            <w:shd w:fill="DCE8EF"/>
          </w:tcPr>
          <w:p>
            <w:pPr>
              <w:keepNext/>
              <w:spacing w:after="0" w:before="0" w:line="283" w:lineRule="auto"/>
              <w:jc w:val="center"/>
            </w:pPr>
            <w:r>
              <w:rPr>
                <w:rFonts w:ascii="宋体" w:hAnsi="宋体" w:eastAsia="宋体" w:cs="宋体"/>
                <w:b/>
                <w:i w:val="0"/>
                <w:color w:val="000000"/>
                <w:sz w:val="20"/>
              </w:rPr>
              <w:t>能力重点</w:t>
            </w:r>
          </w:p>
        </w:tc>
        <w:tc>
          <w:tcPr>
            <w:tcW w:type="dxa" w:w="4015"/>
            <w:vAlign w:val="center"/>
            <w:shd w:fill="DCE8EF"/>
          </w:tcPr>
          <w:p>
            <w:pPr>
              <w:keepNext/>
              <w:spacing w:after="0" w:before="0" w:line="283" w:lineRule="auto"/>
              <w:jc w:val="center"/>
            </w:pPr>
            <w:r>
              <w:rPr>
                <w:rFonts w:ascii="宋体" w:hAnsi="宋体" w:eastAsia="宋体" w:cs="宋体"/>
                <w:b/>
                <w:i w:val="0"/>
                <w:color w:val="000000"/>
                <w:sz w:val="20"/>
              </w:rPr>
              <w:t>进入条件</w:t>
            </w:r>
          </w:p>
        </w:tc>
      </w:tr>
      <w:tr>
        <w:trPr>
          <w:cantSplit/>
        </w:trPr>
        <w:tc>
          <w:tcPr>
            <w:tcW w:type="dxa" w:w="1860"/>
            <w:vAlign w:val="center"/>
            <w:shd w:fill="FFFFFF"/>
          </w:tcPr>
          <w:p>
            <w:pPr>
              <w:keepNext/>
              <w:spacing w:after="0" w:before="0" w:line="283" w:lineRule="auto"/>
              <w:jc w:val="left"/>
            </w:pPr>
            <w:r>
              <w:rPr>
                <w:rFonts w:ascii="宋体" w:hAnsi="宋体" w:eastAsia="宋体" w:cs="宋体"/>
                <w:b w:val="0"/>
                <w:i w:val="0"/>
                <w:color w:val="000000"/>
                <w:sz w:val="20"/>
              </w:rPr>
              <w:t>第一阶段</w:t>
            </w:r>
          </w:p>
        </w:tc>
        <w:tc>
          <w:tcPr>
            <w:tcW w:type="dxa" w:w="3917"/>
            <w:vAlign w:val="center"/>
            <w:shd w:fill="FFFFFF"/>
          </w:tcPr>
          <w:p>
            <w:pPr>
              <w:keepNext/>
              <w:spacing w:after="0" w:before="0" w:line="283" w:lineRule="auto"/>
              <w:jc w:val="left"/>
            </w:pPr>
            <w:r>
              <w:rPr>
                <w:rFonts w:ascii="宋体" w:hAnsi="宋体" w:eastAsia="宋体" w:cs="宋体"/>
                <w:b w:val="0"/>
                <w:i w:val="0"/>
                <w:color w:val="000000"/>
                <w:sz w:val="20"/>
              </w:rPr>
              <w:t>单档距巡检闭环</w:t>
            </w:r>
          </w:p>
        </w:tc>
        <w:tc>
          <w:tcPr>
            <w:tcW w:type="dxa" w:w="4015"/>
            <w:vAlign w:val="center"/>
            <w:shd w:fill="FFFFFF"/>
          </w:tcPr>
          <w:p>
            <w:pPr>
              <w:keepNext/>
              <w:spacing w:after="0" w:before="0" w:line="283" w:lineRule="auto"/>
              <w:jc w:val="left"/>
            </w:pPr>
            <w:r>
              <w:rPr>
                <w:rFonts w:ascii="宋体" w:hAnsi="宋体" w:eastAsia="宋体" w:cs="宋体"/>
                <w:b w:val="0"/>
                <w:i w:val="0"/>
                <w:color w:val="000000"/>
                <w:sz w:val="20"/>
              </w:rPr>
              <w:t>软件、设备和数据状态完整</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第二阶段</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指定附件越障</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基础往返稳定</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第三阶段</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长期驻留与自动补能</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Dock 对接和能源稳定</w:t>
            </w:r>
          </w:p>
        </w:tc>
      </w:tr>
      <w:tr>
        <w:trPr>
          <w:cantSplit/>
        </w:trPr>
        <w:tc>
          <w:tcPr>
            <w:tcW w:type="dxa" w:w="1860"/>
            <w:vAlign w:val="center"/>
            <w:shd w:fill="F6F8FA"/>
          </w:tcPr>
          <w:p>
            <w:pPr>
              <w:keepNext w:val="0"/>
              <w:spacing w:after="0" w:before="0" w:line="283" w:lineRule="auto"/>
              <w:jc w:val="left"/>
            </w:pPr>
            <w:r>
              <w:rPr>
                <w:rFonts w:ascii="宋体" w:hAnsi="宋体" w:eastAsia="宋体" w:cs="宋体"/>
                <w:b w:val="0"/>
                <w:i w:val="0"/>
                <w:color w:val="000000"/>
                <w:sz w:val="20"/>
              </w:rPr>
              <w:t>第四阶段</w:t>
            </w:r>
          </w:p>
        </w:tc>
        <w:tc>
          <w:tcPr>
            <w:tcW w:type="dxa" w:w="3917"/>
            <w:vAlign w:val="center"/>
            <w:shd w:fill="F6F8FA"/>
          </w:tcPr>
          <w:p>
            <w:pPr>
              <w:keepNext w:val="0"/>
              <w:spacing w:after="0" w:before="0" w:line="283" w:lineRule="auto"/>
              <w:jc w:val="left"/>
            </w:pPr>
            <w:r>
              <w:rPr>
                <w:rFonts w:ascii="宋体" w:hAnsi="宋体" w:eastAsia="宋体" w:cs="宋体"/>
                <w:b w:val="0"/>
                <w:i w:val="0"/>
                <w:color w:val="000000"/>
                <w:sz w:val="20"/>
              </w:rPr>
              <w:t>趋势检测与有限轻维护</w:t>
            </w:r>
          </w:p>
        </w:tc>
        <w:tc>
          <w:tcPr>
            <w:tcW w:type="dxa" w:w="4015"/>
            <w:vAlign w:val="center"/>
            <w:shd w:fill="F6F8FA"/>
          </w:tcPr>
          <w:p>
            <w:pPr>
              <w:keepNext w:val="0"/>
              <w:spacing w:after="0" w:before="0" w:line="283" w:lineRule="auto"/>
              <w:jc w:val="left"/>
            </w:pPr>
            <w:r>
              <w:rPr>
                <w:rFonts w:ascii="宋体" w:hAnsi="宋体" w:eastAsia="宋体" w:cs="宋体"/>
                <w:b w:val="0"/>
                <w:i w:val="0"/>
                <w:color w:val="000000"/>
                <w:sz w:val="20"/>
              </w:rPr>
              <w:t>连续数据和核心任务可靠</w:t>
            </w:r>
          </w:p>
        </w:tc>
      </w:tr>
      <w:tr>
        <w:trPr>
          <w:cantSplit/>
        </w:trPr>
        <w:tc>
          <w:tcPr>
            <w:tcW w:type="dxa" w:w="1860"/>
            <w:vAlign w:val="center"/>
            <w:shd w:fill="FFFFFF"/>
          </w:tcPr>
          <w:p>
            <w:pPr>
              <w:keepNext w:val="0"/>
              <w:spacing w:after="0" w:before="0" w:line="283" w:lineRule="auto"/>
              <w:jc w:val="left"/>
            </w:pPr>
            <w:r>
              <w:rPr>
                <w:rFonts w:ascii="宋体" w:hAnsi="宋体" w:eastAsia="宋体" w:cs="宋体"/>
                <w:b w:val="0"/>
                <w:i w:val="0"/>
                <w:color w:val="000000"/>
                <w:sz w:val="20"/>
              </w:rPr>
              <w:t>第五阶段</w:t>
            </w:r>
          </w:p>
        </w:tc>
        <w:tc>
          <w:tcPr>
            <w:tcW w:type="dxa" w:w="3917"/>
            <w:vAlign w:val="center"/>
            <w:shd w:fill="FFFFFF"/>
          </w:tcPr>
          <w:p>
            <w:pPr>
              <w:keepNext w:val="0"/>
              <w:spacing w:after="0" w:before="0" w:line="283" w:lineRule="auto"/>
              <w:jc w:val="left"/>
            </w:pPr>
            <w:r>
              <w:rPr>
                <w:rFonts w:ascii="宋体" w:hAnsi="宋体" w:eastAsia="宋体" w:cs="宋体"/>
                <w:b w:val="0"/>
                <w:i w:val="0"/>
                <w:color w:val="000000"/>
                <w:sz w:val="20"/>
              </w:rPr>
              <w:t>多节点协同</w:t>
            </w:r>
          </w:p>
        </w:tc>
        <w:tc>
          <w:tcPr>
            <w:tcW w:type="dxa" w:w="4015"/>
            <w:vAlign w:val="center"/>
            <w:shd w:fill="FFFFFF"/>
          </w:tcPr>
          <w:p>
            <w:pPr>
              <w:keepNext w:val="0"/>
              <w:spacing w:after="0" w:before="0" w:line="283" w:lineRule="auto"/>
              <w:jc w:val="left"/>
            </w:pPr>
            <w:r>
              <w:rPr>
                <w:rFonts w:ascii="宋体" w:hAnsi="宋体" w:eastAsia="宋体" w:cs="宋体"/>
                <w:b w:val="0"/>
                <w:i w:val="0"/>
                <w:color w:val="000000"/>
                <w:sz w:val="20"/>
              </w:rPr>
              <w:t>单节点运行边界明确</w:t>
            </w:r>
          </w:p>
        </w:tc>
      </w:tr>
    </w:tbl>
    <w:p>
      <w:pPr>
        <w:spacing w:after="20" w:before="0" w:line="80" w:lineRule="exact"/>
      </w:pPr>
      <w:r>
        <w:rPr>
          <w:rFonts w:ascii="宋体" w:hAnsi="宋体" w:eastAsia="宋体" w:cs="宋体"/>
          <w:b w:val="0"/>
          <w:i w:val="0"/>
          <w:color w:val="000000"/>
          <w:sz w:val="6"/>
        </w:rPr>
      </w:r>
    </w:p>
    <w:p>
      <w:r>
        <w:br w:type="page"/>
      </w:r>
    </w:p>
    <w:p>
      <w:bookmarkStart w:id="11" w:name="section_11"/>
      <w:pPr>
        <w:pStyle w:val="Heading1"/>
      </w:pPr>
      <w:r>
        <w:t>附录 参考数据来源</w:t>
      </w:r>
      <w:bookmarkEnd w:id="1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0" w:type="dxa"/>
          <w:right w:w="90" w:type="dxa"/>
        </w:tblCellMar>
      </w:tblPr>
      <w:tblGrid>
        <w:gridCol w:w="2742"/>
        <w:gridCol w:w="1469"/>
        <w:gridCol w:w="685"/>
        <w:gridCol w:w="1567"/>
        <w:gridCol w:w="3329"/>
      </w:tblGrid>
      <w:tr>
        <w:trPr>
          <w:cantSplit/>
          <w:tblHeader/>
        </w:trPr>
        <w:tc>
          <w:tcPr>
            <w:tcW w:type="dxa" w:w="2742"/>
            <w:vAlign w:val="center"/>
            <w:shd w:fill="DCE8EF"/>
          </w:tcPr>
          <w:p>
            <w:pPr>
              <w:keepNext/>
              <w:spacing w:after="0" w:before="0" w:line="283" w:lineRule="auto"/>
              <w:jc w:val="center"/>
            </w:pPr>
            <w:r>
              <w:rPr>
                <w:rFonts w:ascii="宋体" w:hAnsi="宋体" w:eastAsia="宋体" w:cs="宋体"/>
                <w:b/>
                <w:i w:val="0"/>
                <w:color w:val="000000"/>
                <w:sz w:val="20"/>
              </w:rPr>
              <w:t>引用内容</w:t>
            </w:r>
          </w:p>
        </w:tc>
        <w:tc>
          <w:tcPr>
            <w:tcW w:type="dxa" w:w="1469"/>
            <w:vAlign w:val="center"/>
            <w:shd w:fill="DCE8EF"/>
          </w:tcPr>
          <w:p>
            <w:pPr>
              <w:keepNext/>
              <w:spacing w:after="0" w:before="0" w:line="283" w:lineRule="auto"/>
              <w:jc w:val="center"/>
            </w:pPr>
            <w:r>
              <w:rPr>
                <w:rFonts w:ascii="宋体" w:hAnsi="宋体" w:eastAsia="宋体" w:cs="宋体"/>
                <w:b/>
                <w:i w:val="0"/>
                <w:color w:val="000000"/>
                <w:sz w:val="20"/>
              </w:rPr>
              <w:t>来源</w:t>
            </w:r>
          </w:p>
        </w:tc>
        <w:tc>
          <w:tcPr>
            <w:tcW w:type="dxa" w:w="685"/>
            <w:vAlign w:val="center"/>
            <w:shd w:fill="DCE8EF"/>
          </w:tcPr>
          <w:p>
            <w:pPr>
              <w:keepNext/>
              <w:spacing w:after="0" w:before="0" w:line="283" w:lineRule="auto"/>
              <w:jc w:val="center"/>
            </w:pPr>
            <w:r>
              <w:rPr>
                <w:rFonts w:ascii="宋体" w:hAnsi="宋体" w:eastAsia="宋体" w:cs="宋体"/>
                <w:b/>
                <w:i w:val="0"/>
                <w:color w:val="000000"/>
                <w:sz w:val="20"/>
              </w:rPr>
              <w:t>年份</w:t>
            </w:r>
          </w:p>
        </w:tc>
        <w:tc>
          <w:tcPr>
            <w:tcW w:type="dxa" w:w="1567"/>
            <w:vAlign w:val="center"/>
            <w:shd w:fill="DCE8EF"/>
          </w:tcPr>
          <w:p>
            <w:pPr>
              <w:keepNext/>
              <w:spacing w:after="0" w:before="0" w:line="283" w:lineRule="auto"/>
              <w:jc w:val="center"/>
            </w:pPr>
            <w:r>
              <w:rPr>
                <w:rFonts w:ascii="宋体" w:hAnsi="宋体" w:eastAsia="宋体" w:cs="宋体"/>
                <w:b/>
                <w:i w:val="0"/>
                <w:color w:val="000000"/>
                <w:sz w:val="20"/>
              </w:rPr>
              <w:t>口径</w:t>
            </w:r>
          </w:p>
        </w:tc>
        <w:tc>
          <w:tcPr>
            <w:tcW w:type="dxa" w:w="3329"/>
            <w:vAlign w:val="center"/>
            <w:shd w:fill="DCE8EF"/>
          </w:tcPr>
          <w:p>
            <w:pPr>
              <w:keepNext/>
              <w:spacing w:after="0" w:before="0" w:line="283" w:lineRule="auto"/>
              <w:jc w:val="center"/>
            </w:pPr>
            <w:r>
              <w:rPr>
                <w:rFonts w:ascii="宋体" w:hAnsi="宋体" w:eastAsia="宋体" w:cs="宋体"/>
                <w:b/>
                <w:i w:val="0"/>
                <w:color w:val="000000"/>
                <w:sz w:val="20"/>
              </w:rPr>
              <w:t>链接</w:t>
            </w:r>
          </w:p>
        </w:tc>
      </w:tr>
      <w:tr>
        <w:trPr>
          <w:cantSplit/>
        </w:trPr>
        <w:tc>
          <w:tcPr>
            <w:tcW w:type="dxa" w:w="2742"/>
            <w:vAlign w:val="center"/>
            <w:shd w:fill="FFFFFF"/>
          </w:tcPr>
          <w:p>
            <w:pPr>
              <w:keepNext/>
              <w:spacing w:after="0" w:before="0" w:line="283" w:lineRule="auto"/>
              <w:jc w:val="left"/>
            </w:pPr>
            <w:r>
              <w:rPr>
                <w:rFonts w:ascii="宋体" w:hAnsi="宋体" w:eastAsia="宋体" w:cs="宋体"/>
                <w:b w:val="0"/>
                <w:i w:val="0"/>
                <w:color w:val="000000"/>
                <w:sz w:val="20"/>
              </w:rPr>
              <w:t>220 千伏及以上输电线路约 92 万公里，较 2013 年增长约 69.1%</w:t>
            </w:r>
          </w:p>
        </w:tc>
        <w:tc>
          <w:tcPr>
            <w:tcW w:type="dxa" w:w="1469"/>
            <w:vAlign w:val="center"/>
            <w:shd w:fill="FFFFFF"/>
          </w:tcPr>
          <w:p>
            <w:pPr>
              <w:keepNext/>
              <w:spacing w:after="0" w:before="0" w:line="283" w:lineRule="auto"/>
              <w:jc w:val="left"/>
            </w:pPr>
            <w:r>
              <w:rPr>
                <w:rFonts w:ascii="宋体" w:hAnsi="宋体" w:eastAsia="宋体" w:cs="宋体"/>
                <w:b w:val="0"/>
                <w:i w:val="0"/>
                <w:color w:val="000000"/>
                <w:sz w:val="20"/>
              </w:rPr>
              <w:t>国家能源局</w:t>
            </w:r>
          </w:p>
        </w:tc>
        <w:tc>
          <w:tcPr>
            <w:tcW w:type="dxa" w:w="685"/>
            <w:vAlign w:val="center"/>
            <w:shd w:fill="FFFFFF"/>
          </w:tcPr>
          <w:p>
            <w:pPr>
              <w:keepNext/>
              <w:spacing w:after="0" w:before="0" w:line="283" w:lineRule="auto"/>
              <w:jc w:val="left"/>
            </w:pPr>
            <w:r>
              <w:rPr>
                <w:rFonts w:ascii="宋体" w:hAnsi="宋体" w:eastAsia="宋体" w:cs="宋体"/>
                <w:b w:val="0"/>
                <w:i w:val="0"/>
                <w:color w:val="000000"/>
                <w:sz w:val="20"/>
              </w:rPr>
              <w:t>2024</w:t>
            </w:r>
          </w:p>
        </w:tc>
        <w:tc>
          <w:tcPr>
            <w:tcW w:type="dxa" w:w="1567"/>
            <w:vAlign w:val="center"/>
            <w:shd w:fill="FFFFFF"/>
          </w:tcPr>
          <w:p>
            <w:pPr>
              <w:keepNext/>
              <w:spacing w:after="0" w:before="0" w:line="283" w:lineRule="auto"/>
              <w:jc w:val="left"/>
            </w:pPr>
            <w:r>
              <w:rPr>
                <w:rFonts w:ascii="宋体" w:hAnsi="宋体" w:eastAsia="宋体" w:cs="宋体"/>
                <w:b w:val="0"/>
                <w:i w:val="0"/>
                <w:color w:val="000000"/>
                <w:sz w:val="20"/>
              </w:rPr>
              <w:t>全国，截至 2023 年底</w:t>
            </w:r>
          </w:p>
        </w:tc>
        <w:tc>
          <w:tcPr>
            <w:tcW w:type="dxa" w:w="3329"/>
            <w:vAlign w:val="center"/>
            <w:shd w:fill="FFFFFF"/>
          </w:tcPr>
          <w:p>
            <w:pPr>
              <w:keepNext/>
              <w:spacing w:after="0" w:before="0" w:line="283" w:lineRule="auto"/>
              <w:jc w:val="left"/>
            </w:pPr>
            <w:hyperlink r:id="rId21">
              <w:r>
                <w:rPr>
                  <w:color w:val="24546B"/>
                  <w:rFonts w:ascii="宋体" w:hAnsi="宋体" w:eastAsia="宋体" w:cs="宋体"/>
                  <w:sz w:val="20"/>
                </w:rPr>
                <w:t>nea.gov.cn</w:t>
              </w:r>
            </w:hyperlink>
          </w:p>
        </w:tc>
      </w:tr>
      <w:tr>
        <w:trPr>
          <w:cantSplit/>
        </w:trPr>
        <w:tc>
          <w:tcPr>
            <w:tcW w:type="dxa" w:w="2742"/>
            <w:vAlign w:val="center"/>
            <w:shd w:fill="F6F8FA"/>
          </w:tcPr>
          <w:p>
            <w:pPr>
              <w:keepNext w:val="0"/>
              <w:spacing w:after="0" w:before="0" w:line="283" w:lineRule="auto"/>
              <w:jc w:val="left"/>
            </w:pPr>
            <w:r>
              <w:rPr>
                <w:rFonts w:ascii="宋体" w:hAnsi="宋体" w:eastAsia="宋体" w:cs="宋体"/>
                <w:b w:val="0"/>
                <w:i w:val="0"/>
                <w:color w:val="000000"/>
                <w:sz w:val="20"/>
              </w:rPr>
              <w:t>80% 以上线路位于远离城镇、人烟稀少的高山峻岭地区</w:t>
            </w:r>
          </w:p>
        </w:tc>
        <w:tc>
          <w:tcPr>
            <w:tcW w:type="dxa" w:w="1469"/>
            <w:vAlign w:val="center"/>
            <w:shd w:fill="F6F8FA"/>
          </w:tcPr>
          <w:p>
            <w:pPr>
              <w:keepNext w:val="0"/>
              <w:spacing w:after="0" w:before="0" w:line="283" w:lineRule="auto"/>
              <w:jc w:val="left"/>
            </w:pPr>
            <w:r>
              <w:rPr>
                <w:rFonts w:ascii="宋体" w:hAnsi="宋体" w:eastAsia="宋体" w:cs="宋体"/>
                <w:b w:val="0"/>
                <w:i w:val="0"/>
                <w:color w:val="000000"/>
                <w:sz w:val="20"/>
              </w:rPr>
              <w:t>中国能源报（南方电网受访者表述）</w:t>
            </w:r>
          </w:p>
        </w:tc>
        <w:tc>
          <w:tcPr>
            <w:tcW w:type="dxa" w:w="685"/>
            <w:vAlign w:val="center"/>
            <w:shd w:fill="F6F8FA"/>
          </w:tcPr>
          <w:p>
            <w:pPr>
              <w:keepNext w:val="0"/>
              <w:spacing w:after="0" w:before="0" w:line="283" w:lineRule="auto"/>
              <w:jc w:val="left"/>
            </w:pPr>
            <w:r>
              <w:rPr>
                <w:rFonts w:ascii="宋体" w:hAnsi="宋体" w:eastAsia="宋体" w:cs="宋体"/>
                <w:b w:val="0"/>
                <w:i w:val="0"/>
                <w:color w:val="000000"/>
                <w:sz w:val="20"/>
              </w:rPr>
              <w:t>2015</w:t>
            </w:r>
          </w:p>
        </w:tc>
        <w:tc>
          <w:tcPr>
            <w:tcW w:type="dxa" w:w="1567"/>
            <w:vAlign w:val="center"/>
            <w:shd w:fill="F6F8FA"/>
          </w:tcPr>
          <w:p>
            <w:pPr>
              <w:keepNext w:val="0"/>
              <w:spacing w:after="0" w:before="0" w:line="283" w:lineRule="auto"/>
              <w:jc w:val="left"/>
            </w:pPr>
            <w:r>
              <w:rPr>
                <w:rFonts w:ascii="宋体" w:hAnsi="宋体" w:eastAsia="宋体" w:cs="宋体"/>
                <w:b w:val="0"/>
                <w:i w:val="0"/>
                <w:color w:val="000000"/>
                <w:sz w:val="20"/>
              </w:rPr>
              <w:t>单一电网公司，地形分布</w:t>
            </w:r>
          </w:p>
        </w:tc>
        <w:tc>
          <w:tcPr>
            <w:tcW w:type="dxa" w:w="3329"/>
            <w:vAlign w:val="center"/>
            <w:shd w:fill="F6F8FA"/>
          </w:tcPr>
          <w:p>
            <w:pPr>
              <w:keepNext w:val="0"/>
              <w:spacing w:after="0" w:before="0" w:line="283" w:lineRule="auto"/>
              <w:jc w:val="left"/>
            </w:pPr>
            <w:hyperlink r:id="rId22">
              <w:r>
                <w:rPr>
                  <w:color w:val="24546B"/>
                  <w:rFonts w:ascii="宋体" w:hAnsi="宋体" w:eastAsia="宋体" w:cs="宋体"/>
                  <w:sz w:val="20"/>
                </w:rPr>
                <w:t>中国能源报</w:t>
              </w:r>
            </w:hyperlink>
          </w:p>
        </w:tc>
      </w:tr>
    </w:tbl>
    <w:p>
      <w:pPr>
        <w:spacing w:after="20" w:before="0" w:line="80" w:lineRule="exact"/>
      </w:pPr>
      <w:r>
        <w:rPr>
          <w:rFonts w:ascii="宋体" w:hAnsi="宋体" w:eastAsia="宋体" w:cs="宋体"/>
          <w:b w:val="0"/>
          <w:i w:val="0"/>
          <w:color w:val="000000"/>
          <w:sz w:val="6"/>
        </w:rPr>
      </w:r>
    </w:p>
    <w:p>
      <w:pPr>
        <w:jc w:val="both"/>
      </w:pPr>
      <w:r>
        <w:rPr>
          <w:rFonts w:ascii="宋体" w:hAnsi="宋体" w:eastAsia="宋体" w:cs="宋体"/>
          <w:b w:val="0"/>
          <w:i w:val="0"/>
          <w:color w:val="000000"/>
          <w:sz w:val="22"/>
        </w:rPr>
        <w:t>除上表外，本文出现的成本、寿命与任务次数均为待核实参数：公开渠道查不到可直接引用的单项巡检成本口径，因此这些数按假设处理，取值区间与验证方式见 3.3，不作为采购或投资依据。</w:t>
      </w:r>
    </w:p>
    <w:sectPr w:rsidR="00FC693F" w:rsidRPr="0006063C" w:rsidSect="00034616">
      <w:headerReference w:type="default" r:id="rId9"/>
      <w:footerReference w:type="default" r:id="rId10"/>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i w:val="0"/>
        <w:color w:val="000000"/>
        <w:sz w:val="18"/>
      </w:rPr>
      <w:t xml:space="preserve">第 </w:t>
    </w:r>
    <w:fldSimple w:instr="PAGE"/>
    <w:r>
      <w:rPr>
        <w:rFonts w:ascii="宋体" w:hAnsi="宋体" w:eastAsia="宋体" w:cs="宋体"/>
        <w:b w:val="0"/>
        <w:i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s="微软雅黑"/>
        <w:b w:val="0"/>
        <w:i w:val="0"/>
        <w:color w:val="000000"/>
        <w:sz w:val="16"/>
      </w:rPr>
      <w:t>LineGuard  项目计划书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宋体" w:hAnsi="宋体" w:eastAsia="宋体"/>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微软雅黑" w:hAnsi="微软雅黑" w:eastAsia="微软雅黑"/>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line="276" w:lineRule="auto"/>
      <w:outlineLvl w:val="1"/>
    </w:pPr>
    <w:rPr>
      <w:rFonts w:asciiTheme="majorHAnsi" w:eastAsiaTheme="majorEastAsia" w:hAnsiTheme="majorHAnsi" w:cstheme="majorBidi" w:ascii="微软雅黑" w:hAnsi="微软雅黑" w:eastAsia="微软雅黑"/>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line="276" w:lineRule="auto"/>
      <w:outlineLvl w:val="2"/>
    </w:pPr>
    <w:rPr>
      <w:rFonts w:asciiTheme="majorHAnsi" w:eastAsiaTheme="majorEastAsia" w:hAnsiTheme="majorHAnsi" w:cstheme="majorBidi" w:ascii="微软雅黑" w:hAnsi="微软雅黑" w:eastAsia="微软雅黑"/>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宋体" w:hAnsi="宋体" w:eastAsia="宋体"/>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ww.nea.gov.cn/2024-07/19/c_1310782066.htm" TargetMode="External"/><Relationship Id="rId22" Type="http://schemas.openxmlformats.org/officeDocument/2006/relationships/hyperlink" Target="https://paper.people.com.cn/zgnyb/html/2015-12/21/content_164244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LineGuard 项目计划书 V2.0</dc:title>
  <dc:subject>偏远难达地区架空输电线路常驻式智能运维机器人系统</dc:subject>
  <dc:creator>LineGuard 项目组</dc:creator>
  <cp:keywords>工业机器人,输电运维,OPGW,Java,智能巡检</cp:keywords>
  <dc:description/>
  <cp:lastModifiedBy/>
  <cp:revision>1</cp:revision>
  <dcterms:created xsi:type="dcterms:W3CDTF">2013-12-23T23:15:00Z</dcterms:created>
  <dcterms:modified xsi:type="dcterms:W3CDTF">2013-12-23T23:15:00Z</dcterms:modified>
  <cp:category/>
</cp:coreProperties>
</file>