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9月三块数据分析</w:t>
      </w:r>
    </w:p>
    <w:p>
      <w:r>
        <w:t>这次按三个独立数据集展开：先只看SQP的2,410词，再只看全量广告43,846条目，最后看共同1,802词。计算直接来自本次上传底稿的两张源数据页。</w:t>
      </w:r>
    </w:p>
    <w:p>
      <w:pPr>
        <w:pStyle w:val="Heading1"/>
      </w:pPr>
      <w:r>
        <w:t>第一块：SQP全部收录词</w:t>
      </w:r>
    </w:p>
    <w:p>
      <w:r>
        <w:t>这块数据有多大（已核对事实）</w:t>
      </w:r>
    </w:p>
    <w:p>
      <w:r>
        <w:t>51个ASIN、3,117条ASIN×词记录、2,410个去重词；样本曝光3,416,240、点击47,159、加购16,730、购买3,778。</w:t>
      </w:r>
    </w:p>
    <w:p>
      <w:r>
        <w:t>只使用SQP源页。每ASIN最多100词；不是51个ASIN的完整流量。</w:t>
      </w:r>
    </w:p>
    <w:p>
      <w:r>
        <w:t>核心计数是否可信（已核对事实）</w:t>
      </w:r>
    </w:p>
    <w:p>
      <w:r>
        <w:t>逐词核对新版总表的9个核心市场与样本计数字段，全部一致。</w:t>
      </w:r>
    </w:p>
    <w:p>
      <w:r>
        <w:t>保留市场同词取一次、样本计数求和的思路。</w:t>
      </w:r>
    </w:p>
    <w:p>
      <w:r>
        <w:t>流量集中在哪些词（已核对事实）</w:t>
      </w:r>
    </w:p>
    <w:p>
      <w:r>
        <w:t>点击最多的词为mason jar pitcher，2,650点击、217购买。前10词贡献36.16%样本点击。</w:t>
      </w:r>
    </w:p>
    <w:p>
      <w:r>
        <w:t>查看一_流量集中度与一_SQP全词；头部按各指标分别排序，不混用排名。</w:t>
      </w:r>
    </w:p>
    <w:p>
      <w:r>
        <w:t>主力ASIN是谁（已核对事实）</w:t>
      </w:r>
    </w:p>
    <w:p>
      <w:r>
        <w:t>B0DGCVK1JL（梅森罐64oz（单装）黑色/黑色/64oz）贡献70.53%样本点击、61.91%样本购买。</w:t>
      </w:r>
    </w:p>
    <w:p>
      <w:r>
        <w:t>点击贡献与购买贡献不同是描述；各ASIN词结构与截取范围不同，不能直接认定商品优劣。</w:t>
      </w:r>
    </w:p>
    <w:p>
      <w:r>
        <w:t>哪些词需要检查（诊断线索）</w:t>
      </w:r>
    </w:p>
    <w:p>
      <w:r>
        <w:t>有101个词达到100样本点击展示筛选线，其余2309个词保留计数，不凭倍率判断。</w:t>
      </w:r>
    </w:p>
    <w:p>
      <w:r>
        <w:t>看一_SQP问题候选，按计数与绝对率筛查；市场率参考购买不足10时也标记先观察。筛选线不是显著性标准。</w:t>
      </w:r>
    </w:p>
    <w:p>
      <w:r>
        <w:t>极端CTR是否证明优势（已核对事实）</w:t>
      </w:r>
    </w:p>
    <w:p>
      <w:r>
        <w:t>hal仅1曝光1点击，CTR100%；同词市场CTR约0.01531%，数学倍率约6,532倍。</w:t>
      </w:r>
    </w:p>
    <w:p>
      <w:r>
        <w:t>两个指数在小样本时留空；保留原始计数。不能据此判断吸引力强。</w:t>
      </w:r>
    </w:p>
    <w:p>
      <w:r>
        <w:t>增长、自然表现与差异原因（当前不能确定）</w:t>
      </w:r>
    </w:p>
    <w:p>
      <w:r>
        <w:t>只有一个月及截取词样本；没有完整自然/广告拆分、展示位置、页面或库存证据。</w:t>
      </w:r>
    </w:p>
    <w:p>
      <w:r>
        <w:t>不推算自然流量，不预测增长，不把率差写成确定原因。</w:t>
      </w:r>
    </w:p>
    <w:p>
      <w:r>
        <w:t>mason jars（诊断线索）</w:t>
      </w:r>
    </w:p>
    <w:p>
      <w:r>
        <w:t>1,549点击、60购买；样本/市场CTR 0.56% / 1.29%；购买/点击 3.87% / 12.42%。</w:t>
      </w:r>
    </w:p>
    <w:p>
      <w:r>
        <w:t>先检查词意图与商品形态、具体ASIN、价格及页面；数值差异不是已证实的原因或统计显著差异。</w:t>
      </w:r>
    </w:p>
    <w:p>
      <w:r>
        <w:t>cold brew pitcher（诊断线索）</w:t>
      </w:r>
    </w:p>
    <w:p>
      <w:r>
        <w:t>1,181点击、69购买；样本/市场CTR 2.48% / 2.24%；购买/点击 5.84% / 11.97%。</w:t>
      </w:r>
    </w:p>
    <w:p>
      <w:r>
        <w:t>先检查词意图与商品形态、具体ASIN、价格及页面；数值差异不是已证实的原因或统计显著差异。</w:t>
      </w:r>
    </w:p>
    <w:p>
      <w:r>
        <w:t>mason jar pitcher（诊断线索）</w:t>
      </w:r>
    </w:p>
    <w:p>
      <w:r>
        <w:t>2,650点击、217购买；样本/市场CTR 2.56% / 1.81%；购买/点击 8.19% / 9.68%。</w:t>
      </w:r>
    </w:p>
    <w:p>
      <w:r>
        <w:t>先检查词意图与商品形态、具体ASIN、价格及页面；数值差异不是已证实的原因或统计显著差异。</w:t>
      </w:r>
    </w:p>
    <w:p>
      <w:r>
        <w:t>哪类词贡献较多（已核对事实）</w:t>
      </w:r>
    </w:p>
    <w:p>
      <w:r>
        <w:t>按公开文字规则，“壶或倒水容器”共597词，贡献38.25%样本点击、56.19%样本购买。</w:t>
      </w:r>
    </w:p>
    <w:p>
      <w:r>
        <w:t>分组汇总是观察样本的描述；规则分类需人工复核，不代表已证明商品相关性或整个市场需求。</w:t>
      </w:r>
    </w:p>
    <w:p>
      <w:pPr>
        <w:pStyle w:val="Heading1"/>
      </w:pPr>
      <w:r>
        <w:t>第二块：全量广告客户词</w:t>
      </w:r>
    </w:p>
    <w:p>
      <w:r>
        <w:t>广告整体投入产出（已核对事实）</w:t>
      </w:r>
    </w:p>
    <w:p>
      <w:r>
        <w:t>广告点击158,568；花费$122,725.96；销售额$412,829.06；订单16,016；件数16,571。</w:t>
      </w:r>
    </w:p>
    <w:p>
      <w:r>
        <w:t>单独使用广告源页；订单与件数分开。</w:t>
      </w:r>
    </w:p>
    <w:p>
      <w:r>
        <w:t>主要效率指标（已核对事实）</w:t>
      </w:r>
    </w:p>
    <w:p>
      <w:r>
        <w:t>CTR 1.97%；CPC $0.77；订单CVR 10.10%；ACOS 29.73%；ROAS 3.36。</w:t>
      </w:r>
    </w:p>
    <w:p>
      <w:r>
        <w:t>全部按合计分子÷合计分母；不用各行率的简单平均。</w:t>
      </w:r>
    </w:p>
    <w:p>
      <w:r>
        <w:t>广告表有多少客户条目（已核对事实）</w:t>
      </w:r>
    </w:p>
    <w:p>
      <w:r>
        <w:t>61,169条记录，归一化后43,846个客户条目，其中10,683个为ASIN编码。</w:t>
      </w:r>
    </w:p>
    <w:p>
      <w:r>
        <w:t>ASIN编码单独看，不全部称为文字关键词或长尾词。</w:t>
      </w:r>
    </w:p>
    <w:p>
      <w:r>
        <w:t>销售构成（已核对事实）</w:t>
      </w:r>
    </w:p>
    <w:p>
      <w:r>
        <w:t>广告SKU销售额$231,125.83；其他SKU销售额$181,703.23，占总归因销售44.01%。</w:t>
      </w:r>
    </w:p>
    <w:p>
      <w:r>
        <w:t>缺实际售出SKU与成本，不能以总ACOS直接判断单品利润。</w:t>
      </w:r>
    </w:p>
    <w:p>
      <w:r>
        <w:t>哪些花费需要复核（待验证建议）</w:t>
      </w:r>
    </w:p>
    <w:p>
      <w:r>
        <w:t>组合×词层面：零单成本候选26个，花费$702.04；有单高成本候选45个，花费$6,945.61。</w:t>
      </w:r>
    </w:p>
    <w:p>
      <w:r>
        <w:t>这是候选花费规模，不是可节省金额；先核查相关性、具体投放和利润。</w:t>
      </w:r>
    </w:p>
    <w:p>
      <w:r>
        <w:t>哪些词可测试增长（待验证建议）</w:t>
      </w:r>
    </w:p>
    <w:p>
      <w:r>
        <w:t>105个组合×词满足≥10广告订单且ACOS≤25%的工作筛选线。</w:t>
      </w:r>
    </w:p>
    <w:p>
      <w:r>
        <w:t>25%不是目标或盈亏线。核查利润、库存、商品相关性和预算后再测试。</w:t>
      </w:r>
    </w:p>
    <w:p>
      <w:r>
        <w:t>同词投放是否一样（已核对事实）</w:t>
      </w:r>
    </w:p>
    <w:p>
      <w:r>
        <w:t>有66个客户词在至少两个组合中各有≥20点击，可查看不同组合的成本与订单。</w:t>
      </w:r>
    </w:p>
    <w:p>
      <w:r>
        <w:t>二_同词投放差异按词分组；检查具体投放，不对整店同词统一处理。</w:t>
      </w:r>
    </w:p>
    <w:p>
      <w:r>
        <w:t>每日趋势与利润（当前不能确定）</w:t>
      </w:r>
    </w:p>
    <w:p>
      <w:r>
        <w:t>跨日期区间行承载71.60%花费，缺可靠每日发生明细；无商品成本。</w:t>
      </w:r>
    </w:p>
    <w:p>
      <w:r>
        <w:t>不按开始日期画每日趋势；不判盈利，不推断广告增量。</w:t>
      </w:r>
    </w:p>
    <w:p>
      <w:r>
        <w:t>mason jar pitcher在不同组合（已核对事实）</w:t>
      </w:r>
    </w:p>
    <w:p>
      <w:r>
        <w:t>【梅森罐】2,280点击、437订单、ACOS 22.89%；【32oz梅森罐】860点击、91订单、ACOS 47.29%。</w:t>
      </w:r>
    </w:p>
    <w:p>
      <w:r>
        <w:t>组合名称不是已验证的ASIN映射；定位具体活动、广告组和投放商品后分别复核。</w:t>
      </w:r>
    </w:p>
    <w:p>
      <w:r>
        <w:t>花费是否集中（已核对事实）</w:t>
      </w:r>
    </w:p>
    <w:p>
      <w:r>
        <w:t>按广告花费排序，前10个客户条目占总花费21.05%；前100条目占37.27%。</w:t>
      </w:r>
    </w:p>
    <w:p>
      <w:r>
        <w:t>集中度说明投入分布；不能由此认定预算集中或分散就是合理。查看二_流量集中度。</w:t>
      </w:r>
    </w:p>
    <w:p>
      <w:pPr>
        <w:pStyle w:val="Heading1"/>
      </w:pPr>
      <w:r>
        <w:t>第三块：两表共同词</w:t>
      </w:r>
    </w:p>
    <w:p>
      <w:r>
        <w:t>共同词的覆盖范围（已核对事实）</w:t>
      </w:r>
    </w:p>
    <w:p>
      <w:r>
        <w:t>共同1,802词；仅SQP608词；仅广告42,044条目。共同词含46,005样本点击、56,382广告点击。</w:t>
      </w:r>
    </w:p>
    <w:p>
      <w:r>
        <w:t>共同词只描述两表都收录；仅一表未出现不代表另一来源真实为0。</w:t>
      </w:r>
    </w:p>
    <w:p>
      <w:r>
        <w:t>共同词占多少广告（已核对事实）</w:t>
      </w:r>
    </w:p>
    <w:p>
      <w:r>
        <w:t>共同词占全广告点击35.56%、花费43.13%；花费$52,930.53、销售额$194,314.95。</w:t>
      </w:r>
    </w:p>
    <w:p>
      <w:r>
        <w:t>这是报告集合的覆盖比例，不是SQP广告占比。第三块不是全广告概览。</w:t>
      </w:r>
    </w:p>
    <w:p>
      <w:r>
        <w:t>如何联合筛选（诊断线索）</w:t>
      </w:r>
    </w:p>
    <w:p>
      <w:r>
        <w:t>48个共同词达到SQP100点击筛选线并有交叉核查方向；按广告花费排序。</w:t>
      </w:r>
    </w:p>
    <w:p>
      <w:r>
        <w:t>分别保留两边计数、比率和证据；不将广告CVR与SQP购买比视为同一统计口径。</w:t>
      </w:r>
    </w:p>
    <w:p>
      <w:r>
        <w:t>两边都支持的候选（待验证建议）</w:t>
      </w:r>
    </w:p>
    <w:p>
      <w:r>
        <w:t>SQP购买比不低于同词市场，且广告有一定订单规模与较低ACOS时，列入增长复核。</w:t>
      </w:r>
    </w:p>
    <w:p>
      <w:r>
        <w:t>先对齐推广ASIN、利润和库存；两份相关表现不证明投放造成了增长。</w:t>
      </w:r>
    </w:p>
    <w:p>
      <w:r>
        <w:t>两边不一致的词（待验证建议）</w:t>
      </w:r>
    </w:p>
    <w:p>
      <w:r>
        <w:t>SQP购买比偏低而广告效益较好，或SQP购买比不低而广告成本较高，列为差异核查。</w:t>
      </w:r>
    </w:p>
    <w:p>
      <w:r>
        <w:t>检查推广商品、其他SKU归因销售、流量构成和投放方式；不直接解释成自然或广告优劣。</w:t>
      </w:r>
    </w:p>
    <w:p>
      <w:r>
        <w:t>能否相减得到自然量（当前不能确定）</w:t>
      </w:r>
    </w:p>
    <w:p>
      <w:r>
        <w:t>共同词仍未完成推广ASIN、场景、完整流量和购买归因对齐。</w:t>
      </w:r>
    </w:p>
    <w:p>
      <w:r>
        <w:t>不相减、不计算广告占SQP份额、不以正差额当自然量。</w:t>
      </w:r>
    </w:p>
    <w:p>
      <w:r>
        <w:t>共同词增长复核案例：tea pitcher for fridge（诊断线索）</w:t>
      </w:r>
    </w:p>
    <w:p>
      <w:r>
        <w:t>SQP 305点击/46购买，购买比15.08%，同词市场13.17%；广告311点击/71订单，花费$376.46，ACOS 21.99%。</w:t>
      </w:r>
    </w:p>
    <w:p>
      <w:r>
        <w:t>购买比不低且广告达到测试筛选；查利润与商品。这只是同词并列证据；先对齐推广商品及归因，率差未经显著性检验。</w:t>
      </w:r>
    </w:p>
    <w:p>
      <w:r>
        <w:t>共同词成本与意图复核案例：cold brew coffee maker（诊断线索）</w:t>
      </w:r>
    </w:p>
    <w:p>
      <w:r>
        <w:t>SQP 419点击/35购买，购买比8.35%，同词市场10.69%；广告597点击/53订单，花费$556.51，ACOS 44.24%。</w:t>
      </w:r>
    </w:p>
    <w:p>
      <w:r>
        <w:t>购买比偏低且广告待复核；查词意图与商品。这只是同词并列证据；先对齐推广商品及归因，率差未经显著性检验。</w:t>
      </w:r>
    </w:p>
    <w:p>
      <w:r>
        <w:t>两边表现差异案例：pitcher（诊断线索）</w:t>
      </w:r>
    </w:p>
    <w:p>
      <w:r>
        <w:t>SQP 2,070点击/284购买，购买比13.72%，同词市场14.69%；广告1,838点击/442订单，花费$2,544.27，ACOS 23.16%。</w:t>
      </w:r>
    </w:p>
    <w:p>
      <w:r>
        <w:t>广告较低成本但SQP购买比偏低；先核查范围。这只是同词并列证据；先对齐推广商品及归因，率差未经显著性检验。</w:t>
      </w:r>
    </w:p>
    <w:p>
      <w:pPr>
        <w:pStyle w:val="Heading1"/>
      </w:pPr>
      <w:r>
        <w:t>怎么读和更新</w:t>
      </w:r>
    </w:p>
    <w:p>
      <w:r>
        <w:t>先打开工作簿的“分析入口”，进入三块结论。各块全词页可筛选并核对计数；你的表格布局保留在“词简表_校正版”，完整指标在“总表_校正版”。原稿5页保留于工作簿后部，其自然相减、错误CPC和件数CVR不用于新结论。</w:t>
      </w:r>
    </w:p>
    <w:p>
      <w:r>
        <w:t>所有筛选线都是工作复核规则，没有目标ACOS和成本时不判利润，不将候选花费当成可节省金额。源数据更新后运行脚本刷新。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