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给带教的汇报稿</w:t>
      </w:r>
    </w:p>
    <w:p>
      <w:r>
        <w:t>我从9月原始SQP、广告搜索词报告和商品对应关系重新计算，主要分析商品搜索承接、广告降本与增长机会。结论分为可验证事实、诊断线索和待验证建议。</w:t>
      </w:r>
    </w:p>
    <w:p>
      <w:r>
        <w:t>首先，两份数据目前不能直接相减。SQP只有51个ASIN导出的前100查询样本，广告报告覆盖的商品和场景也不完全一致。SQP没出现的广告条目有42,044个，其中10,681个是ASIN编码，不能全部叫长尾搜索词。广告原表还有很多跨日期区间，按开始日期做每日趋势会失真，所以这次先用月度汇总分析。</w:t>
      </w:r>
    </w:p>
    <w:p>
      <w:r>
        <w:t>我主要从降本和增长两个方向看。</w:t>
      </w:r>
    </w:p>
    <w:p>
      <w:r>
        <w:t>商品这边，建议先看64oz黑色单装梅森罐。 它占SQP样本70.5%的点击、61.9%的购买计数，影响最大。它在mason jars的购买/点击是3.9%，同词市场为12.4%；cold brew pitcher是5.2%对12.0%。我想先检查搜索意图是否适配商品，以及主图、功能说明、价格、评价和库存，暂时不能确定是哪一项导致差异。</w:t>
      </w:r>
    </w:p>
    <w:p>
      <w:r>
        <w:t>广告这边，同一个词要拆到商品组合和投放单元。 mason jar pitcher在【梅森罐】组合ACOS22.9%，在【32oz梅森罐】47.3%。前者可以列增长候选，后者先查成本和落地商品，不能全店对这个词统一加价或否词。</w:t>
      </w:r>
    </w:p>
    <w:p>
      <w:r>
        <w:t>降本优先看有体量的具体单元。 【梅森罐】低价扫流0.7 -2 - z的同类投放，花费$3,654.70、346单、ACOS41.9%；【32oz梅森罐】低价扫流0.7 - z的关联投放，$944.69、77单、53.3%。建议先拆目标再小步测试。零单词按“20点击且$20以上”筛出26个，合计仅$702.04，不适合直接把原始零单行花费$50,472.72都算成浪费。</w:t>
      </w:r>
    </w:p>
    <w:p>
      <w:r>
        <w:t>增长可先维护有验证体量的词。 【梅森罐】手动精准核心1 mason jar pitcher，374单、ACOS22.3%，可以在确认利润、库存和预算限制后，考虑小幅增加预算；先不要同时加出价，避免不知道变化来自哪里。</w:t>
      </w:r>
    </w:p>
    <w:p>
      <w:r>
        <w:t>另一个需要一起看的是销售构成：9月广告花费$122,725.96、归因销售额$412,829.06，总ACOS29.7%，但44.0%的归因销售额来自其他SKU。这些收入有价值，不过目前不能确认具体售出商品，也不能用总ACOS直接判断被投商品盈利。</w:t>
      </w:r>
    </w:p>
    <w:p>
      <w:r>
        <w:t>下一步我建议先补目标ACOS或广告前贡献利润率、可靠的推广ASIN映射和日粒度广告报告。然后挑少量高成本单元做降本测试，同时给少量高效词做增长测试，等归因成熟后看成本、订单和商品总销量。详细证据、候选和原始行号已放在独立分析工作簿里。</w:t>
      </w:r>
    </w:p>
    <w:p>
      <w:r>
        <w:t>我补了同词“点击吸引力×购买承接”的机会矩阵。它提示太阳茶、冰箱茶壶等明确场景可以继续验证；但搜索表现好仍要结合广告成本，比如iced tea pitcher搜索表现较强，广告ACOS却为31.2%，不能只看一个维度就加预算。7月文件作为思路参考，没有并入9月数据。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2026年9月｜独立复核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