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2026年9月亚马逊搜索与广告分析</w:t>
      </w:r>
    </w:p>
    <w:p>
      <w:r>
        <w:t>分析人：独立复核原始文件；供与带教 zhenxiaocheng 讨论。范围：美国站广告、51个ASIN的SQP导出样本。广告金额均为USD。</w:t>
      </w:r>
    </w:p>
    <w:p>
      <w:pPr>
        <w:pStyle w:val="Heading1"/>
      </w:pPr>
      <w:r>
        <w:t>先看结论</w:t>
      </w:r>
    </w:p>
    <w:p>
      <w:r>
        <w:t>本报告直接从raw_data中的51个SQP CSV、广告原表和商品对应关系重新计算，围绕商品承接、广告降本与增长测试展开。当前数据适合回答：哪些商品的搜索承接值得优先检查、哪些词与商品组合投得有效、哪些投放单元应复核成本。当前数据无法可靠回答自然流量占比、广告增量贡献或净利润。</w:t>
      </w:r>
    </w:p>
    <w:p>
      <w:pPr>
        <w:pStyle w:val="ListNumber"/>
      </w:pPr>
      <w:r>
        <w:t>先优化主力商品的承接。 B0DGCVK1JL（64oz黑色单装梅森罐）占SQP样本70.5%的点击、61.9%的购买计数。同词结构对照后，购买效率指数为0.77，优先检查它获得的流量是否适配商品，以及页面承接是否充分。</w:t>
      </w:r>
    </w:p>
    <w:p>
      <w:pPr>
        <w:pStyle w:val="ListNumber"/>
      </w:pPr>
      <w:r>
        <w:t>按“搜索词×广告组合×投放单元”做决策。 mason jar pitcher在【梅森罐】组合的ACOS为22.9%，在【32oz梅森罐】为47.3%。同词好坏取决于落地商品、投放方式和成本，不能全店统一加价或否词。</w:t>
      </w:r>
    </w:p>
    <w:p>
      <w:pPr>
        <w:pStyle w:val="ListNumber"/>
      </w:pPr>
      <w:r>
        <w:t>降本先看有体量的低效投放。 自动关联整体ACOS46.3%，自动同类36.7%；【梅森罐】一条同类单元花费$3,654.70、ACOS41.9%。先拆具体目标，避免按整个类型删除。</w:t>
      </w:r>
    </w:p>
    <w:p>
      <w:pPr>
        <w:pStyle w:val="ListNumber"/>
      </w:pPr>
      <w:r>
        <w:t>总ACOS需要结合SKU销售结构。 全表花费$122,725.96、7天归因销售额$412,829.06，总ACOS29.7%。其他SKU销售额占44.0%，花费÷广告SKU销售额为53.1%；这不是利润亏损结论，也不是把其他SKU销售额判为无价值。</w:t>
      </w:r>
    </w:p>
    <w:p>
      <w:pPr>
        <w:pStyle w:val="ListNumber"/>
      </w:pPr>
      <w:r>
        <w:t>增长候选可以测试，不能直接预测收益。 105个组合×词候选满足“≥10单、ACOS≤25%”；例如【梅森罐】的pitcher、glass pitcher with lid。先确定利润和库存、是否受预算限制，再小步测试。</w:t>
      </w:r>
    </w:p>
    <w:p>
      <w:pPr>
        <w:pStyle w:val="Heading1"/>
      </w:pPr>
      <w:r>
        <w:t>1. 数据能说明什么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sz w:val="16"/>
              </w:rPr>
              <w:t>数据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已验证范围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适合回答的问题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主要限制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51个SQP CSV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3,117行、2,410个去重词；27个文件达到100行，排名1—100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指定词的市场规模、样本ASIN表现、点击与购买承接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前100导出；不足100行也不证明全量；不能代表所有搜索或全店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26.9.xlsx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61,169行、43,846个归一化客户词、1,515个活动、20个组合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本份SP报告的广告花费、归因销售额、投放效率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无可靠推广ASIN/SKU字段；每行有覆盖日期区间；含商品编码条目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对应关系.xlsx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72个非空且唯一ASIN；其中51个有SQP、21个未导出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识别商品、颜色、规格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不能证明广告范围仅为这72个ASIN，也不能证明所有都在售</w:t>
            </w:r>
          </w:p>
        </w:tc>
      </w:tr>
    </w:tbl>
    <w:p>
      <w:r>
        <w:t>“SQP包含自然和广告搜索表现”不等于“这份SQP导出是这份广告报告的总体”。Top100限制的是每个ASIN的查询排名，不是把整个市场按搜索量取前100。词出现在ASIN A的CSV里，也不意味着这个词在ASIN B的记录完整。</w:t>
      </w:r>
    </w:p>
    <w:p>
      <w:r>
        <w:t>原始客户词43,847个，仅将大小写、首尾空格与连续空白统一后变成43,846个；不合并单复数、不同语言和不同拼写。市场计数对相同词完全一致，因此全局只计一次。ASIN计数在已导出ASIN×词范围内求和，称为“样本计数”，不称“完整品牌总量”。</w:t>
      </w:r>
    </w:p>
    <w:p>
      <w:pPr>
        <w:pStyle w:val="Heading1"/>
      </w:pPr>
      <w:r>
        <w:t>2. 数据质量与证据边界</w:t>
      </w:r>
    </w:p>
    <w:p>
      <w:r>
        <w:t>全部跨日期广告行有11,646行、花费$87,876.68，占71.6%。例如开始9月1日、结束9月30日的346行合计花费$41,681.05，这些是覆盖区间计数，不能当作9月1日的发生额。当前不做每日趋势，也不只剔除跨日期行或平均分摊到每天。月度合计用于本份报告的效率分析；完整性仍应与后台同范围月度汇总对账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sz w:val="16"/>
              </w:rPr>
              <w:t>证据层级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依据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例子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解释边界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已验证事实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从原始计数汇总、同词匹配和计算校验得到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花费、销售额、点击、购买计数、ACOS、日期区间、词条覆盖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可以复算，不等于因果或完整店铺规模。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诊断线索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原始计数基础上构造描述性对照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同词购买率差异、结构调整购买指数、机会矩阵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用于排序检查；不确定原因，不表示统计显著。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待验证建议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筛选规则与业务判断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增长候选、高成本复核候选、调价或预算测试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25%/40%只是筛选线，未提供目标ACOS与利润，不能作为盈亏或收益承诺。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当前不能确定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缺少对齐口径或直接证据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自然流量占比、广告增量、净利润、页面因素的因果影响、计数加噪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不把脱敏等推测当成差异原因；补充官方定义和业务数据后再判断。</w:t>
            </w:r>
          </w:p>
        </w:tc>
      </w:tr>
    </w:tbl>
    <w:p>
      <w:r>
        <w:t>精度问题： 原始ASIN份额与直接计数相除的差均在0.005个百分点内，符合百分比保留两位小数。不能因为“总量×显示份额”反推时有误差，就断言原始整数计数被脱敏。价格有9行出现约6万至9万的异常值，本次不用于价格分析，也不凭猜测修正。</w:t>
      </w:r>
    </w:p>
    <w:p>
      <w:pPr>
        <w:pStyle w:val="Heading1"/>
      </w:pPr>
      <w:r>
        <w:t>3. SQP：先识别商品承接与相关性</w:t>
      </w:r>
    </w:p>
    <w:p>
      <w:pPr>
        <w:pStyle w:val="Heading2"/>
      </w:pPr>
      <w:r>
        <w:t>3.1 主力商品决定优化优先级</w:t>
      </w:r>
    </w:p>
    <w:p>
      <w:r>
        <w:t>SQP样本共3,416,240曝光、47,159点击、16,730加购、3,778购买计数。整体购买/点击为8.0%。购买计数为ASIN口径，跨ASIN求和不等于独立买家数或去重订单笔数。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sz w:val="16"/>
              </w:rPr>
              <w:t>ASIN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品名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样本点击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样本购买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点击后购买率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结构调整购买指数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B0DGCVK1JL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梅森罐64oz（单装）黑色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33260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2339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7.0%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0.77倍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B0FVFFGLXY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梅森罐32oz（单装）黑色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581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134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23.1%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1.77倍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B0FVFF4CP9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梅森罐32oz（单装）绿色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2434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121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5.0%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0.57倍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B0FP2FMCW1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68o水升（冰箱款）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28.8%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2.08倍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B0DHCBQSZN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糖罐6件套1.1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768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12.4%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1.11倍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B0F41X6T3G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梅森罐64oz（单装）绿色-果茶款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790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11.9%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1.13倍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B0F42CD7BZ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梅森罐64oz（单装）绿色-滤棒款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796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10.7%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1.05倍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B0F42HC931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梅森罐64oz（单装）黑色-滤棒款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794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10.3%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0.94倍</w:t>
            </w:r>
          </w:p>
        </w:tc>
      </w:tr>
    </w:tbl>
    <w:p>
      <w:r>
        <w:t>“结构调整购买指数”=实际样本购买÷Σ（每词样本点击×同词市场购买/市场点击）。例如0.77表示按该ASIN已观察到的点击词结构与同词市场率对照，实际购买计数约为基准的77%。它减少了不同ASIN词结构差异的影响，但不控制价格、广告位置、库存、流量人群等差异；不代表颜色导致差异，也不是显著性或因果结论。</w:t>
      </w:r>
    </w:p>
    <w:p>
      <w:r>
        <w:t>64oz黑色值得优先检查，是因为它体量大、影响面广。32oz黑色581点击134购买，购买/点击23.1%；绿色2,434点击121购买，为5.0%。结构调整后两者指数仍为1.77与0.57，值得检查词结构以外的库存、价格、评价、页面、广告位置等因素。不能只凭这两份表认定黑色比绿色更受欢迎。</w:t>
      </w:r>
    </w:p>
    <w:p>
      <w:r>
        <w:drawing>
          <wp:inline xmlns:a="http://schemas.openxmlformats.org/drawingml/2006/main" xmlns:pic="http://schemas.openxmlformats.org/drawingml/2006/picture">
            <wp:extent cx="6126480" cy="2144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商品集中与承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44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商品集中与承接</w:t>
      </w:r>
    </w:p>
    <w:p>
      <w:pPr>
        <w:pStyle w:val="Heading2"/>
      </w:pPr>
      <w:r>
        <w:t>3.2 大词不一定值得扩大投入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sz w:val="16"/>
              </w:rPr>
              <w:t>搜索词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样本点击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样本购买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样本点击后购买率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市场点击后购买率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kitchen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2205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1.0%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1.2%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mason jars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1549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3.9%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12.4%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1385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0.8%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0.7%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cold brew pitcher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1181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5.8%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12.0%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glass water bottles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628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2.1%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6.2%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mason jar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5.6%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15.2%</w:t>
            </w:r>
          </w:p>
        </w:tc>
      </w:tr>
    </w:tbl>
    <w:p>
      <w:r>
        <w:t>kitchen有2,205样本点击但仅22购买，购买/点击约1.0%；home为0.8%。市场本身这类词的购买率也低，因此不能单凭低购买率判定商品页面有问题，也不能因为曝光或点击大就优先投放。原数据没有分出自然点击，不能将这些词定性为“自然大词”。</w:t>
      </w:r>
    </w:p>
    <w:p>
      <w:r>
        <w:t>更值得诊断的是mason jars：样本购买/点击3.9%，同词市场12.4%；cold brew pitcher为5.8%对12.0%。其中64oz黑色在mason jars为1,465点击、57购买，原CSV第62行；在cold brew pitcher为960点击、50购买，原CSV第79行。先判断用户想要普通储存罐还是带把手倒水壶、想要冷萃功能是否满足，再查页面承接。没有页面与库存数据，不能确定具体原因。</w:t>
      </w:r>
    </w:p>
    <w:p>
      <w:r>
        <w:t>诊断表里的“距市场率购买差额”用于排序检查顺序；市场竞争商品不同，不能把差额当成可挽回订单或收入承诺。</w:t>
      </w:r>
    </w:p>
    <w:p>
      <w:pPr>
        <w:pStyle w:val="Heading2"/>
      </w:pPr>
      <w:r>
        <w:t>3.3 适配词和商品的增长线索</w:t>
      </w:r>
    </w:p>
    <w:p>
      <w:r>
        <w:t>glass carafe with lid市场搜索量8,849，样本145点击、21购买，购买/点击14.5%，同词市场10.6%，样本购买份额4.94%。其中64oz黑色B0DGCVK1JL贡献144点击、21购买（原CSV第63行）。它是一个需商品形态核查的小额测试候选：确认是否符合carafe、带盖等意图后，再测试文案或精准词覆盖。不能将一个月145点击的结果当成稳定增长预测。</w:t>
      </w:r>
    </w:p>
    <w:p>
      <w:r>
        <w:t>样本总体按自身点击词结构加权的市场购买率为9.4%，实际为8.0%，指数0.85。这个对照提示承接值得进一步拆解，不表示整体“少卖了多少订单”。更不能把不同ASIN行的市场总量相加当作全市场规模。</w:t>
      </w:r>
    </w:p>
    <w:p>
      <w:pPr>
        <w:pStyle w:val="Heading1"/>
      </w:pPr>
      <w:r>
        <w:t>4. 广告：先看结构，再看具体词与投放单元</w:t>
      </w:r>
    </w:p>
    <w:p>
      <w:pPr>
        <w:pStyle w:val="Heading2"/>
      </w:pPr>
      <w:r>
        <w:t>4.1 广告整体效率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16"/>
              </w:rPr>
              <w:t>指标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9月本份广告报告合计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曝光 / 点击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8,039,471 / 158,568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花费 / 7天归因销售额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$122,725.96 / $412,829.06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广告归因订单 / 销量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16,016 / 16,571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CTR / CPC / 订单每点击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1.97% / $0.77 / 10.10%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总ACOS / ROAS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29.73% / 3.36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广告SKU / 其他SKU归因销售额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$231,125.83 / $181,703.23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其他SKU销售额占比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44.01%</w:t>
            </w:r>
          </w:p>
        </w:tc>
      </w:tr>
    </w:tbl>
    <w:p>
      <w:r>
        <w:t>所有比率均用合计分子÷合计分母，未平均原表逐行比率。零销售额时ACOS留空，不填成0。</w:t>
      </w:r>
    </w:p>
    <w:p>
      <w:r>
        <w:t>ACOS29.7%仅意味着每$100归因销售额对应约$29.7广告花费，是否盈利取决于广告前的贡献利润率：销售收入扣除商品成本、平台佣金、履约、物流、优惠等之后的利润率。退款等也应按业务口径纳入。未提供成本数据，因此不下“盈利/亏损”判断。归因销售额也不等于广告带来的增量销售。</w:t>
      </w:r>
    </w:p>
    <w:p>
      <w:r>
        <w:t>广告花费÷广告SKU销售额为53.1%。这个对照显示对其他SKU归因收入依赖较高，不是亚马逊标准总ACOS的替代指标，不代表其他SKU收益应该忽略；“其他SKU”也不一定是另一条产品线，可能含同款变体。当前表无法确认具体售出商品及是否增量。</w:t>
      </w:r>
    </w:p>
    <w:p>
      <w:pPr>
        <w:pStyle w:val="Heading2"/>
      </w:pPr>
      <w:r>
        <w:t>4.2 广告组合的优先级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sz w:val="16"/>
              </w:rPr>
              <w:t>广告组合名称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广告花费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广告销售额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广告订单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ACOS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其他SKU销售额占比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$81,777.67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$287,633.24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11369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28.4%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44.3%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【32oz梅森罐】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$12,363.00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$37,471.67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1671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33.0%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57.0%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【果茶款梅森罐】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$5,808.10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$15,577.47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657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37.3%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56.4%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【滤棒款梅森罐】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$4,401.51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$11,046.64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466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39.8%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40.2%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【饮品罐】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$3,900.34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$14,798.17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257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26.4%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36.1%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【水升】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$2,738.34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$7,273.70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275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37.6%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24.0%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【洗衣液分配器】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$2,716.67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$9,450.58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204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28.7%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26.8%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【店铺】低价扫流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$2,046.70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$6,817.82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251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30.0%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38.5%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【高硼硅梅森罐】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$1,659.47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$4,508.49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36.8%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26.9%</w:t>
            </w:r>
          </w:p>
        </w:tc>
      </w:tr>
      <w:tr>
        <w:tc>
          <w:tcPr>
            <w:tcW w:type="dxa" w:w="1704"/>
          </w:tcPr>
          <w:p>
            <w:r>
              <w:rPr>
                <w:sz w:val="16"/>
              </w:rPr>
              <w:t>【糖罐B0DHWZMVVG】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$1,622.03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$4,920.76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164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33.0%</w:t>
            </w:r>
          </w:p>
        </w:tc>
        <w:tc>
          <w:tcPr>
            <w:tcW w:type="dxa" w:w="1704"/>
          </w:tcPr>
          <w:p>
            <w:r>
              <w:rPr>
                <w:sz w:val="16"/>
              </w:rPr>
              <w:t>25.3%</w:t>
            </w:r>
          </w:p>
        </w:tc>
      </w:tr>
    </w:tbl>
    <w:p>
      <w:r>
        <w:t>【梅森罐】占花费66.6%、销售额69.7%，总ACOS28.4%，是最值得持续维护的主力组合。【32oz梅森罐】ACOS33.0%，其他SKU收入占57.0%；【果茶款梅森罐】ACOS37.3%，其他SKU占56.4%；应同时拆看成本和实际售出商品。组合名称只是后台分组，不自动等于某个ASIN或完整产品线。</w:t>
      </w:r>
    </w:p>
    <w:p>
      <w:pPr>
        <w:pStyle w:val="Heading2"/>
      </w:pPr>
      <w:r>
        <w:t>4.3 同一词要看投给了什么商品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sz w:val="16"/>
              </w:rPr>
              <w:t>广告组合名称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广告花费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广告订单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ACOS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$2,562.43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437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22.9%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【果茶款梅森罐】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$1,445.91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35.9%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【滤棒款梅森罐】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$236.99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37.6%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【灰色梅森】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$195.55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46.7%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【32oz梅森罐】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$987.97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47.3%</w:t>
            </w:r>
          </w:p>
        </w:tc>
      </w:tr>
    </w:tbl>
    <w:p>
      <w:r>
        <w:t>mason jar pitcher在不同组合都出单，但成本明显不同。【梅森罐】22.9%可列增长测试，【32oz梅森罐】47.3%先列降本复核。建议先核对具体投放单元和推广商品，再考虑组合内小幅调整；不能由组合名直接判断原因是容量。</w:t>
      </w:r>
    </w:p>
    <w:p>
      <w:r>
        <w:drawing>
          <wp:inline xmlns:a="http://schemas.openxmlformats.org/drawingml/2006/main" xmlns:pic="http://schemas.openxmlformats.org/drawingml/2006/picture">
            <wp:extent cx="6126480" cy="2962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同词不同组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6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同词不同组合</w:t>
      </w:r>
    </w:p>
    <w:p>
      <w:pPr>
        <w:pStyle w:val="Heading2"/>
      </w:pPr>
      <w:r>
        <w:t>4.4 不要把所有“-”算自动广告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sz w:val="16"/>
              </w:rPr>
              <w:t>投放类型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广告花费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广告订单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ACOS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其他SKU销售额占比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手动-精准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$25,103.05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3336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29.4%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44.7%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手动-词组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$22,967.28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3270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26.6%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45.2%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商品定向-ASIN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$18,582.27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2321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31.1%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42.2%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手动-广泛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$16,904.14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2180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29.6%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42.5%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自动-紧密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$13,064.30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1881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28.4%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41.6%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自动-宽泛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$10,849.65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1325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31.6%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40.5%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自动-同类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$8,244.32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902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36.7%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47.1%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关键词组定向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$4,001.72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546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29.3%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51.1%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自动-关联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$2,166.93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170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46.3%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62.7%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商品定向-类目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$826.16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26.4%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47.8%</w:t>
            </w:r>
          </w:p>
        </w:tc>
      </w:tr>
    </w:tbl>
    <w:p>
      <w:r>
        <w:t>四类自动通过投放字段识别；“-”还包含商品ASIN定位、类目与关键词组定向。自动关联ACOS46.3%、其他SKU收入占62.7%，自动同类36.7%，优先查看具体单元。手动词组26.6%低于精准29.4%，但商品和词构成不同，不能得出“词组优于精准”的普遍规则。</w:t>
      </w:r>
    </w:p>
    <w:p>
      <w:r>
        <w:t>具体有体量的问题单元：</w:t>
      </w:r>
    </w:p>
    <w:p>
      <w:pPr>
        <w:pStyle w:val="ListBullet"/>
      </w:pPr>
      <w:r>
        <w:t>【梅森罐】低价扫流0.7 -2 - z，substitutes：$3,654.70、346单、ACOS41.9%。先拆客户ASIN与推广商品，再决定哪部分调整。</w:t>
      </w:r>
    </w:p>
    <w:p>
      <w:pPr>
        <w:pStyle w:val="ListBullet"/>
      </w:pPr>
      <w:r>
        <w:t>【32oz梅森罐】低价扫流0.7 - z，complements：$944.69、77单、ACOS53.3%。先核对关联商品和连带利润，再小步测试成本。</w:t>
      </w:r>
    </w:p>
    <w:p>
      <w:r>
        <w:drawing>
          <wp:inline xmlns:a="http://schemas.openxmlformats.org/drawingml/2006/main" xmlns:pic="http://schemas.openxmlformats.org/drawingml/2006/picture">
            <wp:extent cx="6126480" cy="3185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投放类型效率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投放类型效率</w:t>
      </w:r>
    </w:p>
    <w:p>
      <w:pPr>
        <w:pStyle w:val="Heading2"/>
      </w:pPr>
      <w:r>
        <w:t>4.5 零单花费不能全部叫浪费</w:t>
      </w:r>
    </w:p>
    <w:p>
      <w:r>
        <w:t>原始行中零单花费$50,472.72；同词在其他行可能有成交。按“广告组合×客户词”汇总后，整个组合词仍零单的花费为$45,025.65，大量来自一两次点击的条目。按“≥20点击、≥$20且零单”筛选仅26个组合词、$702.04，占全部花费0.57%。因此直接声称可以节省$50,472.72没有依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sz w:val="16"/>
              </w:rPr>
              <w:t>广告组合名称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搜索词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广告点击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广告花费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b0bbknw9bz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$42.53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infusion pitcher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$40.56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【饮品罐】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juice dispenser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$36.90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【果茶款梅森罐】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wedding registry items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$36.38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xarfxco cold brew pitcher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$35.17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【店铺】低价扫流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wedding registry items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$35.16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b0bs8ztqfl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$33.20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【32oz梅森罐】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tupperware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$28.48</w:t>
            </w:r>
          </w:p>
        </w:tc>
      </w:tr>
    </w:tbl>
    <w:p>
      <w:r>
        <w:t>20点击零单只是复核阈值：如果真实购买率10%，20点击仍零单的概率约12%。核对归因是否成熟、相关性和具体投放单元后才考虑否定；文本词与商品编码分别处理，不能把整个店铺都否掉。</w:t>
      </w:r>
    </w:p>
    <w:p>
      <w:pPr>
        <w:pStyle w:val="Heading2"/>
      </w:pPr>
      <w:r>
        <w:t>4.6 有单高成本与增长候选</w:t>
      </w:r>
    </w:p>
    <w:p>
      <w:r>
        <w:t>复核筛选：≥5单、花费≥$50且ACOS&gt;40%，共45个组合词、$6,945.61花费，均有成交，适合检查成本和利润，不适合直接暂停。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sz w:val="16"/>
              </w:rPr>
              <w:t>广告组合名称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搜索词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广告花费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广告订单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ACOS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【32oz梅森罐】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mason jar pitcher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$987.97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47.3%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【滤棒款梅森罐】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cold brew coffee maker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$540.65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43.8%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【水升】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glass pitchers with handle and lid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$306.26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51.6%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【高硼硅梅森罐】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glass pitcher with lid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$250.56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48.4%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【32oz梅森罐】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small glass pitcher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$211.19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49.8%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【滤棒款梅森罐】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cold brew maker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$197.84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86.1%</w:t>
            </w:r>
          </w:p>
        </w:tc>
      </w:tr>
    </w:tbl>
    <w:p>
      <w:r>
        <w:t>增长筛选：≥10单且ACOS≤25%，共105个组合词，合计花费$18,854.22、归因销售额$91,354.01、3,625单。25%和40%是本次用于筛选的观察线，用户暂未提供业务目标，不能当作统一盈亏标准。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sz w:val="16"/>
              </w:rPr>
              <w:t>广告组合名称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搜索词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广告花费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广告订单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ACOS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mason jar pitcher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$2,562.43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437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22.9%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glass pitcher with lid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$2,476.39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24.3%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pitcher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$2,455.29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425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23.2%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tea pitcher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$657.19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23.3%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【滤棒款梅森罐】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spreccio mason jar pitcher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$454.26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22.8%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【梅森罐】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sun tea glass jar for outside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$430.70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20.3%</w:t>
            </w:r>
          </w:p>
        </w:tc>
      </w:tr>
    </w:tbl>
    <w:p>
      <w:r>
        <w:t>具体可讨论的投放单元：【梅森罐】手动精准核心1 mason jar pitcher，花费$2,131.72、374单、ACOS22.3%；以及【梅森罐】手动广泛 glass pitchers with handle and lid - z，$4,029.91、633单、23.6%。先看推广商品、预算是否受限、库存和目标ACOS；预算受限才试加预算，避免因为历史效率好就机械加价。更高预算的边际成本可能上升。</w:t>
      </w:r>
    </w:p>
    <w:p>
      <w:pPr>
        <w:pStyle w:val="Heading1"/>
      </w:pPr>
      <w:r>
        <w:t>5. 两表对照：为什么“全量小于纯广告”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sz w:val="16"/>
              </w:rPr>
              <w:t>集合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词条数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SQP样本点击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广告点击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广告点击占全表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两表都收录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1,802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46,005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56,382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35.56%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仅SQP收录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1,154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未匹配到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仅广告收录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42,044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未匹配到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102,186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64.44%</w:t>
            </w:r>
          </w:p>
        </w:tc>
      </w:tr>
    </w:tbl>
    <w:p>
      <w:r>
        <w:t>1,802+608=2,410个SQP词；1,802+42,044=43,846个广告词；并集44,454个。以双方是否出现做集合统计，与双方是否有正点击分开。1,776个双方有点击只是交集子集，另外26个共有词在SQP样本中零点击。</w:t>
      </w:r>
    </w:p>
    <w:p>
      <w:r>
        <w:t>仅广告收录的42,044条中，10,681条是ASIN编码，贡献46,191点击；31,363条是文本词，贡献55,995点击。编码条目不宜解释为普通客户输入的“长尾词”，是否发生在详情页或其他位置仍需广告报告确认。文本词也可能来自未导出商品，不能把全部缺失都归因于Top100。</w:t>
      </w:r>
    </w:p>
    <w:p>
      <w:r>
        <w:drawing>
          <wp:inline xmlns:a="http://schemas.openxmlformats.org/drawingml/2006/main" xmlns:pic="http://schemas.openxmlformats.org/drawingml/2006/picture">
            <wp:extent cx="6126480" cy="2773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广告点击覆盖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73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广告点击覆盖</w:t>
      </w:r>
    </w:p>
    <w:p>
      <w:r>
        <w:t>即使只看共有词，广告点击56,382仍大于SQP样本46,005，说明按词取交集仍未解决ASIN与场景范围差异。广告销售包含其他SKU、购买归因时间规则也需对齐。因此不计算自然点击、自然购买或广告占比；广告≤SQP时也不使用相减。仅SQP出现也只表示本份SP报告未匹配到，不意味着完全没广告。</w:t>
      </w:r>
    </w:p>
    <w:p>
      <w:pPr>
        <w:pStyle w:val="Heading1"/>
      </w:pPr>
      <w:r>
        <w:t>6. 给带教的执行建议与下一步数据</w:t>
      </w:r>
    </w:p>
    <w:p>
      <w:pPr>
        <w:pStyle w:val="Heading2"/>
      </w:pPr>
      <w:r>
        <w:t>第一步：先校准口径和主力商品</w:t>
      </w:r>
    </w:p>
    <w:p>
      <w:r>
        <w:t>本次以可复算的月度总数和原始SQP记录为基础；日度趋势与自然流量拆分需补齐口径后再评估。核对64oz黑色的mason jars与cold brew pitcher搜索意图、页面、库存和实际投放商品。补充广告前贡献利润率及不同SKU毛利，建立各商品合理目标ACOS。</w:t>
      </w:r>
    </w:p>
    <w:p>
      <w:pPr>
        <w:pStyle w:val="Heading2"/>
      </w:pPr>
      <w:r>
        <w:t>第二步：降本和增长分别做小步测试</w:t>
      </w:r>
    </w:p>
    <w:p>
      <w:r>
        <w:t>降本从上述同类/关联单元、45个有单高ACOS组合词里选择少量具体对象；增长从105个候选中选择库存充足、利润符合要求且受预算约束的对象。作为讨论方案，单次出价可试降10%—15%、预算可试增10%，每次只调整一个变量。这些幅度不是对全部单元的执行指令。</w:t>
      </w:r>
    </w:p>
    <w:p>
      <w:r>
        <w:t>记录修改日期、原设置、商品、目标、预期观察指标。先观察7天点击发生数据，再等待7天归因窗口及后台更新充分成熟后比较；需覆盖可比星期结构，避免同时更改价格、图片或优惠。观察ACOS、订单/日、广告SKU与其他SKU收入、全店或商品总销量，不只看单一广告比例。低点击测试延长观察，不机械按7天结束。</w:t>
      </w:r>
    </w:p>
    <w:p>
      <w:pPr>
        <w:pStyle w:val="Heading2"/>
      </w:pPr>
      <w:r>
        <w:t>第三步：把补数据请求写具体</w:t>
      </w:r>
    </w:p>
    <w:p>
      <w:pPr>
        <w:pStyle w:val="ListBullet"/>
      </w:pPr>
      <w:r>
        <w:t>SQP：同市场、同月份、同ASIN范围，申请后台当前权限允许导出的更多词；如能取品牌视图，保留品牌字段及完整指标说明。不要预设一定能导出1,000条。</w:t>
      </w:r>
    </w:p>
    <w:p>
      <w:pPr>
        <w:pStyle w:val="ListBullet"/>
      </w:pPr>
      <w:r>
        <w:t>广告：重新导出明确日粒度SP报告；另取推广商品报告，将活动/广告组与推广ASIN、SKU、售出商品建立可靠关系。若广告组含多个商品，不能只凭广告组名称硬分摊搜索词指标。</w:t>
      </w:r>
    </w:p>
    <w:p>
      <w:pPr>
        <w:pStyle w:val="ListBullet"/>
      </w:pPr>
      <w:r>
        <w:t>商品经营：广告前贡献利润率、库存与断货记录、价格和优惠、评论变化、Business Reports商品销售与Sessions、其他月份同口径数据。</w:t>
      </w:r>
    </w:p>
    <w:p>
      <w:pPr>
        <w:pStyle w:val="ListBullet"/>
      </w:pPr>
      <w:r>
        <w:t>归因说明：保留当前后台SQP购买定义、广告7天窗口、更新日期和报告设置截图，再决定可比较范围。补充SB/SD是否存在，不能默认本份SP就是所有广告。</w:t>
      </w:r>
    </w:p>
    <w:p>
      <w:pPr>
        <w:pStyle w:val="Heading1"/>
      </w:pPr>
      <w:r>
        <w:t>7. 文件和复算方式</w:t>
      </w:r>
    </w:p>
    <w:p>
      <w:r>
        <w:t>优先阅读《给带教的汇报稿.md》，核对时打开《9月独立分析.xlsx》。完整CSV包括全部51,736条组合词汇总、43,846条广告客户词汇总和44,454条两表对照，没有为了美观删除低点击词。工作簿只放与SQP相关的2,410条对照和176条行动候选，其余见同目录CSV。</w:t>
      </w:r>
    </w:p>
    <w:p>
      <w:r>
        <w:t>SQP明细保留来源文件与原始行号；广告组合词汇总保留原始Excel行号和日期范围。原始行号首末只用于定位范围，不代表中间行均匹配。原始文件SHA-256记录于source_manifest.json。</w:t>
      </w:r>
    </w:p>
    <w:p>
      <w:r>
        <w:t>复算：在项目根目录运行 python analysis/analyze.py，再运行 python analysis/build_deliverables.py。只读取原始CSV/XLSX，不读取其他分析文件作为数据来源，不改变原始压缩包或raw_data。</w:t>
      </w:r>
    </w:p>
    <w:p>
      <w:pPr>
        <w:pStyle w:val="Heading1"/>
      </w:pPr>
      <w:r>
        <w:t>8. 搜索机会矩阵与使用场景</w:t>
      </w:r>
    </w:p>
    <w:p>
      <w:r>
        <w:t>点击吸引力指数＝样本点击/样本曝光 ÷ 同词市场点击/市场曝光；购买承接指数＝样本购买/样本点击 ÷ 同词市场购买/市场点击。以1倍作为描述性分界，低于100点击先标为样本不足。这个矩阵用于检查顺序，不是显著性检验，不识别自然流量，也不证明页面因素导致差异。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sz w:val="16"/>
              </w:rPr>
              <w:t>点击吸引力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购买承接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优先检查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达基准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达基准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相关性、绝对购买率、利润、库存和预算约束，之后考虑维护或增长测试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达基准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偏低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规格和词意图、价格、页面、库存、评价、流量位置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偏低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达基准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主图、展示位置、标题、价格和竞品构成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偏低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偏低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商品与词意图是否适配，避免只因市场词大就买量</w:t>
            </w:r>
          </w:p>
        </w:tc>
      </w:tr>
    </w:tbl>
    <w:p>
      <w:r>
        <w:t>场景线索：sun tea glass jar for outside的吸引力指数1.47、承接指数1.14，【梅森罐】广告ACOS20.3%；tea pitcher for fridge分别为1.48、1.15与19.6%。可以结合商品实际支持的容量、盖子、把手、倒水方式考虑小额增长测试。</w:t>
      </w:r>
    </w:p>
    <w:p>
      <w:r>
        <w:t>iced tea pitcher的SQP两项指数也较强，但【梅森罐】广告ACOS31.2%，先看利润与成本。glass carafe with lid承接指数1.37、吸引力0.88、广告ACOS13.3%，可先研究点击环节；只有145个SQP样本点击，仍需验证稳定性。上述两表范围未完全对齐，不将广告表现归到某个具体ASIN，也不推算自然流量。</w:t>
      </w:r>
    </w:p>
    <w:p>
      <w:r>
        <w:t>7月工作文件仅提供分析组织方式参考，其数值、第三方排名、竞价与公式没有作为9月指标来源。矩阵和场景判断均用9月原始数据重新计算。</w:t>
      </w:r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2026年9月｜独立复核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