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Unicorn Companies — Descriptive Analysis Report</w:t>
      </w:r>
    </w:p>
    <w:p>
      <w:pPr>
        <w:jc w:val="center"/>
      </w:pPr>
      <w:r>
        <w:rPr>
          <w:i/>
          <w:sz w:val="20"/>
        </w:rPr>
        <w:t>Cornell Capstone Project  •  Dataset: Unicorn_Companies.csv (n = 1,074)  •  Coverage through 2022-04-05</w:t>
      </w:r>
    </w:p>
    <w:p>
      <w:r>
        <w:rPr>
          <w:b w:val="0"/>
          <w:i/>
        </w:rPr>
        <w:t>This report describes the population of existing unicorn companies (private, venture-backed startups valued at ≥ $1B). Section A presents the guided descriptive analysis; Section B presents an independent, data-driven insight scan; Section C notes implications for modeling. Every chart and table is followed by a "What this means" note stating the takeaway, so the focus is on what the data implies rather than merely what was computed. All per-category shares describe this dataset’s composition, not real-world probabilities.</w:t>
      </w:r>
    </w:p>
    <w:p>
      <w:pPr>
        <w:pStyle w:val="Heading2"/>
      </w:pPr>
      <w:r>
        <w:t>Data Preparation</w:t>
      </w:r>
    </w:p>
    <w:p>
      <w:pPr>
        <w:pStyle w:val="ListBullet"/>
      </w:pPr>
      <w:r>
        <w:t>Industry capitalization inconsistency merged (Artificial Intelligence × 11 + Artificial intelligence × 73 → 84 companies, 7.8%).</w:t>
      </w:r>
    </w:p>
    <w:p>
      <w:pPr>
        <w:pStyle w:val="ListBullet"/>
      </w:pPr>
      <w:r>
        <w:t>Valuation and Funding parsed from strings (e.g. "$180B") into numeric USD.</w:t>
      </w:r>
    </w:p>
    <w:p>
      <w:pPr>
        <w:pStyle w:val="ListBullet"/>
      </w:pPr>
      <w:r>
        <w:t>Date Joined parsed to datetime; derived Year Joined and Years-to-Unicorn.</w:t>
      </w:r>
    </w:p>
    <w:p>
      <w:pPr>
        <w:pStyle w:val="Heading1"/>
      </w:pPr>
      <w:r>
        <w:rPr>
          <w:color w:val="1D4ED8"/>
        </w:rPr>
        <w:t>Section A — Guided Descriptive Analysis</w:t>
      </w:r>
    </w:p>
    <w:p>
      <w:r>
        <w:rPr>
          <w:b w:val="0"/>
          <w:i w:val="0"/>
        </w:rPr>
        <w:t>This section follows the analytical questions defined by the team: where unicorns are located, what industries they occupy, how they are valued and funded, and how their industry mix has shifted across technological eras.</w:t>
      </w:r>
    </w:p>
    <w:p>
      <w:pPr>
        <w:pStyle w:val="Heading2"/>
      </w:pPr>
      <w:r>
        <w:t>A1. Geographic Distribution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Continent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Unicorns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t>North America</w:t>
            </w:r>
          </w:p>
        </w:tc>
        <w:tc>
          <w:tcPr>
            <w:tcW w:type="dxa" w:w="2880"/>
          </w:tcPr>
          <w:p>
            <w:r>
              <w:t>589</w:t>
            </w:r>
          </w:p>
        </w:tc>
        <w:tc>
          <w:tcPr>
            <w:tcW w:type="dxa" w:w="2880"/>
          </w:tcPr>
          <w:p>
            <w:r>
              <w:t>54.8%</w:t>
            </w:r>
          </w:p>
        </w:tc>
      </w:tr>
      <w:tr>
        <w:tc>
          <w:tcPr>
            <w:tcW w:type="dxa" w:w="2880"/>
          </w:tcPr>
          <w:p>
            <w:r>
              <w:t>Asia</w:t>
            </w:r>
          </w:p>
        </w:tc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28.9%</w:t>
            </w:r>
          </w:p>
        </w:tc>
      </w:tr>
      <w:tr>
        <w:tc>
          <w:tcPr>
            <w:tcW w:type="dxa" w:w="2880"/>
          </w:tcPr>
          <w:p>
            <w:r>
              <w:t>Europe</w:t>
            </w:r>
          </w:p>
        </w:tc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  <w:tr>
        <w:tc>
          <w:tcPr>
            <w:tcW w:type="dxa" w:w="2880"/>
          </w:tcPr>
          <w:p>
            <w:r>
              <w:t>South America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2.0%</w:t>
            </w:r>
          </w:p>
        </w:tc>
      </w:tr>
      <w:tr>
        <w:tc>
          <w:tcPr>
            <w:tcW w:type="dxa" w:w="2880"/>
          </w:tcPr>
          <w:p>
            <w:r>
              <w:t>Oceania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Africa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>
      <w:r>
        <w:rPr>
          <w:b w:val="0"/>
          <w:i w:val="0"/>
        </w:rPr>
        <w:t>Top countries: United States (562), China (173), India (65), United Kingdom (43), Germany (26). The US, China, and India together account for 74.5% of all unicorns.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15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ic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D4ED8"/>
        </w:rPr>
        <w:t xml:space="preserve">What this means — </w:t>
      </w:r>
      <w:r>
        <w:t>Unicorn creation is highly concentrated, not globally spread. Three countries produce three-quarters of all unicorns, which tells us that breakout outcomes depend less on market size and more on the maturity of the surrounding ecosystem — deep venture capital, technical talent, and viable exit markets. For a prediction task, a company’s location is therefore a meaningful signal, not just a label.</w:t>
      </w:r>
    </w:p>
    <w:p>
      <w:pPr>
        <w:pStyle w:val="Heading2"/>
      </w:pPr>
      <w:r>
        <w:t>A2. Industry Distribution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Industry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Unicorns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t>Fintech</w:t>
            </w:r>
          </w:p>
        </w:tc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20.9%</w:t>
            </w:r>
          </w:p>
        </w:tc>
      </w:tr>
      <w:tr>
        <w:tc>
          <w:tcPr>
            <w:tcW w:type="dxa" w:w="2880"/>
          </w:tcPr>
          <w:p>
            <w:r>
              <w:t>Internet software &amp; services</w:t>
            </w:r>
          </w:p>
        </w:tc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19.1%</w:t>
            </w:r>
          </w:p>
        </w:tc>
      </w:tr>
      <w:tr>
        <w:tc>
          <w:tcPr>
            <w:tcW w:type="dxa" w:w="2880"/>
          </w:tcPr>
          <w:p>
            <w:r>
              <w:t>E-commerce &amp; direct-to-consumer</w:t>
            </w:r>
          </w:p>
        </w:tc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Artificial intelligence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7.8%</w:t>
            </w:r>
          </w:p>
        </w:tc>
      </w:tr>
      <w:tr>
        <w:tc>
          <w:tcPr>
            <w:tcW w:type="dxa" w:w="2880"/>
          </w:tcPr>
          <w:p>
            <w:r>
              <w:t>Health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6.9%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5.4%</w:t>
            </w:r>
          </w:p>
        </w:tc>
      </w:tr>
      <w:tr>
        <w:tc>
          <w:tcPr>
            <w:tcW w:type="dxa" w:w="2880"/>
          </w:tcPr>
          <w:p>
            <w:r>
              <w:t>Supply chain, logistics, &amp; delivery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5.3%</w:t>
            </w:r>
          </w:p>
        </w:tc>
      </w:tr>
      <w:tr>
        <w:tc>
          <w:tcPr>
            <w:tcW w:type="dxa" w:w="2880"/>
          </w:tcPr>
          <w:p>
            <w:r>
              <w:t>Cybersecurity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4.7%</w:t>
            </w:r>
          </w:p>
        </w:tc>
      </w:tr>
    </w:tbl>
    <w:p>
      <w:r>
        <w:rPr>
          <w:b w:val="0"/>
          <w:i w:val="0"/>
        </w:rPr>
        <w:t>Fintech (20.9%) and Internet Software &amp; Services (19.1%) together make up ~40% of all unicorns.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42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dustry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2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D4ED8"/>
        </w:rPr>
        <w:t xml:space="preserve">What this means — </w:t>
      </w:r>
      <w:r>
        <w:t>Value creation clusters in software-driven, digitally scalable business models. The two leading categories — Fintech and Internet Software — are both built on code that scales at near-zero marginal cost, which is exactly what lets a company reach a billion-dollar valuation quickly. Capital-intensive, physical-asset sectors sit far down the list. The takeaway: industry is one of the strongest descriptors of where unicorns come from.</w:t>
      </w:r>
    </w:p>
    <w:p>
      <w:pPr>
        <w:pStyle w:val="Heading2"/>
      </w:pPr>
      <w:r>
        <w:t>A3. Valuation &amp; Funding</w:t>
      </w:r>
    </w:p>
    <w:p>
      <w:pPr>
        <w:pStyle w:val="ListBullet"/>
      </w:pPr>
      <w:r>
        <w:t>Median valuation $2B; 94.3% sit in the $1B–$10B range; ByteDance is the extreme top at $180B.</w:t>
      </w:r>
    </w:p>
    <w:p>
      <w:pPr>
        <w:pStyle w:val="ListBullet"/>
      </w:pPr>
      <w:r>
        <w:t>Median total funding $370M; 65.4% raised under $500M.</w:t>
      </w:r>
    </w:p>
    <w:p>
      <w:pPr>
        <w:pStyle w:val="ListBullet"/>
      </w:pPr>
      <w:r>
        <w:t>Valuation-to-funding ratio is roughly 5:1, reflecting investor growth premiums.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68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aluation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68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685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unding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68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D4ED8"/>
        </w:rPr>
        <w:t xml:space="preserve">What this means — </w:t>
      </w:r>
      <w:r>
        <w:t>Most unicorns are "just barely" unicorns. About 84% sit in the $1B–$5B band, clustered right above the $1B threshold, while true giants are vanishingly rare. The funding side tells a complementary story: companies are valued at roughly 5x the cash they actually raised, which means the market is paying a large premium for expected future growth rather than for money already invested. Valuation is driven by narrative and growth potential, not by capital alone.</w:t>
      </w:r>
    </w:p>
    <w:p>
      <w:pPr>
        <w:pStyle w:val="Heading2"/>
      </w:pPr>
      <w:r>
        <w:t>A4. Time to Unicorn</w:t>
      </w:r>
    </w:p>
    <w:p>
      <w:r>
        <w:rPr>
          <w:b w:val="0"/>
          <w:i w:val="0"/>
        </w:rPr>
        <w:t>Median time from founding to unicorn status is 6 years (mean 7.0). The distribution is wide, with rare extreme outliers.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80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ears_to_unicor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D4ED8"/>
        </w:rPr>
        <w:t xml:space="preserve">What this means — </w:t>
      </w:r>
      <w:r>
        <w:t>Among companies that did become unicorns, the typical one took 6–7 years to reach $1B — so this is a medium-term outcome rather than an overnight one. Important caveat: because the dataset contains unicorns only, this chart cannot be read as "taking longer raises the chance of becoming a unicorn." We have no data on the companies that never reached $1B, so any statement about the probability of becoming a unicorn would be survivorship bias. The chart describes the timing of successes, not the odds of success. The long right tail also flags a data-quality caveat: a handful of decades-old firms appear here and are not typical venture startups, which matters when this variable is used as a feature.</w:t>
      </w:r>
    </w:p>
    <w:p>
      <w:pPr>
        <w:pStyle w:val="Heading2"/>
      </w:pPr>
      <w:r>
        <w:t>A5. Technological Eras (Guided Hypothesis)</w:t>
      </w:r>
    </w:p>
    <w:p>
      <w:r>
        <w:rPr>
          <w:b w:val="0"/>
          <w:i w:val="0"/>
        </w:rPr>
        <w:t>Framing the data around the dominant technology wave of each period: companies are grouped by founding year into four eras. This view tests the hypothesis that each technological shift produced a distinct cohort of breakout companies.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Era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Founded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Unicorns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Dominant Wave</w:t>
            </w:r>
          </w:p>
        </w:tc>
      </w:tr>
      <w:tr>
        <w:tc>
          <w:tcPr>
            <w:tcW w:type="dxa" w:w="2160"/>
          </w:tcPr>
          <w:p>
            <w:r>
              <w:t>Dot-Com &amp; Early Web</w:t>
            </w:r>
          </w:p>
        </w:tc>
        <w:tc>
          <w:tcPr>
            <w:tcW w:type="dxa" w:w="2160"/>
          </w:tcPr>
          <w:p>
            <w:r>
              <w:t>≤2000</w:t>
            </w:r>
          </w:p>
        </w:tc>
        <w:tc>
          <w:tcPr>
            <w:tcW w:type="dxa" w:w="2160"/>
          </w:tcPr>
          <w:p>
            <w:r>
              <w:t>37 (3.4%)</w:t>
            </w:r>
          </w:p>
        </w:tc>
        <w:tc>
          <w:tcPr>
            <w:tcW w:type="dxa" w:w="2160"/>
          </w:tcPr>
          <w:p>
            <w:r>
              <w:t>First commercial internet</w:t>
            </w:r>
          </w:p>
        </w:tc>
      </w:tr>
      <w:tr>
        <w:tc>
          <w:tcPr>
            <w:tcW w:type="dxa" w:w="2160"/>
          </w:tcPr>
          <w:p>
            <w:r>
              <w:t>Web 2.0 &amp; Social</w:t>
            </w:r>
          </w:p>
        </w:tc>
        <w:tc>
          <w:tcPr>
            <w:tcW w:type="dxa" w:w="2160"/>
          </w:tcPr>
          <w:p>
            <w:r>
              <w:t>2001–2008</w:t>
            </w:r>
          </w:p>
        </w:tc>
        <w:tc>
          <w:tcPr>
            <w:tcW w:type="dxa" w:w="2160"/>
          </w:tcPr>
          <w:p>
            <w:r>
              <w:t>109 (10.1%)</w:t>
            </w:r>
          </w:p>
        </w:tc>
        <w:tc>
          <w:tcPr>
            <w:tcW w:type="dxa" w:w="2160"/>
          </w:tcPr>
          <w:p>
            <w:r>
              <w:t>Broadband + social media</w:t>
            </w:r>
          </w:p>
        </w:tc>
      </w:tr>
      <w:tr>
        <w:tc>
          <w:tcPr>
            <w:tcW w:type="dxa" w:w="2160"/>
          </w:tcPr>
          <w:p>
            <w:r>
              <w:t>Mobile &amp; Cloud</w:t>
            </w:r>
          </w:p>
        </w:tc>
        <w:tc>
          <w:tcPr>
            <w:tcW w:type="dxa" w:w="2160"/>
          </w:tcPr>
          <w:p>
            <w:r>
              <w:t>2009–2014</w:t>
            </w:r>
          </w:p>
        </w:tc>
        <w:tc>
          <w:tcPr>
            <w:tcW w:type="dxa" w:w="2160"/>
          </w:tcPr>
          <w:p>
            <w:r>
              <w:t>447 (41.6%)</w:t>
            </w:r>
          </w:p>
        </w:tc>
        <w:tc>
          <w:tcPr>
            <w:tcW w:type="dxa" w:w="2160"/>
          </w:tcPr>
          <w:p>
            <w:r>
              <w:t>Smartphones, cloud, sharing economy</w:t>
            </w:r>
          </w:p>
        </w:tc>
      </w:tr>
      <w:tr>
        <w:tc>
          <w:tcPr>
            <w:tcW w:type="dxa" w:w="2160"/>
          </w:tcPr>
          <w:p>
            <w:r>
              <w:t>AI &amp; Modern Stack</w:t>
            </w:r>
          </w:p>
        </w:tc>
        <w:tc>
          <w:tcPr>
            <w:tcW w:type="dxa" w:w="2160"/>
          </w:tcPr>
          <w:p>
            <w:r>
              <w:t>2015–2021</w:t>
            </w:r>
          </w:p>
        </w:tc>
        <w:tc>
          <w:tcPr>
            <w:tcW w:type="dxa" w:w="2160"/>
          </w:tcPr>
          <w:p>
            <w:r>
              <w:t>481 (44.8%)</w:t>
            </w:r>
          </w:p>
        </w:tc>
        <w:tc>
          <w:tcPr>
            <w:tcW w:type="dxa" w:w="2160"/>
          </w:tcPr>
          <w:p>
            <w:r>
              <w:t>AI/ML mainstream, modern fintech</w:t>
            </w:r>
          </w:p>
        </w:tc>
      </w:tr>
    </w:tbl>
    <w:p>
      <w:pPr>
        <w:pStyle w:val="ListBullet"/>
      </w:pPr>
      <w:r>
        <w:t>Internet Software &amp; Services peaked in the Web 2.0 era (25.7%) and has declined since to 14.6% as the web commoditized.</w:t>
      </w:r>
    </w:p>
    <w:p>
      <w:pPr>
        <w:pStyle w:val="ListBullet"/>
      </w:pPr>
      <w:r>
        <w:t>Fintech rose continuously across every era — 11.9% → 17.4% → 26.2% — becoming the single largest category in the modern stack.</w:t>
      </w:r>
    </w:p>
    <w:p>
      <w:pPr>
        <w:pStyle w:val="ListBullet"/>
      </w:pPr>
      <w:r>
        <w:t>Artificial Intelligence was 0% before 2009, then appeared with the Mobile &amp; Cloud era (8.3%) and held ~9% afterward.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297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chnological_er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9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D4ED8"/>
        </w:rPr>
        <w:t xml:space="preserve">What this means — </w:t>
      </w:r>
      <w:r>
        <w:t>Each technology wave left a visible fingerprint on which industries produced unicorns: the Web 2.0 era was an internet-software story, while the modern stack is a Fintech-and-AI story. The data tells a clear directional narrative — old categories fade and new ones rise as the underlying technology shifts.</w:t>
      </w:r>
    </w:p>
    <w:p>
      <w:r>
        <w:rPr>
          <w:b w:val="0"/>
          <w:i/>
        </w:rPr>
        <w:t>Statistical footnote: a chi-square test confirms the Era–Industry association is statistically significant (p = 0.0003) but weak in magnitude (Cramér’s V = 0.16). In plain terms, the industry mix genuinely shifts across eras, yet era alone explains only a small part of it — geography is a stronger structural driver (Country–Industry V = 0.25; Continent–Industry V = 0.22). Eras are defined by founding year, and because the data ends in April 2022 the most recent AI surge (e.g. post-ChatGPT) is not captured.</w:t>
      </w:r>
    </w:p>
    <w:p>
      <w:r>
        <w:br w:type="page"/>
      </w:r>
    </w:p>
    <w:p>
      <w:pPr>
        <w:pStyle w:val="Heading1"/>
      </w:pPr>
      <w:r>
        <w:rPr>
          <w:color w:val="1D4ED8"/>
        </w:rPr>
        <w:t>Section B — Independent Data-Driven Insights</w:t>
      </w:r>
    </w:p>
    <w:p>
      <w:r>
        <w:rPr>
          <w:b w:val="0"/>
          <w:i w:val="0"/>
        </w:rPr>
        <w:t>This section was generated without predefined hypotheses, scanning the data (including the previously unused Select Investors field) for non-obvious patterns.</w:t>
      </w:r>
    </w:p>
    <w:p>
      <w:pPr>
        <w:pStyle w:val="Heading2"/>
      </w:pPr>
      <w:r>
        <w:t>B1. Capital Efficiency Varies Sharply by Industry</w:t>
      </w:r>
    </w:p>
    <w:p>
      <w:r>
        <w:rPr>
          <w:b w:val="0"/>
          <w:i w:val="0"/>
        </w:rPr>
        <w:t>Overall median valuation-to-funding multiple is 5.2x. Software-type sectors convert capital into valuation far more efficiently than asset-heavy sectors.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Most Efficient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Least Efficient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t>Internet Software</w:t>
            </w:r>
          </w:p>
        </w:tc>
        <w:tc>
          <w:tcPr>
            <w:tcW w:type="dxa" w:w="2160"/>
          </w:tcPr>
          <w:p>
            <w:r>
              <w:t>6.4x</w:t>
            </w:r>
          </w:p>
        </w:tc>
        <w:tc>
          <w:tcPr>
            <w:tcW w:type="dxa" w:w="2160"/>
          </w:tcPr>
          <w:p>
            <w:r>
              <w:t>Auto &amp; Transportation</w:t>
            </w:r>
          </w:p>
        </w:tc>
        <w:tc>
          <w:tcPr>
            <w:tcW w:type="dxa" w:w="2160"/>
          </w:tcPr>
          <w:p>
            <w:r>
              <w:t>2.7x</w:t>
            </w:r>
          </w:p>
        </w:tc>
      </w:tr>
      <w:tr>
        <w:tc>
          <w:tcPr>
            <w:tcW w:type="dxa" w:w="2160"/>
          </w:tcPr>
          <w:p>
            <w:r>
              <w:t>Fintech</w:t>
            </w:r>
          </w:p>
        </w:tc>
        <w:tc>
          <w:tcPr>
            <w:tcW w:type="dxa" w:w="2160"/>
          </w:tcPr>
          <w:p>
            <w:r>
              <w:t>6.2x</w:t>
            </w:r>
          </w:p>
        </w:tc>
        <w:tc>
          <w:tcPr>
            <w:tcW w:type="dxa" w:w="2160"/>
          </w:tcPr>
          <w:p>
            <w:r>
              <w:t>Travel</w:t>
            </w:r>
          </w:p>
        </w:tc>
        <w:tc>
          <w:tcPr>
            <w:tcW w:type="dxa" w:w="2160"/>
          </w:tcPr>
          <w:p>
            <w:r>
              <w:t>2.8x</w:t>
            </w:r>
          </w:p>
        </w:tc>
      </w:tr>
      <w:tr>
        <w:tc>
          <w:tcPr>
            <w:tcW w:type="dxa" w:w="2160"/>
          </w:tcPr>
          <w:p>
            <w:r>
              <w:t>Data Mgmt &amp; Analytics</w:t>
            </w:r>
          </w:p>
        </w:tc>
        <w:tc>
          <w:tcPr>
            <w:tcW w:type="dxa" w:w="2160"/>
          </w:tcPr>
          <w:p>
            <w:r>
              <w:t>6.2x</w:t>
            </w:r>
          </w:p>
        </w:tc>
        <w:tc>
          <w:tcPr>
            <w:tcW w:type="dxa" w:w="2160"/>
          </w:tcPr>
          <w:p>
            <w:r>
              <w:t>Supply Chain &amp; Logistics</w:t>
            </w:r>
          </w:p>
        </w:tc>
        <w:tc>
          <w:tcPr>
            <w:tcW w:type="dxa" w:w="2160"/>
          </w:tcPr>
          <w:p>
            <w:r>
              <w:t>3.5x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560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apital_effici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D4ED8"/>
        </w:rPr>
        <w:t xml:space="preserve">What this means — </w:t>
      </w:r>
      <w:r>
        <w:t>Not all unicorns are built the same way. Software sectors turn each dollar raised into more than twice the valuation of asset-heavy sectors like transportation and travel, which must keep burning cash on physical operations. This makes capital efficiency a meaningful way to separate "asset-light" from "asset-heavy" unicorns — a distinction the raw industry label alone does not capture, and a strong candidate engineered feature for clustering.</w:t>
      </w:r>
    </w:p>
    <w:p>
      <w:pPr>
        <w:pStyle w:val="Heading2"/>
      </w:pPr>
      <w:r>
        <w:t>B2. A Small Set of Investors Backs a Large Share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Investor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Unicorns Backed</w:t>
            </w:r>
          </w:p>
        </w:tc>
      </w:tr>
      <w:tr>
        <w:tc>
          <w:tcPr>
            <w:tcW w:type="dxa" w:w="4320"/>
          </w:tcPr>
          <w:p>
            <w:r>
              <w:t>Accel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Tiger Global Management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Andreessen Horowitz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Sequoia Capital China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Sequoia Capital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Insight Partners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SoftBank Group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General Catalyst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</w:tbl>
    <w:p>
      <w:r>
        <w:rPr>
          <w:b w:val="0"/>
          <w:i w:val="0"/>
        </w:rPr>
        <w:t>Accel, Tiger Global, Andreessen Horowitz, and the Sequoia family each appear in ~50–60 unicorns — a concentrated backer network behind the population.</w:t>
      </w:r>
    </w:p>
    <w:p>
      <w:r>
        <w:rPr>
          <w:b/>
          <w:color w:val="1D4ED8"/>
        </w:rPr>
        <w:t xml:space="preserve">What this means — </w:t>
      </w:r>
      <w:r>
        <w:t>The same handful of elite investors recur behind a large slice of all unicorns. This suggests that who funds a company carries real signal: backing from a top-tier fund is both a vote of confidence and an accelerant (capital, network, credibility). The previously unused Select Investors field could be turned into a powerful feature — e.g. a flag for "backed by a prolific unicorn-maker."</w:t>
      </w:r>
    </w:p>
    <w:p>
      <w:pPr>
        <w:pStyle w:val="Heading2"/>
      </w:pPr>
      <w:r>
        <w:t>B3. Unicorns Are a City Phenomenon, Not Just a Country One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Unicorns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t>San Francisco</w:t>
            </w:r>
          </w:p>
        </w:tc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14.2%</w:t>
            </w:r>
          </w:p>
        </w:tc>
      </w:tr>
      <w:tr>
        <w:tc>
          <w:tcPr>
            <w:tcW w:type="dxa" w:w="2880"/>
          </w:tcPr>
          <w:p>
            <w:r>
              <w:t>New York</w:t>
            </w:r>
          </w:p>
        </w:tc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9.6%</w:t>
            </w:r>
          </w:p>
        </w:tc>
      </w:tr>
      <w:tr>
        <w:tc>
          <w:tcPr>
            <w:tcW w:type="dxa" w:w="2880"/>
          </w:tcPr>
          <w:p>
            <w:r>
              <w:t>Beijing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5.9%</w:t>
            </w:r>
          </w:p>
        </w:tc>
      </w:tr>
      <w:tr>
        <w:tc>
          <w:tcPr>
            <w:tcW w:type="dxa" w:w="2880"/>
          </w:tcPr>
          <w:p>
            <w:r>
              <w:t>Shanghai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  <w:tr>
        <w:tc>
          <w:tcPr>
            <w:tcW w:type="dxa" w:w="2880"/>
          </w:tcPr>
          <w:p>
            <w:r>
              <w:t>London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3.2%</w:t>
            </w:r>
          </w:p>
        </w:tc>
      </w:tr>
      <w:tr>
        <w:tc>
          <w:tcPr>
            <w:tcW w:type="dxa" w:w="2880"/>
          </w:tcPr>
          <w:p>
            <w:r>
              <w:t>Bengaluru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2.7%</w:t>
            </w:r>
          </w:p>
        </w:tc>
      </w:tr>
    </w:tbl>
    <w:p>
      <w:r>
        <w:rPr>
          <w:b w:val="0"/>
          <w:i w:val="0"/>
        </w:rPr>
        <w:t>The top 3 cities (San Francisco, New York, Beijing) alone account for 29.6% of all unicorns; San Francisco (14.2%) exceeds half of all of Europe.</w:t>
      </w:r>
    </w:p>
    <w:p>
      <w:r>
        <w:rPr>
          <w:b/>
          <w:color w:val="1D4ED8"/>
        </w:rPr>
        <w:t xml:space="preserve">What this means — </w:t>
      </w:r>
      <w:r>
        <w:t>Unicorns concentrate at the city level even more tightly than at the country level — they cluster in a few dense hubs where capital, talent, and founders physically collide. This means geography matters at a finer grain than "continent" or even "country"; the specific city carries information that the broader region washes out.</w:t>
      </w:r>
    </w:p>
    <w:p>
      <w:pPr>
        <w:pStyle w:val="Heading2"/>
      </w:pPr>
      <w:r>
        <w:t>B4. Strong National Industry Specialization</w:t>
      </w:r>
    </w:p>
    <w:p>
      <w:r>
        <w:rPr>
          <w:b w:val="0"/>
          <w:i w:val="0"/>
        </w:rPr>
        <w:t>Countries are not industry-neutral — several concentrate heavily in one sector, meaning Country and Industry are correlated rather than independent.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Country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#1 Industry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Share of Country’s Unicorns</w:t>
            </w:r>
          </w:p>
        </w:tc>
      </w:tr>
      <w:tr>
        <w:tc>
          <w:tcPr>
            <w:tcW w:type="dxa" w:w="2880"/>
          </w:tcPr>
          <w:p>
            <w:r>
              <w:t>United Kingdom</w:t>
            </w:r>
          </w:p>
        </w:tc>
        <w:tc>
          <w:tcPr>
            <w:tcW w:type="dxa" w:w="2880"/>
          </w:tcPr>
          <w:p>
            <w:r>
              <w:t>Fintech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Israel</w:t>
            </w:r>
          </w:p>
        </w:tc>
        <w:tc>
          <w:tcPr>
            <w:tcW w:type="dxa" w:w="2880"/>
          </w:tcPr>
          <w:p>
            <w:r>
              <w:t>Cybersecurity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India</w:t>
            </w:r>
          </w:p>
        </w:tc>
        <w:tc>
          <w:tcPr>
            <w:tcW w:type="dxa" w:w="2880"/>
          </w:tcPr>
          <w:p>
            <w:r>
              <w:t>E-commerce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United States</w:t>
            </w:r>
          </w:p>
        </w:tc>
        <w:tc>
          <w:tcPr>
            <w:tcW w:type="dxa" w:w="2880"/>
          </w:tcPr>
          <w:p>
            <w:r>
              <w:t>Internet Software</w:t>
            </w:r>
          </w:p>
        </w:tc>
        <w:tc>
          <w:tcPr>
            <w:tcW w:type="dxa" w:w="2880"/>
          </w:tcPr>
          <w:p>
            <w:r>
              <w:t>27%</w:t>
            </w:r>
          </w:p>
        </w:tc>
      </w:tr>
      <w:tr>
        <w:tc>
          <w:tcPr>
            <w:tcW w:type="dxa" w:w="2880"/>
          </w:tcPr>
          <w:p>
            <w:r>
              <w:t>China</w:t>
            </w:r>
          </w:p>
        </w:tc>
        <w:tc>
          <w:tcPr>
            <w:tcW w:type="dxa" w:w="2880"/>
          </w:tcPr>
          <w:p>
            <w:r>
              <w:t>E-commerce</w:t>
            </w:r>
          </w:p>
        </w:tc>
        <w:tc>
          <w:tcPr>
            <w:tcW w:type="dxa" w:w="2880"/>
          </w:tcPr>
          <w:p>
            <w:r>
              <w:t>17%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692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untry_specializ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D4ED8"/>
        </w:rPr>
        <w:t xml:space="preserve">What this means — </w:t>
      </w:r>
      <w:r>
        <w:t>Countries are not neutral mixes of every industry — each ecosystem specializes, reflecting local strengths (UK finance, Israeli defense-born cybersecurity, India’s consumer-internet scale). The practical consequence is that Country and Industry carry overlapping information rather than independent information, so a model should not treat them as unrelated features or it will double-count the same underlying signal.</w:t>
      </w:r>
    </w:p>
    <w:p>
      <w:pPr>
        <w:pStyle w:val="Heading2"/>
      </w:pPr>
      <w:r>
        <w:t>B5. Two Extremes: Instant Unicorns and Late Bloomers</w:t>
      </w:r>
    </w:p>
    <w:p>
      <w:pPr>
        <w:pStyle w:val="ListBullet"/>
      </w:pPr>
      <w:r>
        <w:t>113 companies (10.5%) reached $1B within 2 years of founding — 57 of them in 2021 alone, evidence of the capital bubble.</w:t>
      </w:r>
    </w:p>
    <w:p>
      <w:pPr>
        <w:pStyle w:val="ListBullet"/>
      </w:pPr>
      <w:r>
        <w:t>21 companies took more than 20 years; the extreme case, Otto Bock HealthCare, was founded in 1919 (98 years).</w:t>
      </w:r>
    </w:p>
    <w:p>
      <w:r>
        <w:rPr>
          <w:b w:val="0"/>
          <w:i/>
        </w:rPr>
        <w:t>Implication: not all rows are true startups. Aged outliers contaminate the "startup" assumption and should be handled before modeling.</w:t>
      </w:r>
    </w:p>
    <w:p>
      <w:r>
        <w:rPr>
          <w:b/>
          <w:color w:val="1D4ED8"/>
        </w:rPr>
        <w:t xml:space="preserve">What this means — </w:t>
      </w:r>
      <w:r>
        <w:t>The population hides two very different stories at its extremes. The "instant unicorns" cluster tightly in 2021, which exposes how much the boom was a function of cheap capital and timing rather than company fundamentals alone. The "late bloomers" reveal a data-cleanliness problem: a 1919-founded firm is not a venture startup, so the dataset mixes genuine startups with re-labeled legacy companies — these outliers must be capped or filtered before any distance-based modeling.</w:t>
      </w:r>
    </w:p>
    <w:p>
      <w:pPr>
        <w:pStyle w:val="Heading2"/>
      </w:pPr>
      <w:r>
        <w:t>B6. Funding and Valuation Are Only Weakly Linked</w:t>
      </w:r>
    </w:p>
    <w:p>
      <w:r>
        <w:rPr>
          <w:b w:val="0"/>
          <w:i w:val="0"/>
        </w:rPr>
        <w:t>The log-log correlation between funding and valuation is only 0.60, meaning money raised explains roughly 36% of valuation variance. Counter to intuition, "more money raised" does not strongly imply "higher valuation" — sector, geography, and timing dominate.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758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unding_vs_valu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75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D4ED8"/>
        </w:rPr>
        <w:t xml:space="preserve">What this means — </w:t>
      </w:r>
      <w:r>
        <w:t>This is the most important caution for modeling. The intuitive assumption — "companies that raise more are worth more" — is only weakly true here: funding accounts for about a third of the variation in valuation, and the scatter is visibly wide. A model that leans on funding as its main predictor would miss most of the story; the remaining ~64% lives in industry, geography, timing, and investor quality. Rich, multi-dimensional features are required.</w:t>
      </w:r>
    </w:p>
    <w:p>
      <w:r>
        <w:br w:type="page"/>
      </w:r>
    </w:p>
    <w:p>
      <w:pPr>
        <w:pStyle w:val="Heading1"/>
      </w:pPr>
      <w:r>
        <w:rPr>
          <w:color w:val="1D4ED8"/>
        </w:rPr>
        <w:t>Section C — Implications for Modeling</w:t>
      </w:r>
    </w:p>
    <w:p>
      <w:pPr>
        <w:pStyle w:val="ListBullet"/>
      </w:pPr>
      <w:r>
        <w:t>Coverage ends April 2022 — no data on 2023+ unicorns; recent-trend questions need a newer source.</w:t>
      </w:r>
    </w:p>
    <w:p>
      <w:pPr>
        <w:pStyle w:val="ListBullet"/>
      </w:pPr>
      <w:r>
        <w:t>This dataset contains unicorns only, so it cannot by itself train a model that predicts whether a company becomes a unicorn; a labeled set with non-unicorns is required (see Data/dataset_clean.csv).</w:t>
      </w:r>
    </w:p>
    <w:p>
      <w:pPr>
        <w:pStyle w:val="ListBullet"/>
      </w:pPr>
      <w:r>
        <w:t>Right-skewed Valuation/Funding and outliers in Years-to-Unicorn should be transformed or capped before distance-based methods such as K-means.</w:t>
      </w:r>
    </w:p>
    <w:p>
      <w:pPr>
        <w:pStyle w:val="ListBullet"/>
      </w:pPr>
      <w:r>
        <w:t>Country and Industry are correlated (national specialization) — avoid treating them as independent.</w:t>
      </w:r>
    </w:p>
    <w:p>
      <w:pPr>
        <w:pStyle w:val="ListBullet"/>
      </w:pPr>
      <w:r>
        <w:t>Capital efficiency (Valuation/Funding) is a useful engineered feature that separates asset-light from asset-heavy unicorns.</w:t>
      </w:r>
    </w:p>
    <w:p>
      <w:pPr>
        <w:pStyle w:val="ListBullet"/>
      </w:pPr>
      <w:r>
        <w:t>Funding alone is a weak predictor of valuation (r ≈ 0.60); richer features are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