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2BF1BB" w14:textId="77777777" w:rsidR="00971755" w:rsidRDefault="00000000">
      <w:pPr>
        <w:pStyle w:val="Title"/>
        <w:jc w:val="center"/>
      </w:pPr>
      <w:r>
        <w:t>dataset_clean.csv — Differences from the Original &amp; Non-Unicorn Profile</w:t>
      </w:r>
    </w:p>
    <w:p w14:paraId="4BE569C6" w14:textId="77777777" w:rsidR="00971755" w:rsidRDefault="00000000">
      <w:pPr>
        <w:jc w:val="center"/>
      </w:pPr>
      <w:r>
        <w:rPr>
          <w:i/>
          <w:sz w:val="20"/>
        </w:rPr>
        <w:t>Cornell Capstone Project  •  dataset_clean.csv (n = 2,046: 1063 unicorns + 983 non-unicorns)</w:t>
      </w:r>
    </w:p>
    <w:p w14:paraId="3B17BEC6" w14:textId="77777777" w:rsidR="00971755" w:rsidRDefault="00000000">
      <w:r>
        <w:rPr>
          <w:i/>
        </w:rPr>
        <w:t>A teammate prepared dataset_clean.csv to support a supervised prediction task. This document first explains how it differs from the original Unicorn_Companies.csv and the reasoning behind those changes (Section 1), then profiles the non-unicorn companies it adds (Section 2). Each chart and table is followed by a short "What this means" note.</w:t>
      </w:r>
    </w:p>
    <w:p w14:paraId="18FE96B6" w14:textId="77777777" w:rsidR="00971755" w:rsidRDefault="00000000">
      <w:pPr>
        <w:pStyle w:val="Heading1"/>
      </w:pPr>
      <w:r>
        <w:rPr>
          <w:color w:val="1D4ED8"/>
        </w:rPr>
        <w:t>Section 1 — How dataset_clean Differs from the Original (and Why)</w:t>
      </w:r>
    </w:p>
    <w:p w14:paraId="79E8835A" w14:textId="509CA58D" w:rsidR="00971755" w:rsidRDefault="00000000">
      <w:r>
        <w:t xml:space="preserve">dataset_clean.csv is a reshaping of the original data for a prediction task. </w:t>
      </w:r>
      <w:r w:rsidR="007C7D6C">
        <w:t>9 unicorns are dropping because they are not considered as startup. Most of</w:t>
      </w:r>
      <w:r>
        <w:t xml:space="preserve"> the changes are about structure and scope, not about altering unicorn facts.</w:t>
      </w:r>
    </w:p>
    <w:p w14:paraId="68041F96" w14:textId="77777777" w:rsidR="00971755" w:rsidRDefault="00000000">
      <w:pPr>
        <w:pStyle w:val="Heading2"/>
      </w:pPr>
      <w:r>
        <w:t>1.1 Structure at a Glance</w:t>
      </w:r>
    </w:p>
    <w:tbl>
      <w:tblPr>
        <w:tblStyle w:val="LightGrid-Accent1"/>
        <w:tblW w:w="0" w:type="auto"/>
        <w:jc w:val="center"/>
        <w:tblLook w:val="04A0" w:firstRow="1" w:lastRow="0" w:firstColumn="1" w:lastColumn="0" w:noHBand="0" w:noVBand="1"/>
      </w:tblPr>
      <w:tblGrid>
        <w:gridCol w:w="2880"/>
        <w:gridCol w:w="2880"/>
        <w:gridCol w:w="2880"/>
      </w:tblGrid>
      <w:tr w:rsidR="00971755" w14:paraId="3CB9B0BD" w14:textId="77777777" w:rsidTr="009717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3C9C21" w14:textId="77777777" w:rsidR="00971755" w:rsidRDefault="00971755"/>
        </w:tc>
        <w:tc>
          <w:tcPr>
            <w:tcW w:w="2880" w:type="dxa"/>
          </w:tcPr>
          <w:p w14:paraId="0D3E6147" w14:textId="77777777" w:rsidR="00971755" w:rsidRDefault="00000000">
            <w:pPr>
              <w:cnfStyle w:val="100000000000" w:firstRow="1" w:lastRow="0" w:firstColumn="0" w:lastColumn="0" w:oddVBand="0" w:evenVBand="0" w:oddHBand="0" w:evenHBand="0" w:firstRowFirstColumn="0" w:firstRowLastColumn="0" w:lastRowFirstColumn="0" w:lastRowLastColumn="0"/>
            </w:pPr>
            <w:r>
              <w:t>Original (Unicorn_Companies)</w:t>
            </w:r>
          </w:p>
        </w:tc>
        <w:tc>
          <w:tcPr>
            <w:tcW w:w="2880" w:type="dxa"/>
          </w:tcPr>
          <w:p w14:paraId="2D26989E" w14:textId="77777777" w:rsidR="00971755" w:rsidRDefault="00000000">
            <w:pPr>
              <w:cnfStyle w:val="100000000000" w:firstRow="1" w:lastRow="0" w:firstColumn="0" w:lastColumn="0" w:oddVBand="0" w:evenVBand="0" w:oddHBand="0" w:evenHBand="0" w:firstRowFirstColumn="0" w:firstRowLastColumn="0" w:lastRowFirstColumn="0" w:lastRowLastColumn="0"/>
            </w:pPr>
            <w:r>
              <w:t>dataset_clean</w:t>
            </w:r>
          </w:p>
        </w:tc>
      </w:tr>
      <w:tr w:rsidR="00971755" w14:paraId="629B658B"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BE21DB" w14:textId="77777777" w:rsidR="00971755" w:rsidRDefault="00000000">
            <w:r>
              <w:t>Rows</w:t>
            </w:r>
          </w:p>
        </w:tc>
        <w:tc>
          <w:tcPr>
            <w:tcW w:w="2880" w:type="dxa"/>
          </w:tcPr>
          <w:p w14:paraId="2B25B2F7" w14:textId="77777777" w:rsidR="00971755" w:rsidRDefault="00000000">
            <w:pPr>
              <w:cnfStyle w:val="000000100000" w:firstRow="0" w:lastRow="0" w:firstColumn="0" w:lastColumn="0" w:oddVBand="0" w:evenVBand="0" w:oddHBand="1" w:evenHBand="0" w:firstRowFirstColumn="0" w:firstRowLastColumn="0" w:lastRowFirstColumn="0" w:lastRowLastColumn="0"/>
            </w:pPr>
            <w:r>
              <w:t>1,074 (all unicorns)</w:t>
            </w:r>
          </w:p>
        </w:tc>
        <w:tc>
          <w:tcPr>
            <w:tcW w:w="2880" w:type="dxa"/>
          </w:tcPr>
          <w:p w14:paraId="604F707D" w14:textId="77777777" w:rsidR="00971755" w:rsidRDefault="00000000">
            <w:pPr>
              <w:cnfStyle w:val="000000100000" w:firstRow="0" w:lastRow="0" w:firstColumn="0" w:lastColumn="0" w:oddVBand="0" w:evenVBand="0" w:oddHBand="1" w:evenHBand="0" w:firstRowFirstColumn="0" w:firstRowLastColumn="0" w:lastRowFirstColumn="0" w:lastRowLastColumn="0"/>
            </w:pPr>
            <w:r>
              <w:t>2,046 (1,063 unicorns + 983 non-unicorns)</w:t>
            </w:r>
          </w:p>
        </w:tc>
      </w:tr>
      <w:tr w:rsidR="00971755" w14:paraId="0ABF3010"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93622E" w14:textId="77777777" w:rsidR="00971755" w:rsidRDefault="00000000">
            <w:r>
              <w:t>Columns</w:t>
            </w:r>
          </w:p>
        </w:tc>
        <w:tc>
          <w:tcPr>
            <w:tcW w:w="2880" w:type="dxa"/>
          </w:tcPr>
          <w:p w14:paraId="772A72FF" w14:textId="77777777" w:rsidR="00971755" w:rsidRDefault="00000000">
            <w:pPr>
              <w:cnfStyle w:val="000000010000" w:firstRow="0" w:lastRow="0" w:firstColumn="0" w:lastColumn="0" w:oddVBand="0" w:evenVBand="0" w:oddHBand="0" w:evenHBand="1" w:firstRowFirstColumn="0" w:firstRowLastColumn="0" w:lastRowFirstColumn="0" w:lastRowLastColumn="0"/>
            </w:pPr>
            <w:r>
              <w:t>10</w:t>
            </w:r>
          </w:p>
        </w:tc>
        <w:tc>
          <w:tcPr>
            <w:tcW w:w="2880" w:type="dxa"/>
          </w:tcPr>
          <w:p w14:paraId="328A9D3E" w14:textId="77777777" w:rsidR="00971755" w:rsidRDefault="00000000">
            <w:pPr>
              <w:cnfStyle w:val="000000010000" w:firstRow="0" w:lastRow="0" w:firstColumn="0" w:lastColumn="0" w:oddVBand="0" w:evenVBand="0" w:oddHBand="0" w:evenHBand="1" w:firstRowFirstColumn="0" w:firstRowLastColumn="0" w:lastRowFirstColumn="0" w:lastRowLastColumn="0"/>
            </w:pPr>
            <w:r>
              <w:t>9</w:t>
            </w:r>
          </w:p>
        </w:tc>
      </w:tr>
      <w:tr w:rsidR="00971755" w14:paraId="52670BE8"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A395CD" w14:textId="77777777" w:rsidR="00971755" w:rsidRDefault="00000000">
            <w:r>
              <w:t>Label</w:t>
            </w:r>
          </w:p>
        </w:tc>
        <w:tc>
          <w:tcPr>
            <w:tcW w:w="2880" w:type="dxa"/>
          </w:tcPr>
          <w:p w14:paraId="15B6B7F6" w14:textId="77777777" w:rsidR="00971755" w:rsidRDefault="00000000">
            <w:pPr>
              <w:cnfStyle w:val="000000100000" w:firstRow="0" w:lastRow="0" w:firstColumn="0" w:lastColumn="0" w:oddVBand="0" w:evenVBand="0" w:oddHBand="1" w:evenHBand="0" w:firstRowFirstColumn="0" w:firstRowLastColumn="0" w:lastRowFirstColumn="0" w:lastRowLastColumn="0"/>
            </w:pPr>
            <w:r>
              <w:t>none</w:t>
            </w:r>
          </w:p>
        </w:tc>
        <w:tc>
          <w:tcPr>
            <w:tcW w:w="2880" w:type="dxa"/>
          </w:tcPr>
          <w:p w14:paraId="1DBC0DB8" w14:textId="77777777" w:rsidR="00971755" w:rsidRDefault="00000000">
            <w:pPr>
              <w:cnfStyle w:val="000000100000" w:firstRow="0" w:lastRow="0" w:firstColumn="0" w:lastColumn="0" w:oddVBand="0" w:evenVBand="0" w:oddHBand="1" w:evenHBand="0" w:firstRowFirstColumn="0" w:firstRowLastColumn="0" w:lastRowFirstColumn="0" w:lastRowLastColumn="0"/>
            </w:pPr>
            <w:r>
              <w:t>is_unicorn (1/0)</w:t>
            </w:r>
          </w:p>
        </w:tc>
      </w:tr>
    </w:tbl>
    <w:p w14:paraId="5640A8BC" w14:textId="77777777" w:rsidR="00971755" w:rsidRDefault="00000000">
      <w:pPr>
        <w:pStyle w:val="Heading2"/>
      </w:pPr>
      <w:r>
        <w:t>1.2 Columns Removed — and the Reasoning</w:t>
      </w:r>
    </w:p>
    <w:p w14:paraId="09960BE4" w14:textId="77777777" w:rsidR="00971755" w:rsidRDefault="00000000">
      <w:r>
        <w:t>Three columns from the original were intentionally dropped. For a model that predicts whether a company is a unicorn, each of these would leak the answer or be unavailable for non-unicorns, so removing them is sound preparation:</w:t>
      </w:r>
    </w:p>
    <w:tbl>
      <w:tblPr>
        <w:tblStyle w:val="LightGrid-Accent1"/>
        <w:tblW w:w="0" w:type="auto"/>
        <w:jc w:val="center"/>
        <w:tblLook w:val="04A0" w:firstRow="1" w:lastRow="0" w:firstColumn="1" w:lastColumn="0" w:noHBand="0" w:noVBand="1"/>
      </w:tblPr>
      <w:tblGrid>
        <w:gridCol w:w="4320"/>
        <w:gridCol w:w="4320"/>
      </w:tblGrid>
      <w:tr w:rsidR="00971755" w14:paraId="290E7434" w14:textId="77777777" w:rsidTr="009717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52EA44" w14:textId="77777777" w:rsidR="00971755" w:rsidRDefault="00000000">
            <w:r>
              <w:t>Removed Column</w:t>
            </w:r>
          </w:p>
        </w:tc>
        <w:tc>
          <w:tcPr>
            <w:tcW w:w="4320" w:type="dxa"/>
          </w:tcPr>
          <w:p w14:paraId="73F214A2" w14:textId="77777777" w:rsidR="00971755" w:rsidRDefault="00000000">
            <w:pPr>
              <w:cnfStyle w:val="100000000000" w:firstRow="1" w:lastRow="0" w:firstColumn="0" w:lastColumn="0" w:oddVBand="0" w:evenVBand="0" w:oddHBand="0" w:evenHBand="0" w:firstRowFirstColumn="0" w:firstRowLastColumn="0" w:lastRowFirstColumn="0" w:lastRowLastColumn="0"/>
            </w:pPr>
            <w:r>
              <w:t>Why It Was Removed</w:t>
            </w:r>
          </w:p>
        </w:tc>
      </w:tr>
      <w:tr w:rsidR="00971755" w14:paraId="56B75507"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8CB134" w14:textId="77777777" w:rsidR="00971755" w:rsidRDefault="00000000">
            <w:r>
              <w:t>Valuation</w:t>
            </w:r>
          </w:p>
        </w:tc>
        <w:tc>
          <w:tcPr>
            <w:tcW w:w="4320" w:type="dxa"/>
          </w:tcPr>
          <w:p w14:paraId="7276E836" w14:textId="77777777" w:rsidR="00971755" w:rsidRDefault="00000000">
            <w:pPr>
              <w:cnfStyle w:val="000000100000" w:firstRow="0" w:lastRow="0" w:firstColumn="0" w:lastColumn="0" w:oddVBand="0" w:evenVBand="0" w:oddHBand="1" w:evenHBand="0" w:firstRowFirstColumn="0" w:firstRowLastColumn="0" w:lastRowFirstColumn="0" w:lastRowLastColumn="0"/>
            </w:pPr>
            <w:r>
              <w:t>A unicorn is defined as valuation ≥ $1B, so it is effectively the answer itself — keeping it would be target leakage.</w:t>
            </w:r>
          </w:p>
        </w:tc>
      </w:tr>
      <w:tr w:rsidR="00971755" w14:paraId="300D7765"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45DFA8" w14:textId="77777777" w:rsidR="00971755" w:rsidRDefault="00000000">
            <w:r>
              <w:t>Date Joined</w:t>
            </w:r>
          </w:p>
        </w:tc>
        <w:tc>
          <w:tcPr>
            <w:tcW w:w="4320" w:type="dxa"/>
          </w:tcPr>
          <w:p w14:paraId="5DA2225F" w14:textId="77777777" w:rsidR="00971755" w:rsidRDefault="00000000">
            <w:pPr>
              <w:cnfStyle w:val="000000010000" w:firstRow="0" w:lastRow="0" w:firstColumn="0" w:lastColumn="0" w:oddVBand="0" w:evenVBand="0" w:oddHBand="0" w:evenHBand="1" w:firstRowFirstColumn="0" w:firstRowLastColumn="0" w:lastRowFirstColumn="0" w:lastRowLastColumn="0"/>
            </w:pPr>
            <w:r>
              <w:t>The date a company became a unicorn exists only for unicorns; non-unicorns have no such date.</w:t>
            </w:r>
          </w:p>
        </w:tc>
      </w:tr>
      <w:tr w:rsidR="00971755" w14:paraId="4E6A306B"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AA3237" w14:textId="77777777" w:rsidR="00971755" w:rsidRDefault="00000000">
            <w:r>
              <w:t>Select Investors</w:t>
            </w:r>
          </w:p>
        </w:tc>
        <w:tc>
          <w:tcPr>
            <w:tcW w:w="4320" w:type="dxa"/>
          </w:tcPr>
          <w:p w14:paraId="0F551743" w14:textId="77777777" w:rsidR="00971755" w:rsidRDefault="00000000">
            <w:pPr>
              <w:cnfStyle w:val="000000100000" w:firstRow="0" w:lastRow="0" w:firstColumn="0" w:lastColumn="0" w:oddVBand="0" w:evenVBand="0" w:oddHBand="1" w:evenHBand="0" w:firstRowFirstColumn="0" w:firstRowLastColumn="0" w:lastRowFirstColumn="0" w:lastRowLastColumn="0"/>
            </w:pPr>
            <w:r>
              <w:t>Free-text investor lists are hard to use as a model feature and are not consistently available for smaller companies.</w:t>
            </w:r>
          </w:p>
        </w:tc>
      </w:tr>
    </w:tbl>
    <w:p w14:paraId="5AD052DC" w14:textId="77777777" w:rsidR="00971755" w:rsidRDefault="00000000">
      <w:r>
        <w:rPr>
          <w:b/>
          <w:color w:val="1D4ED8"/>
        </w:rPr>
        <w:t xml:space="preserve">What this means — </w:t>
      </w:r>
      <w:r>
        <w:t xml:space="preserve">Removing these columns was a deliberate, reasonable choice for a prediction setup, not an oversight. The trade-off is that Date Joined and Select Investors were </w:t>
      </w:r>
      <w:r>
        <w:lastRenderedPageBreak/>
        <w:t>useful for descriptive work (they powered our timeline and investor analyses on the original data), so those angles are simply not available in dataset_clean.</w:t>
      </w:r>
    </w:p>
    <w:p w14:paraId="0507A189" w14:textId="77777777" w:rsidR="00971755" w:rsidRDefault="00000000">
      <w:pPr>
        <w:pStyle w:val="Heading2"/>
      </w:pPr>
      <w:r>
        <w:t>1.3 Columns &amp; Rows Added</w:t>
      </w:r>
    </w:p>
    <w:p w14:paraId="10CCAF8F" w14:textId="77777777" w:rsidR="00971755" w:rsidRDefault="00000000">
      <w:pPr>
        <w:pStyle w:val="ListBullet"/>
      </w:pPr>
      <w:r>
        <w:t>is_unicorn — the 1/0 label that turns the data into a supervised learning problem.</w:t>
      </w:r>
    </w:p>
    <w:p w14:paraId="1777A990" w14:textId="77777777" w:rsidR="00971755" w:rsidRDefault="00000000">
      <w:pPr>
        <w:pStyle w:val="ListBullet"/>
      </w:pPr>
      <w:r>
        <w:t>Description — a short text blurb per company (present for most non-unicorns; often blank for unicorns, which were carried over from the original).</w:t>
      </w:r>
    </w:p>
    <w:p w14:paraId="64B0BE05" w14:textId="77777777" w:rsidR="00971755" w:rsidRDefault="00000000">
      <w:pPr>
        <w:pStyle w:val="ListBullet"/>
      </w:pPr>
      <w:r>
        <w:t>Funding_USD — the original "$8B"-style funding strings converted to clean numeric USD.</w:t>
      </w:r>
    </w:p>
    <w:p w14:paraId="6B76B54F" w14:textId="77777777" w:rsidR="00971755" w:rsidRDefault="00000000">
      <w:pPr>
        <w:pStyle w:val="ListBullet"/>
      </w:pPr>
      <w:r>
        <w:t>983 non-unicorn companies — the negative class needed for supervised learning.</w:t>
      </w:r>
    </w:p>
    <w:p w14:paraId="44167C54" w14:textId="77777777" w:rsidR="00971755" w:rsidRDefault="00000000">
      <w:pPr>
        <w:pStyle w:val="ListBullet"/>
      </w:pPr>
      <w:r>
        <w:t>Note: 9 pre-1995 unicorns from the original (e.g. Otto Bock HealthCare, founded 1919) were not carried over, so both classes now start in 1995 — a reasonable trimming of non-startup legacy firms.</w:t>
      </w:r>
    </w:p>
    <w:p w14:paraId="2DAC7A42" w14:textId="77777777" w:rsidR="00971755" w:rsidRDefault="00000000">
      <w:r>
        <w:rPr>
          <w:b/>
          <w:color w:val="1D4ED8"/>
        </w:rPr>
        <w:t xml:space="preserve">What this means — </w:t>
      </w:r>
      <w:r>
        <w:t>In short, dataset_clean keeps the original unicorn facts, drops fields that do not fit a prediction task, converts funding to a usable numeric form, and adds a negative class. The genuinely new material is the 983 non-unicorn companies, profiled next.</w:t>
      </w:r>
    </w:p>
    <w:p w14:paraId="4CDB045A" w14:textId="77777777" w:rsidR="00971755" w:rsidRDefault="00000000">
      <w:r>
        <w:br w:type="page"/>
      </w:r>
    </w:p>
    <w:p w14:paraId="0942CA63" w14:textId="77777777" w:rsidR="00971755" w:rsidRDefault="00000000">
      <w:pPr>
        <w:pStyle w:val="Heading1"/>
      </w:pPr>
      <w:r>
        <w:rPr>
          <w:color w:val="1D4ED8"/>
        </w:rPr>
        <w:lastRenderedPageBreak/>
        <w:t>Section 2 — Descriptive Analysis of the Non-Unicorn Companies</w:t>
      </w:r>
    </w:p>
    <w:p w14:paraId="625AFBB3" w14:textId="77777777" w:rsidR="00971755" w:rsidRDefault="00000000">
      <w:r>
        <w:t>The 983 non-unicorn companies are private firms that had not reached $1B valuation. This section describes who they are and how they compare with the unicorn group.</w:t>
      </w:r>
    </w:p>
    <w:p w14:paraId="5776E3A8" w14:textId="77777777" w:rsidR="00971755" w:rsidRDefault="00000000">
      <w:pPr>
        <w:pStyle w:val="Heading2"/>
      </w:pPr>
      <w:r>
        <w:t>2.1 Geographic Distribution</w:t>
      </w:r>
    </w:p>
    <w:tbl>
      <w:tblPr>
        <w:tblStyle w:val="LightGrid-Accent1"/>
        <w:tblW w:w="0" w:type="auto"/>
        <w:jc w:val="center"/>
        <w:tblLook w:val="04A0" w:firstRow="1" w:lastRow="0" w:firstColumn="1" w:lastColumn="0" w:noHBand="0" w:noVBand="1"/>
      </w:tblPr>
      <w:tblGrid>
        <w:gridCol w:w="2880"/>
        <w:gridCol w:w="2880"/>
        <w:gridCol w:w="2880"/>
      </w:tblGrid>
      <w:tr w:rsidR="00971755" w14:paraId="46EB9F51" w14:textId="77777777" w:rsidTr="009717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0897E0" w14:textId="77777777" w:rsidR="00971755" w:rsidRDefault="00000000">
            <w:r>
              <w:t>Continent</w:t>
            </w:r>
          </w:p>
        </w:tc>
        <w:tc>
          <w:tcPr>
            <w:tcW w:w="2880" w:type="dxa"/>
          </w:tcPr>
          <w:p w14:paraId="6FB718CE" w14:textId="77777777" w:rsidR="00971755" w:rsidRDefault="00000000">
            <w:pPr>
              <w:cnfStyle w:val="100000000000" w:firstRow="1" w:lastRow="0" w:firstColumn="0" w:lastColumn="0" w:oddVBand="0" w:evenVBand="0" w:oddHBand="0" w:evenHBand="0" w:firstRowFirstColumn="0" w:firstRowLastColumn="0" w:lastRowFirstColumn="0" w:lastRowLastColumn="0"/>
            </w:pPr>
            <w:r>
              <w:t>Companies</w:t>
            </w:r>
          </w:p>
        </w:tc>
        <w:tc>
          <w:tcPr>
            <w:tcW w:w="2880" w:type="dxa"/>
          </w:tcPr>
          <w:p w14:paraId="5E3F8C06" w14:textId="77777777" w:rsidR="00971755" w:rsidRDefault="00000000">
            <w:pPr>
              <w:cnfStyle w:val="100000000000" w:firstRow="1" w:lastRow="0" w:firstColumn="0" w:lastColumn="0" w:oddVBand="0" w:evenVBand="0" w:oddHBand="0" w:evenHBand="0" w:firstRowFirstColumn="0" w:firstRowLastColumn="0" w:lastRowFirstColumn="0" w:lastRowLastColumn="0"/>
            </w:pPr>
            <w:r>
              <w:t>Share</w:t>
            </w:r>
          </w:p>
        </w:tc>
      </w:tr>
      <w:tr w:rsidR="00971755" w14:paraId="7139B603"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4BB7CC" w14:textId="77777777" w:rsidR="00971755" w:rsidRDefault="00000000">
            <w:r>
              <w:t>North America</w:t>
            </w:r>
          </w:p>
        </w:tc>
        <w:tc>
          <w:tcPr>
            <w:tcW w:w="2880" w:type="dxa"/>
          </w:tcPr>
          <w:p w14:paraId="6BD6F0FD" w14:textId="77777777" w:rsidR="00971755" w:rsidRDefault="00000000">
            <w:pPr>
              <w:cnfStyle w:val="000000100000" w:firstRow="0" w:lastRow="0" w:firstColumn="0" w:lastColumn="0" w:oddVBand="0" w:evenVBand="0" w:oddHBand="1" w:evenHBand="0" w:firstRowFirstColumn="0" w:firstRowLastColumn="0" w:lastRowFirstColumn="0" w:lastRowLastColumn="0"/>
            </w:pPr>
            <w:r>
              <w:t>642</w:t>
            </w:r>
          </w:p>
        </w:tc>
        <w:tc>
          <w:tcPr>
            <w:tcW w:w="2880" w:type="dxa"/>
          </w:tcPr>
          <w:p w14:paraId="2FE7F89F" w14:textId="77777777" w:rsidR="00971755" w:rsidRDefault="00000000">
            <w:pPr>
              <w:cnfStyle w:val="000000100000" w:firstRow="0" w:lastRow="0" w:firstColumn="0" w:lastColumn="0" w:oddVBand="0" w:evenVBand="0" w:oddHBand="1" w:evenHBand="0" w:firstRowFirstColumn="0" w:firstRowLastColumn="0" w:lastRowFirstColumn="0" w:lastRowLastColumn="0"/>
            </w:pPr>
            <w:r>
              <w:t>65.3%</w:t>
            </w:r>
          </w:p>
        </w:tc>
      </w:tr>
      <w:tr w:rsidR="00971755" w14:paraId="5C909AAC"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089184" w14:textId="77777777" w:rsidR="00971755" w:rsidRDefault="00000000">
            <w:r>
              <w:t>Europe</w:t>
            </w:r>
          </w:p>
        </w:tc>
        <w:tc>
          <w:tcPr>
            <w:tcW w:w="2880" w:type="dxa"/>
          </w:tcPr>
          <w:p w14:paraId="39C35B88" w14:textId="77777777" w:rsidR="00971755" w:rsidRDefault="00000000">
            <w:pPr>
              <w:cnfStyle w:val="000000010000" w:firstRow="0" w:lastRow="0" w:firstColumn="0" w:lastColumn="0" w:oddVBand="0" w:evenVBand="0" w:oddHBand="0" w:evenHBand="1" w:firstRowFirstColumn="0" w:firstRowLastColumn="0" w:lastRowFirstColumn="0" w:lastRowLastColumn="0"/>
            </w:pPr>
            <w:r>
              <w:t>145</w:t>
            </w:r>
          </w:p>
        </w:tc>
        <w:tc>
          <w:tcPr>
            <w:tcW w:w="2880" w:type="dxa"/>
          </w:tcPr>
          <w:p w14:paraId="169B3D6F" w14:textId="77777777" w:rsidR="00971755" w:rsidRDefault="00000000">
            <w:pPr>
              <w:cnfStyle w:val="000000010000" w:firstRow="0" w:lastRow="0" w:firstColumn="0" w:lastColumn="0" w:oddVBand="0" w:evenVBand="0" w:oddHBand="0" w:evenHBand="1" w:firstRowFirstColumn="0" w:firstRowLastColumn="0" w:lastRowFirstColumn="0" w:lastRowLastColumn="0"/>
            </w:pPr>
            <w:r>
              <w:t>14.8%</w:t>
            </w:r>
          </w:p>
        </w:tc>
      </w:tr>
      <w:tr w:rsidR="00971755" w14:paraId="6F294453"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8AA009" w14:textId="77777777" w:rsidR="00971755" w:rsidRDefault="00000000">
            <w:r>
              <w:t>Other</w:t>
            </w:r>
          </w:p>
        </w:tc>
        <w:tc>
          <w:tcPr>
            <w:tcW w:w="2880" w:type="dxa"/>
          </w:tcPr>
          <w:p w14:paraId="0B2A5429" w14:textId="77777777" w:rsidR="00971755" w:rsidRDefault="00000000">
            <w:pPr>
              <w:cnfStyle w:val="000000100000" w:firstRow="0" w:lastRow="0" w:firstColumn="0" w:lastColumn="0" w:oddVBand="0" w:evenVBand="0" w:oddHBand="1" w:evenHBand="0" w:firstRowFirstColumn="0" w:firstRowLastColumn="0" w:lastRowFirstColumn="0" w:lastRowLastColumn="0"/>
            </w:pPr>
            <w:r>
              <w:t>96</w:t>
            </w:r>
          </w:p>
        </w:tc>
        <w:tc>
          <w:tcPr>
            <w:tcW w:w="2880" w:type="dxa"/>
          </w:tcPr>
          <w:p w14:paraId="71EB6908" w14:textId="77777777" w:rsidR="00971755" w:rsidRDefault="00000000">
            <w:pPr>
              <w:cnfStyle w:val="000000100000" w:firstRow="0" w:lastRow="0" w:firstColumn="0" w:lastColumn="0" w:oddVBand="0" w:evenVBand="0" w:oddHBand="1" w:evenHBand="0" w:firstRowFirstColumn="0" w:firstRowLastColumn="0" w:lastRowFirstColumn="0" w:lastRowLastColumn="0"/>
            </w:pPr>
            <w:r>
              <w:t>9.8%</w:t>
            </w:r>
          </w:p>
        </w:tc>
      </w:tr>
      <w:tr w:rsidR="00971755" w14:paraId="50BD223C"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2F1E10" w14:textId="77777777" w:rsidR="00971755" w:rsidRDefault="00000000">
            <w:r>
              <w:t>Asia</w:t>
            </w:r>
          </w:p>
        </w:tc>
        <w:tc>
          <w:tcPr>
            <w:tcW w:w="2880" w:type="dxa"/>
          </w:tcPr>
          <w:p w14:paraId="33A113AB" w14:textId="77777777" w:rsidR="00971755" w:rsidRDefault="00000000">
            <w:pPr>
              <w:cnfStyle w:val="000000010000" w:firstRow="0" w:lastRow="0" w:firstColumn="0" w:lastColumn="0" w:oddVBand="0" w:evenVBand="0" w:oddHBand="0" w:evenHBand="1" w:firstRowFirstColumn="0" w:firstRowLastColumn="0" w:lastRowFirstColumn="0" w:lastRowLastColumn="0"/>
            </w:pPr>
            <w:r>
              <w:t>61</w:t>
            </w:r>
          </w:p>
        </w:tc>
        <w:tc>
          <w:tcPr>
            <w:tcW w:w="2880" w:type="dxa"/>
          </w:tcPr>
          <w:p w14:paraId="457C6861" w14:textId="77777777" w:rsidR="00971755" w:rsidRDefault="00000000">
            <w:pPr>
              <w:cnfStyle w:val="000000010000" w:firstRow="0" w:lastRow="0" w:firstColumn="0" w:lastColumn="0" w:oddVBand="0" w:evenVBand="0" w:oddHBand="0" w:evenHBand="1" w:firstRowFirstColumn="0" w:firstRowLastColumn="0" w:lastRowFirstColumn="0" w:lastRowLastColumn="0"/>
            </w:pPr>
            <w:r>
              <w:t>6.2%</w:t>
            </w:r>
          </w:p>
        </w:tc>
      </w:tr>
      <w:tr w:rsidR="00971755" w14:paraId="6576577C"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D73F34" w14:textId="77777777" w:rsidR="00971755" w:rsidRDefault="00000000">
            <w:r>
              <w:t>Oceania</w:t>
            </w:r>
          </w:p>
        </w:tc>
        <w:tc>
          <w:tcPr>
            <w:tcW w:w="2880" w:type="dxa"/>
          </w:tcPr>
          <w:p w14:paraId="16A0547B" w14:textId="77777777" w:rsidR="00971755" w:rsidRDefault="00000000">
            <w:pPr>
              <w:cnfStyle w:val="000000100000" w:firstRow="0" w:lastRow="0" w:firstColumn="0" w:lastColumn="0" w:oddVBand="0" w:evenVBand="0" w:oddHBand="1" w:evenHBand="0" w:firstRowFirstColumn="0" w:firstRowLastColumn="0" w:lastRowFirstColumn="0" w:lastRowLastColumn="0"/>
            </w:pPr>
            <w:r>
              <w:t>18</w:t>
            </w:r>
          </w:p>
        </w:tc>
        <w:tc>
          <w:tcPr>
            <w:tcW w:w="2880" w:type="dxa"/>
          </w:tcPr>
          <w:p w14:paraId="1FD5BB12" w14:textId="77777777" w:rsidR="00971755" w:rsidRDefault="00000000">
            <w:pPr>
              <w:cnfStyle w:val="000000100000" w:firstRow="0" w:lastRow="0" w:firstColumn="0" w:lastColumn="0" w:oddVBand="0" w:evenVBand="0" w:oddHBand="1" w:evenHBand="0" w:firstRowFirstColumn="0" w:firstRowLastColumn="0" w:lastRowFirstColumn="0" w:lastRowLastColumn="0"/>
            </w:pPr>
            <w:r>
              <w:t>1.8%</w:t>
            </w:r>
          </w:p>
        </w:tc>
      </w:tr>
      <w:tr w:rsidR="00971755" w14:paraId="6F601623"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0727DC" w14:textId="77777777" w:rsidR="00971755" w:rsidRDefault="00000000">
            <w:r>
              <w:t>South America</w:t>
            </w:r>
          </w:p>
        </w:tc>
        <w:tc>
          <w:tcPr>
            <w:tcW w:w="2880" w:type="dxa"/>
          </w:tcPr>
          <w:p w14:paraId="1590E769" w14:textId="77777777" w:rsidR="00971755" w:rsidRDefault="00000000">
            <w:pPr>
              <w:cnfStyle w:val="000000010000" w:firstRow="0" w:lastRow="0" w:firstColumn="0" w:lastColumn="0" w:oddVBand="0" w:evenVBand="0" w:oddHBand="0" w:evenHBand="1" w:firstRowFirstColumn="0" w:firstRowLastColumn="0" w:lastRowFirstColumn="0" w:lastRowLastColumn="0"/>
            </w:pPr>
            <w:r>
              <w:t>18</w:t>
            </w:r>
          </w:p>
        </w:tc>
        <w:tc>
          <w:tcPr>
            <w:tcW w:w="2880" w:type="dxa"/>
          </w:tcPr>
          <w:p w14:paraId="730A5B5E" w14:textId="77777777" w:rsidR="00971755" w:rsidRDefault="00000000">
            <w:pPr>
              <w:cnfStyle w:val="000000010000" w:firstRow="0" w:lastRow="0" w:firstColumn="0" w:lastColumn="0" w:oddVBand="0" w:evenVBand="0" w:oddHBand="0" w:evenHBand="1" w:firstRowFirstColumn="0" w:firstRowLastColumn="0" w:lastRowFirstColumn="0" w:lastRowLastColumn="0"/>
            </w:pPr>
            <w:r>
              <w:t>1.8%</w:t>
            </w:r>
          </w:p>
        </w:tc>
      </w:tr>
      <w:tr w:rsidR="00971755" w14:paraId="31D5A529"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3E399F" w14:textId="77777777" w:rsidR="00971755" w:rsidRDefault="00000000">
            <w:r>
              <w:t>Africa</w:t>
            </w:r>
          </w:p>
        </w:tc>
        <w:tc>
          <w:tcPr>
            <w:tcW w:w="2880" w:type="dxa"/>
          </w:tcPr>
          <w:p w14:paraId="72355ACE" w14:textId="77777777" w:rsidR="00971755" w:rsidRDefault="00000000">
            <w:pPr>
              <w:cnfStyle w:val="000000100000" w:firstRow="0" w:lastRow="0" w:firstColumn="0" w:lastColumn="0" w:oddVBand="0" w:evenVBand="0" w:oddHBand="1" w:evenHBand="0" w:firstRowFirstColumn="0" w:firstRowLastColumn="0" w:lastRowFirstColumn="0" w:lastRowLastColumn="0"/>
            </w:pPr>
            <w:r>
              <w:t>3</w:t>
            </w:r>
          </w:p>
        </w:tc>
        <w:tc>
          <w:tcPr>
            <w:tcW w:w="2880" w:type="dxa"/>
          </w:tcPr>
          <w:p w14:paraId="03E98D12" w14:textId="77777777" w:rsidR="00971755" w:rsidRDefault="00000000">
            <w:pPr>
              <w:cnfStyle w:val="000000100000" w:firstRow="0" w:lastRow="0" w:firstColumn="0" w:lastColumn="0" w:oddVBand="0" w:evenVBand="0" w:oddHBand="1" w:evenHBand="0" w:firstRowFirstColumn="0" w:firstRowLastColumn="0" w:lastRowFirstColumn="0" w:lastRowLastColumn="0"/>
            </w:pPr>
            <w:r>
              <w:t>0.3%</w:t>
            </w:r>
          </w:p>
        </w:tc>
      </w:tr>
    </w:tbl>
    <w:p w14:paraId="6C2DE385" w14:textId="77777777" w:rsidR="00971755" w:rsidRDefault="00000000">
      <w:r>
        <w:t>Top countries: United States (607), United Kingdom (53), Canada (33), Israel (20), India (18). (96 companies are recorded as continent "Other" and 72 have no country listed.)</w:t>
      </w:r>
    </w:p>
    <w:p w14:paraId="377E460D" w14:textId="77777777" w:rsidR="00971755" w:rsidRDefault="00000000">
      <w:pPr>
        <w:jc w:val="center"/>
      </w:pPr>
      <w:r>
        <w:rPr>
          <w:noProof/>
        </w:rPr>
        <w:drawing>
          <wp:inline distT="0" distB="0" distL="0" distR="0" wp14:anchorId="36183477" wp14:editId="59A177DF">
            <wp:extent cx="5120640" cy="28175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_01_geography.png"/>
                    <pic:cNvPicPr/>
                  </pic:nvPicPr>
                  <pic:blipFill>
                    <a:blip r:embed="rId6"/>
                    <a:stretch>
                      <a:fillRect/>
                    </a:stretch>
                  </pic:blipFill>
                  <pic:spPr>
                    <a:xfrm>
                      <a:off x="0" y="0"/>
                      <a:ext cx="5120640" cy="2817504"/>
                    </a:xfrm>
                    <a:prstGeom prst="rect">
                      <a:avLst/>
                    </a:prstGeom>
                  </pic:spPr>
                </pic:pic>
              </a:graphicData>
            </a:graphic>
          </wp:inline>
        </w:drawing>
      </w:r>
    </w:p>
    <w:p w14:paraId="02522762" w14:textId="77777777" w:rsidR="00971755" w:rsidRDefault="00000000">
      <w:r>
        <w:rPr>
          <w:b/>
          <w:color w:val="1D4ED8"/>
        </w:rPr>
        <w:t xml:space="preserve">What this means — </w:t>
      </w:r>
      <w:r>
        <w:t>The non-unicorn set leans more heavily toward North America (65%) than the unicorn population does (55%). It reflects wherever this particular list was sourced, so it is best read as a sample of companies rather than a global census.</w:t>
      </w:r>
    </w:p>
    <w:p w14:paraId="24BD9918" w14:textId="77777777" w:rsidR="00971755" w:rsidRDefault="00000000">
      <w:pPr>
        <w:pStyle w:val="Heading2"/>
      </w:pPr>
      <w:r>
        <w:t>2.2 Industry Distribution</w:t>
      </w:r>
    </w:p>
    <w:tbl>
      <w:tblPr>
        <w:tblStyle w:val="LightGrid-Accent1"/>
        <w:tblW w:w="0" w:type="auto"/>
        <w:jc w:val="center"/>
        <w:tblLook w:val="04A0" w:firstRow="1" w:lastRow="0" w:firstColumn="1" w:lastColumn="0" w:noHBand="0" w:noVBand="1"/>
      </w:tblPr>
      <w:tblGrid>
        <w:gridCol w:w="2880"/>
        <w:gridCol w:w="2880"/>
        <w:gridCol w:w="2880"/>
      </w:tblGrid>
      <w:tr w:rsidR="00971755" w14:paraId="1C8C00B4" w14:textId="77777777" w:rsidTr="009717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A6F3EE" w14:textId="77777777" w:rsidR="00971755" w:rsidRDefault="00000000">
            <w:r>
              <w:t>Industry</w:t>
            </w:r>
          </w:p>
        </w:tc>
        <w:tc>
          <w:tcPr>
            <w:tcW w:w="2880" w:type="dxa"/>
          </w:tcPr>
          <w:p w14:paraId="57E8C382" w14:textId="77777777" w:rsidR="00971755" w:rsidRDefault="00000000">
            <w:pPr>
              <w:cnfStyle w:val="100000000000" w:firstRow="1" w:lastRow="0" w:firstColumn="0" w:lastColumn="0" w:oddVBand="0" w:evenVBand="0" w:oddHBand="0" w:evenHBand="0" w:firstRowFirstColumn="0" w:firstRowLastColumn="0" w:lastRowFirstColumn="0" w:lastRowLastColumn="0"/>
            </w:pPr>
            <w:r>
              <w:t>Companies</w:t>
            </w:r>
          </w:p>
        </w:tc>
        <w:tc>
          <w:tcPr>
            <w:tcW w:w="2880" w:type="dxa"/>
          </w:tcPr>
          <w:p w14:paraId="17A12819" w14:textId="77777777" w:rsidR="00971755" w:rsidRDefault="00000000">
            <w:pPr>
              <w:cnfStyle w:val="100000000000" w:firstRow="1" w:lastRow="0" w:firstColumn="0" w:lastColumn="0" w:oddVBand="0" w:evenVBand="0" w:oddHBand="0" w:evenHBand="0" w:firstRowFirstColumn="0" w:firstRowLastColumn="0" w:lastRowFirstColumn="0" w:lastRowLastColumn="0"/>
            </w:pPr>
            <w:r>
              <w:t>Share</w:t>
            </w:r>
          </w:p>
        </w:tc>
      </w:tr>
      <w:tr w:rsidR="00971755" w14:paraId="615062B3"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03C704" w14:textId="77777777" w:rsidR="00971755" w:rsidRDefault="00000000">
            <w:r>
              <w:t>internet software &amp; services</w:t>
            </w:r>
          </w:p>
        </w:tc>
        <w:tc>
          <w:tcPr>
            <w:tcW w:w="2880" w:type="dxa"/>
          </w:tcPr>
          <w:p w14:paraId="25F6C530" w14:textId="77777777" w:rsidR="00971755" w:rsidRDefault="00000000">
            <w:pPr>
              <w:cnfStyle w:val="000000100000" w:firstRow="0" w:lastRow="0" w:firstColumn="0" w:lastColumn="0" w:oddVBand="0" w:evenVBand="0" w:oddHBand="1" w:evenHBand="0" w:firstRowFirstColumn="0" w:firstRowLastColumn="0" w:lastRowFirstColumn="0" w:lastRowLastColumn="0"/>
            </w:pPr>
            <w:r>
              <w:t>364</w:t>
            </w:r>
          </w:p>
        </w:tc>
        <w:tc>
          <w:tcPr>
            <w:tcW w:w="2880" w:type="dxa"/>
          </w:tcPr>
          <w:p w14:paraId="06F78906" w14:textId="77777777" w:rsidR="00971755" w:rsidRDefault="00000000">
            <w:pPr>
              <w:cnfStyle w:val="000000100000" w:firstRow="0" w:lastRow="0" w:firstColumn="0" w:lastColumn="0" w:oddVBand="0" w:evenVBand="0" w:oddHBand="1" w:evenHBand="0" w:firstRowFirstColumn="0" w:firstRowLastColumn="0" w:lastRowFirstColumn="0" w:lastRowLastColumn="0"/>
            </w:pPr>
            <w:r>
              <w:t>37.0%</w:t>
            </w:r>
          </w:p>
        </w:tc>
      </w:tr>
      <w:tr w:rsidR="00971755" w14:paraId="37F49BC8"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E75DB8" w14:textId="77777777" w:rsidR="00971755" w:rsidRDefault="00000000">
            <w:r>
              <w:t>other</w:t>
            </w:r>
          </w:p>
        </w:tc>
        <w:tc>
          <w:tcPr>
            <w:tcW w:w="2880" w:type="dxa"/>
          </w:tcPr>
          <w:p w14:paraId="3E033CE0" w14:textId="77777777" w:rsidR="00971755" w:rsidRDefault="00000000">
            <w:pPr>
              <w:cnfStyle w:val="000000010000" w:firstRow="0" w:lastRow="0" w:firstColumn="0" w:lastColumn="0" w:oddVBand="0" w:evenVBand="0" w:oddHBand="0" w:evenHBand="1" w:firstRowFirstColumn="0" w:firstRowLastColumn="0" w:lastRowFirstColumn="0" w:lastRowLastColumn="0"/>
            </w:pPr>
            <w:r>
              <w:t>135</w:t>
            </w:r>
          </w:p>
        </w:tc>
        <w:tc>
          <w:tcPr>
            <w:tcW w:w="2880" w:type="dxa"/>
          </w:tcPr>
          <w:p w14:paraId="1D433FD5" w14:textId="77777777" w:rsidR="00971755" w:rsidRDefault="00000000">
            <w:pPr>
              <w:cnfStyle w:val="000000010000" w:firstRow="0" w:lastRow="0" w:firstColumn="0" w:lastColumn="0" w:oddVBand="0" w:evenVBand="0" w:oddHBand="0" w:evenHBand="1" w:firstRowFirstColumn="0" w:firstRowLastColumn="0" w:lastRowFirstColumn="0" w:lastRowLastColumn="0"/>
            </w:pPr>
            <w:r>
              <w:t>13.7%</w:t>
            </w:r>
          </w:p>
        </w:tc>
      </w:tr>
      <w:tr w:rsidR="00971755" w14:paraId="5574852A"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09137C" w14:textId="77777777" w:rsidR="00971755" w:rsidRDefault="00000000">
            <w:r>
              <w:t>mobile &amp; telecommunications</w:t>
            </w:r>
          </w:p>
        </w:tc>
        <w:tc>
          <w:tcPr>
            <w:tcW w:w="2880" w:type="dxa"/>
          </w:tcPr>
          <w:p w14:paraId="7D3D4EFD" w14:textId="77777777" w:rsidR="00971755" w:rsidRDefault="00000000">
            <w:pPr>
              <w:cnfStyle w:val="000000100000" w:firstRow="0" w:lastRow="0" w:firstColumn="0" w:lastColumn="0" w:oddVBand="0" w:evenVBand="0" w:oddHBand="1" w:evenHBand="0" w:firstRowFirstColumn="0" w:firstRowLastColumn="0" w:lastRowFirstColumn="0" w:lastRowLastColumn="0"/>
            </w:pPr>
            <w:r>
              <w:t>100</w:t>
            </w:r>
          </w:p>
        </w:tc>
        <w:tc>
          <w:tcPr>
            <w:tcW w:w="2880" w:type="dxa"/>
          </w:tcPr>
          <w:p w14:paraId="340C4309" w14:textId="77777777" w:rsidR="00971755" w:rsidRDefault="00000000">
            <w:pPr>
              <w:cnfStyle w:val="000000100000" w:firstRow="0" w:lastRow="0" w:firstColumn="0" w:lastColumn="0" w:oddVBand="0" w:evenVBand="0" w:oddHBand="1" w:evenHBand="0" w:firstRowFirstColumn="0" w:firstRowLastColumn="0" w:lastRowFirstColumn="0" w:lastRowLastColumn="0"/>
            </w:pPr>
            <w:r>
              <w:t>10.2%</w:t>
            </w:r>
          </w:p>
        </w:tc>
      </w:tr>
      <w:tr w:rsidR="00971755" w14:paraId="0415AD14"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256E60" w14:textId="77777777" w:rsidR="00971755" w:rsidRDefault="00000000">
            <w:r>
              <w:t>health</w:t>
            </w:r>
          </w:p>
        </w:tc>
        <w:tc>
          <w:tcPr>
            <w:tcW w:w="2880" w:type="dxa"/>
          </w:tcPr>
          <w:p w14:paraId="21085C14" w14:textId="77777777" w:rsidR="00971755" w:rsidRDefault="00000000">
            <w:pPr>
              <w:cnfStyle w:val="000000010000" w:firstRow="0" w:lastRow="0" w:firstColumn="0" w:lastColumn="0" w:oddVBand="0" w:evenVBand="0" w:oddHBand="0" w:evenHBand="1" w:firstRowFirstColumn="0" w:firstRowLastColumn="0" w:lastRowFirstColumn="0" w:lastRowLastColumn="0"/>
            </w:pPr>
            <w:r>
              <w:t>83</w:t>
            </w:r>
          </w:p>
        </w:tc>
        <w:tc>
          <w:tcPr>
            <w:tcW w:w="2880" w:type="dxa"/>
          </w:tcPr>
          <w:p w14:paraId="58C120D7" w14:textId="77777777" w:rsidR="00971755" w:rsidRDefault="00000000">
            <w:pPr>
              <w:cnfStyle w:val="000000010000" w:firstRow="0" w:lastRow="0" w:firstColumn="0" w:lastColumn="0" w:oddVBand="0" w:evenVBand="0" w:oddHBand="0" w:evenHBand="1" w:firstRowFirstColumn="0" w:firstRowLastColumn="0" w:lastRowFirstColumn="0" w:lastRowLastColumn="0"/>
            </w:pPr>
            <w:r>
              <w:t>8.4%</w:t>
            </w:r>
          </w:p>
        </w:tc>
      </w:tr>
      <w:tr w:rsidR="00971755" w14:paraId="690C4448"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9D8AFE" w14:textId="77777777" w:rsidR="00971755" w:rsidRDefault="00000000">
            <w:r>
              <w:lastRenderedPageBreak/>
              <w:t>e-commerce &amp; direct-to-consumer</w:t>
            </w:r>
          </w:p>
        </w:tc>
        <w:tc>
          <w:tcPr>
            <w:tcW w:w="2880" w:type="dxa"/>
          </w:tcPr>
          <w:p w14:paraId="0CEA0AFE" w14:textId="77777777" w:rsidR="00971755" w:rsidRDefault="00000000">
            <w:pPr>
              <w:cnfStyle w:val="000000100000" w:firstRow="0" w:lastRow="0" w:firstColumn="0" w:lastColumn="0" w:oddVBand="0" w:evenVBand="0" w:oddHBand="1" w:evenHBand="0" w:firstRowFirstColumn="0" w:firstRowLastColumn="0" w:lastRowFirstColumn="0" w:lastRowLastColumn="0"/>
            </w:pPr>
            <w:r>
              <w:t>77</w:t>
            </w:r>
          </w:p>
        </w:tc>
        <w:tc>
          <w:tcPr>
            <w:tcW w:w="2880" w:type="dxa"/>
          </w:tcPr>
          <w:p w14:paraId="09B46827" w14:textId="77777777" w:rsidR="00971755" w:rsidRDefault="00000000">
            <w:pPr>
              <w:cnfStyle w:val="000000100000" w:firstRow="0" w:lastRow="0" w:firstColumn="0" w:lastColumn="0" w:oddVBand="0" w:evenVBand="0" w:oddHBand="1" w:evenHBand="0" w:firstRowFirstColumn="0" w:firstRowLastColumn="0" w:lastRowFirstColumn="0" w:lastRowLastColumn="0"/>
            </w:pPr>
            <w:r>
              <w:t>7.8%</w:t>
            </w:r>
          </w:p>
        </w:tc>
      </w:tr>
      <w:tr w:rsidR="00971755" w14:paraId="495F84C3"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A46D21" w14:textId="77777777" w:rsidR="00971755" w:rsidRDefault="00000000">
            <w:r>
              <w:t>consumer &amp; retail</w:t>
            </w:r>
          </w:p>
        </w:tc>
        <w:tc>
          <w:tcPr>
            <w:tcW w:w="2880" w:type="dxa"/>
          </w:tcPr>
          <w:p w14:paraId="3CFB3ED7" w14:textId="77777777" w:rsidR="00971755" w:rsidRDefault="00000000">
            <w:pPr>
              <w:cnfStyle w:val="000000010000" w:firstRow="0" w:lastRow="0" w:firstColumn="0" w:lastColumn="0" w:oddVBand="0" w:evenVBand="0" w:oddHBand="0" w:evenHBand="1" w:firstRowFirstColumn="0" w:firstRowLastColumn="0" w:lastRowFirstColumn="0" w:lastRowLastColumn="0"/>
            </w:pPr>
            <w:r>
              <w:t>52</w:t>
            </w:r>
          </w:p>
        </w:tc>
        <w:tc>
          <w:tcPr>
            <w:tcW w:w="2880" w:type="dxa"/>
          </w:tcPr>
          <w:p w14:paraId="0DA68C42" w14:textId="77777777" w:rsidR="00971755" w:rsidRDefault="00000000">
            <w:pPr>
              <w:cnfStyle w:val="000000010000" w:firstRow="0" w:lastRow="0" w:firstColumn="0" w:lastColumn="0" w:oddVBand="0" w:evenVBand="0" w:oddHBand="0" w:evenHBand="1" w:firstRowFirstColumn="0" w:firstRowLastColumn="0" w:lastRowFirstColumn="0" w:lastRowLastColumn="0"/>
            </w:pPr>
            <w:r>
              <w:t>5.3%</w:t>
            </w:r>
          </w:p>
        </w:tc>
      </w:tr>
    </w:tbl>
    <w:p w14:paraId="7074FCF0" w14:textId="77777777" w:rsidR="00971755" w:rsidRDefault="00000000">
      <w:pPr>
        <w:jc w:val="center"/>
      </w:pPr>
      <w:r>
        <w:rPr>
          <w:noProof/>
        </w:rPr>
        <w:drawing>
          <wp:inline distT="0" distB="0" distL="0" distR="0" wp14:anchorId="22807A29" wp14:editId="35DB29B2">
            <wp:extent cx="5303520" cy="3159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_02_industry.png"/>
                    <pic:cNvPicPr/>
                  </pic:nvPicPr>
                  <pic:blipFill>
                    <a:blip r:embed="rId7"/>
                    <a:stretch>
                      <a:fillRect/>
                    </a:stretch>
                  </pic:blipFill>
                  <pic:spPr>
                    <a:xfrm>
                      <a:off x="0" y="0"/>
                      <a:ext cx="5303520" cy="3159240"/>
                    </a:xfrm>
                    <a:prstGeom prst="rect">
                      <a:avLst/>
                    </a:prstGeom>
                  </pic:spPr>
                </pic:pic>
              </a:graphicData>
            </a:graphic>
          </wp:inline>
        </w:drawing>
      </w:r>
    </w:p>
    <w:p w14:paraId="531863B2" w14:textId="77777777" w:rsidR="00971755" w:rsidRDefault="00000000">
      <w:r>
        <w:rPr>
          <w:b/>
          <w:color w:val="1D4ED8"/>
        </w:rPr>
        <w:t xml:space="preserve">What this means — </w:t>
      </w:r>
      <w:r>
        <w:t>Internet Software &amp; Services is the largest category at 37%, an even heavier share than among unicorns (19%). The negative class is concentrated in software companies, which is useful context when comparing the two groups by sector.</w:t>
      </w:r>
    </w:p>
    <w:p w14:paraId="69B57BB4" w14:textId="77777777" w:rsidR="00971755" w:rsidRDefault="00000000">
      <w:pPr>
        <w:pStyle w:val="Heading2"/>
      </w:pPr>
      <w:r>
        <w:t>2.3 Funding Distribution</w:t>
      </w:r>
    </w:p>
    <w:p w14:paraId="725792A3" w14:textId="77777777" w:rsidR="00971755" w:rsidRDefault="00000000">
      <w:r>
        <w:t>Median funding among non-unicorns is $0.75M, compared with $370M for unicorns.</w:t>
      </w:r>
    </w:p>
    <w:tbl>
      <w:tblPr>
        <w:tblStyle w:val="LightGrid-Accent1"/>
        <w:tblW w:w="0" w:type="auto"/>
        <w:jc w:val="center"/>
        <w:tblLook w:val="04A0" w:firstRow="1" w:lastRow="0" w:firstColumn="1" w:lastColumn="0" w:noHBand="0" w:noVBand="1"/>
      </w:tblPr>
      <w:tblGrid>
        <w:gridCol w:w="2880"/>
        <w:gridCol w:w="2880"/>
        <w:gridCol w:w="2880"/>
      </w:tblGrid>
      <w:tr w:rsidR="00971755" w14:paraId="35EA0591" w14:textId="77777777" w:rsidTr="009717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A166C9" w14:textId="77777777" w:rsidR="00971755" w:rsidRDefault="00000000">
            <w:r>
              <w:t>Funding Band</w:t>
            </w:r>
          </w:p>
        </w:tc>
        <w:tc>
          <w:tcPr>
            <w:tcW w:w="2880" w:type="dxa"/>
          </w:tcPr>
          <w:p w14:paraId="5EF0F254" w14:textId="77777777" w:rsidR="00971755" w:rsidRDefault="00000000">
            <w:pPr>
              <w:cnfStyle w:val="100000000000" w:firstRow="1" w:lastRow="0" w:firstColumn="0" w:lastColumn="0" w:oddVBand="0" w:evenVBand="0" w:oddHBand="0" w:evenHBand="0" w:firstRowFirstColumn="0" w:firstRowLastColumn="0" w:lastRowFirstColumn="0" w:lastRowLastColumn="0"/>
            </w:pPr>
            <w:r>
              <w:t>Companies</w:t>
            </w:r>
          </w:p>
        </w:tc>
        <w:tc>
          <w:tcPr>
            <w:tcW w:w="2880" w:type="dxa"/>
          </w:tcPr>
          <w:p w14:paraId="5C8D5B07" w14:textId="77777777" w:rsidR="00971755" w:rsidRDefault="00000000">
            <w:pPr>
              <w:cnfStyle w:val="100000000000" w:firstRow="1" w:lastRow="0" w:firstColumn="0" w:lastColumn="0" w:oddVBand="0" w:evenVBand="0" w:oddHBand="0" w:evenHBand="0" w:firstRowFirstColumn="0" w:firstRowLastColumn="0" w:lastRowFirstColumn="0" w:lastRowLastColumn="0"/>
            </w:pPr>
            <w:r>
              <w:t>Share</w:t>
            </w:r>
          </w:p>
        </w:tc>
      </w:tr>
      <w:tr w:rsidR="00971755" w14:paraId="6B08A95A"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E46656" w14:textId="77777777" w:rsidR="00971755" w:rsidRDefault="00000000">
            <w:r>
              <w:t>&lt; $1M</w:t>
            </w:r>
          </w:p>
        </w:tc>
        <w:tc>
          <w:tcPr>
            <w:tcW w:w="2880" w:type="dxa"/>
          </w:tcPr>
          <w:p w14:paraId="6E36E933" w14:textId="77777777" w:rsidR="00971755" w:rsidRDefault="00000000">
            <w:pPr>
              <w:cnfStyle w:val="000000100000" w:firstRow="0" w:lastRow="0" w:firstColumn="0" w:lastColumn="0" w:oddVBand="0" w:evenVBand="0" w:oddHBand="1" w:evenHBand="0" w:firstRowFirstColumn="0" w:firstRowLastColumn="0" w:lastRowFirstColumn="0" w:lastRowLastColumn="0"/>
            </w:pPr>
            <w:r>
              <w:t>565</w:t>
            </w:r>
          </w:p>
        </w:tc>
        <w:tc>
          <w:tcPr>
            <w:tcW w:w="2880" w:type="dxa"/>
          </w:tcPr>
          <w:p w14:paraId="4B9D4263" w14:textId="77777777" w:rsidR="00971755" w:rsidRDefault="00000000">
            <w:pPr>
              <w:cnfStyle w:val="000000100000" w:firstRow="0" w:lastRow="0" w:firstColumn="0" w:lastColumn="0" w:oddVBand="0" w:evenVBand="0" w:oddHBand="1" w:evenHBand="0" w:firstRowFirstColumn="0" w:firstRowLastColumn="0" w:lastRowFirstColumn="0" w:lastRowLastColumn="0"/>
            </w:pPr>
            <w:r>
              <w:t>57.5%</w:t>
            </w:r>
          </w:p>
        </w:tc>
      </w:tr>
      <w:tr w:rsidR="00971755" w14:paraId="47B3C5AA"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55D649" w14:textId="77777777" w:rsidR="00971755" w:rsidRDefault="00000000">
            <w:r>
              <w:t>$1-10M</w:t>
            </w:r>
          </w:p>
        </w:tc>
        <w:tc>
          <w:tcPr>
            <w:tcW w:w="2880" w:type="dxa"/>
          </w:tcPr>
          <w:p w14:paraId="660A7A45" w14:textId="77777777" w:rsidR="00971755" w:rsidRDefault="00000000">
            <w:pPr>
              <w:cnfStyle w:val="000000010000" w:firstRow="0" w:lastRow="0" w:firstColumn="0" w:lastColumn="0" w:oddVBand="0" w:evenVBand="0" w:oddHBand="0" w:evenHBand="1" w:firstRowFirstColumn="0" w:firstRowLastColumn="0" w:lastRowFirstColumn="0" w:lastRowLastColumn="0"/>
            </w:pPr>
            <w:r>
              <w:t>300</w:t>
            </w:r>
          </w:p>
        </w:tc>
        <w:tc>
          <w:tcPr>
            <w:tcW w:w="2880" w:type="dxa"/>
          </w:tcPr>
          <w:p w14:paraId="3B019B68" w14:textId="77777777" w:rsidR="00971755" w:rsidRDefault="00000000">
            <w:pPr>
              <w:cnfStyle w:val="000000010000" w:firstRow="0" w:lastRow="0" w:firstColumn="0" w:lastColumn="0" w:oddVBand="0" w:evenVBand="0" w:oddHBand="0" w:evenHBand="1" w:firstRowFirstColumn="0" w:firstRowLastColumn="0" w:lastRowFirstColumn="0" w:lastRowLastColumn="0"/>
            </w:pPr>
            <w:r>
              <w:t>30.5%</w:t>
            </w:r>
          </w:p>
        </w:tc>
      </w:tr>
      <w:tr w:rsidR="00971755" w14:paraId="7633FC30"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B2DF47" w14:textId="77777777" w:rsidR="00971755" w:rsidRDefault="00000000">
            <w:r>
              <w:t>$10-50M</w:t>
            </w:r>
          </w:p>
        </w:tc>
        <w:tc>
          <w:tcPr>
            <w:tcW w:w="2880" w:type="dxa"/>
          </w:tcPr>
          <w:p w14:paraId="272C7C70" w14:textId="77777777" w:rsidR="00971755" w:rsidRDefault="00000000">
            <w:pPr>
              <w:cnfStyle w:val="000000100000" w:firstRow="0" w:lastRow="0" w:firstColumn="0" w:lastColumn="0" w:oddVBand="0" w:evenVBand="0" w:oddHBand="1" w:evenHBand="0" w:firstRowFirstColumn="0" w:firstRowLastColumn="0" w:lastRowFirstColumn="0" w:lastRowLastColumn="0"/>
            </w:pPr>
            <w:r>
              <w:t>103</w:t>
            </w:r>
          </w:p>
        </w:tc>
        <w:tc>
          <w:tcPr>
            <w:tcW w:w="2880" w:type="dxa"/>
          </w:tcPr>
          <w:p w14:paraId="70AE9FC3" w14:textId="77777777" w:rsidR="00971755" w:rsidRDefault="00000000">
            <w:pPr>
              <w:cnfStyle w:val="000000100000" w:firstRow="0" w:lastRow="0" w:firstColumn="0" w:lastColumn="0" w:oddVBand="0" w:evenVBand="0" w:oddHBand="1" w:evenHBand="0" w:firstRowFirstColumn="0" w:firstRowLastColumn="0" w:lastRowFirstColumn="0" w:lastRowLastColumn="0"/>
            </w:pPr>
            <w:r>
              <w:t>10.5%</w:t>
            </w:r>
          </w:p>
        </w:tc>
      </w:tr>
      <w:tr w:rsidR="00971755" w14:paraId="18E1E983" w14:textId="77777777" w:rsidTr="009717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5EC37C" w14:textId="77777777" w:rsidR="00971755" w:rsidRDefault="00000000">
            <w:r>
              <w:t>$50-100M</w:t>
            </w:r>
          </w:p>
        </w:tc>
        <w:tc>
          <w:tcPr>
            <w:tcW w:w="2880" w:type="dxa"/>
          </w:tcPr>
          <w:p w14:paraId="257E443D" w14:textId="77777777" w:rsidR="0097175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780CA9FB" w14:textId="77777777" w:rsidR="00971755" w:rsidRDefault="00000000">
            <w:pPr>
              <w:cnfStyle w:val="000000010000" w:firstRow="0" w:lastRow="0" w:firstColumn="0" w:lastColumn="0" w:oddVBand="0" w:evenVBand="0" w:oddHBand="0" w:evenHBand="1" w:firstRowFirstColumn="0" w:firstRowLastColumn="0" w:lastRowFirstColumn="0" w:lastRowLastColumn="0"/>
            </w:pPr>
            <w:r>
              <w:t>0.8%</w:t>
            </w:r>
          </w:p>
        </w:tc>
      </w:tr>
      <w:tr w:rsidR="00971755" w14:paraId="1063184C" w14:textId="77777777" w:rsidTr="009717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C80CA6" w14:textId="77777777" w:rsidR="00971755" w:rsidRDefault="00000000">
            <w:r>
              <w:t>$100M+</w:t>
            </w:r>
          </w:p>
        </w:tc>
        <w:tc>
          <w:tcPr>
            <w:tcW w:w="2880" w:type="dxa"/>
          </w:tcPr>
          <w:p w14:paraId="6E9A0FC6" w14:textId="77777777" w:rsidR="00971755" w:rsidRDefault="00000000">
            <w:pPr>
              <w:cnfStyle w:val="000000100000" w:firstRow="0" w:lastRow="0" w:firstColumn="0" w:lastColumn="0" w:oddVBand="0" w:evenVBand="0" w:oddHBand="1" w:evenHBand="0" w:firstRowFirstColumn="0" w:firstRowLastColumn="0" w:lastRowFirstColumn="0" w:lastRowLastColumn="0"/>
            </w:pPr>
            <w:r>
              <w:t>7</w:t>
            </w:r>
          </w:p>
        </w:tc>
        <w:tc>
          <w:tcPr>
            <w:tcW w:w="2880" w:type="dxa"/>
          </w:tcPr>
          <w:p w14:paraId="275C061C" w14:textId="77777777" w:rsidR="00971755" w:rsidRDefault="00000000">
            <w:pPr>
              <w:cnfStyle w:val="000000100000" w:firstRow="0" w:lastRow="0" w:firstColumn="0" w:lastColumn="0" w:oddVBand="0" w:evenVBand="0" w:oddHBand="1" w:evenHBand="0" w:firstRowFirstColumn="0" w:firstRowLastColumn="0" w:lastRowFirstColumn="0" w:lastRowLastColumn="0"/>
            </w:pPr>
            <w:r>
              <w:t>0.7%</w:t>
            </w:r>
          </w:p>
        </w:tc>
      </w:tr>
    </w:tbl>
    <w:p w14:paraId="44A7D0F5" w14:textId="77777777" w:rsidR="00971755" w:rsidRDefault="00000000">
      <w:pPr>
        <w:jc w:val="center"/>
      </w:pPr>
      <w:r>
        <w:rPr>
          <w:noProof/>
        </w:rPr>
        <w:lastRenderedPageBreak/>
        <w:drawing>
          <wp:inline distT="0" distB="0" distL="0" distR="0" wp14:anchorId="33DB7159" wp14:editId="04983B74">
            <wp:extent cx="5120640" cy="3103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_03_funding.png"/>
                    <pic:cNvPicPr/>
                  </pic:nvPicPr>
                  <pic:blipFill>
                    <a:blip r:embed="rId8"/>
                    <a:stretch>
                      <a:fillRect/>
                    </a:stretch>
                  </pic:blipFill>
                  <pic:spPr>
                    <a:xfrm>
                      <a:off x="0" y="0"/>
                      <a:ext cx="5120640" cy="3103069"/>
                    </a:xfrm>
                    <a:prstGeom prst="rect">
                      <a:avLst/>
                    </a:prstGeom>
                  </pic:spPr>
                </pic:pic>
              </a:graphicData>
            </a:graphic>
          </wp:inline>
        </w:drawing>
      </w:r>
    </w:p>
    <w:p w14:paraId="75082D6E" w14:textId="77777777" w:rsidR="00971755" w:rsidRDefault="00000000">
      <w:r>
        <w:rPr>
          <w:b/>
          <w:color w:val="1D4ED8"/>
        </w:rPr>
        <w:t xml:space="preserve">What this means — </w:t>
      </w:r>
      <w:r>
        <w:t>The non-unicorns are mostly earlier-stage or smaller companies — 88% raised under $10M. This is the clearest structural difference between the two groups: unicorns cluster at much larger funding levels.</w:t>
      </w:r>
    </w:p>
    <w:p w14:paraId="55C3BA6A" w14:textId="77777777" w:rsidR="00971755" w:rsidRDefault="00000000">
      <w:pPr>
        <w:pStyle w:val="Heading2"/>
      </w:pPr>
      <w:r>
        <w:t>2.4 Funding by Class</w:t>
      </w:r>
    </w:p>
    <w:p w14:paraId="50D34C19" w14:textId="77777777" w:rsidR="00971755" w:rsidRDefault="00000000">
      <w:pPr>
        <w:jc w:val="center"/>
      </w:pPr>
      <w:r>
        <w:rPr>
          <w:noProof/>
        </w:rPr>
        <w:drawing>
          <wp:inline distT="0" distB="0" distL="0" distR="0" wp14:anchorId="5F2D75A1" wp14:editId="6E068CEF">
            <wp:extent cx="5486400" cy="27146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_05_funding_by_class.png"/>
                    <pic:cNvPicPr/>
                  </pic:nvPicPr>
                  <pic:blipFill>
                    <a:blip r:embed="rId9"/>
                    <a:stretch>
                      <a:fillRect/>
                    </a:stretch>
                  </pic:blipFill>
                  <pic:spPr>
                    <a:xfrm>
                      <a:off x="0" y="0"/>
                      <a:ext cx="5486400" cy="2714677"/>
                    </a:xfrm>
                    <a:prstGeom prst="rect">
                      <a:avLst/>
                    </a:prstGeom>
                  </pic:spPr>
                </pic:pic>
              </a:graphicData>
            </a:graphic>
          </wp:inline>
        </w:drawing>
      </w:r>
    </w:p>
    <w:p w14:paraId="551B41E2" w14:textId="77777777" w:rsidR="00971755" w:rsidRDefault="00000000">
      <w:r>
        <w:rPr>
          <w:b/>
          <w:color w:val="1D4ED8"/>
        </w:rPr>
        <w:t xml:space="preserve">What this means — </w:t>
      </w:r>
      <w:r>
        <w:t>Placed side by side, the two groups occupy largely different funding ranges, with limited overlap in the middle. Funding is therefore the dimension that most clearly distinguishes the classes in this dataset.</w:t>
      </w:r>
    </w:p>
    <w:p w14:paraId="11BB5D09" w14:textId="77777777" w:rsidR="00971755" w:rsidRDefault="00000000">
      <w:pPr>
        <w:pStyle w:val="Heading2"/>
      </w:pPr>
      <w:r>
        <w:lastRenderedPageBreak/>
        <w:t>2.5 Founding Year</w:t>
      </w:r>
    </w:p>
    <w:p w14:paraId="5BECE541" w14:textId="77777777" w:rsidR="00971755" w:rsidRDefault="00000000">
      <w:r>
        <w:t>Non-unicorn founding years range 1995–2014 (median 2012); the count peaks around 2013. The unicorn group extends further, through 2021.</w:t>
      </w:r>
    </w:p>
    <w:p w14:paraId="2A23D74A" w14:textId="77777777" w:rsidR="00971755" w:rsidRDefault="00000000">
      <w:pPr>
        <w:jc w:val="center"/>
      </w:pPr>
      <w:r>
        <w:rPr>
          <w:noProof/>
        </w:rPr>
        <w:drawing>
          <wp:inline distT="0" distB="0" distL="0" distR="0" wp14:anchorId="0C5998CD" wp14:editId="64479A35">
            <wp:extent cx="5669280" cy="28051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_04_year_founded.png"/>
                    <pic:cNvPicPr/>
                  </pic:nvPicPr>
                  <pic:blipFill>
                    <a:blip r:embed="rId10"/>
                    <a:stretch>
                      <a:fillRect/>
                    </a:stretch>
                  </pic:blipFill>
                  <pic:spPr>
                    <a:xfrm>
                      <a:off x="0" y="0"/>
                      <a:ext cx="5669280" cy="2805167"/>
                    </a:xfrm>
                    <a:prstGeom prst="rect">
                      <a:avLst/>
                    </a:prstGeom>
                  </pic:spPr>
                </pic:pic>
              </a:graphicData>
            </a:graphic>
          </wp:inline>
        </w:drawing>
      </w:r>
    </w:p>
    <w:p w14:paraId="3C070235" w14:textId="77777777" w:rsidR="00971755" w:rsidRDefault="00000000">
      <w:r>
        <w:rPr>
          <w:b/>
          <w:color w:val="1D4ED8"/>
        </w:rPr>
        <w:t xml:space="preserve">What this means — </w:t>
      </w:r>
      <w:r>
        <w:t>The two groups cover somewhat different time windows — the non-unicorns were collected mostly up to the early 2010s, while unicorns continue to 2021. Worth keeping in mind when comparing the groups, so that founding year is not mistaken for a difference in company quality.</w:t>
      </w:r>
    </w:p>
    <w:p w14:paraId="73EC7A4D" w14:textId="77777777" w:rsidR="00971755" w:rsidRDefault="00000000">
      <w:pPr>
        <w:pStyle w:val="Heading1"/>
      </w:pPr>
      <w:r>
        <w:rPr>
          <w:color w:val="1D4ED8"/>
        </w:rPr>
        <w:t>Closing Note</w:t>
      </w:r>
    </w:p>
    <w:p w14:paraId="521CCE03" w14:textId="77777777" w:rsidR="00971755" w:rsidRDefault="00000000">
      <w:r>
        <w:t>dataset_clean.csv is a sensible, prediction-oriented reshaping of the original data: unicorn facts are preserved, leakage-prone columns were removed on purpose, funding was made numeric, and a non-unicorn class was added. The main practical differences between the two groups — funding scale and time window — are natural consequences of how each set was assembled, and are simply useful to keep in mind for any later modeling.</w:t>
      </w:r>
    </w:p>
    <w:sectPr w:rsidR="009717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019727">
    <w:abstractNumId w:val="8"/>
  </w:num>
  <w:num w:numId="2" w16cid:durableId="344483879">
    <w:abstractNumId w:val="6"/>
  </w:num>
  <w:num w:numId="3" w16cid:durableId="264725890">
    <w:abstractNumId w:val="5"/>
  </w:num>
  <w:num w:numId="4" w16cid:durableId="353583307">
    <w:abstractNumId w:val="4"/>
  </w:num>
  <w:num w:numId="5" w16cid:durableId="447816199">
    <w:abstractNumId w:val="7"/>
  </w:num>
  <w:num w:numId="6" w16cid:durableId="410808538">
    <w:abstractNumId w:val="3"/>
  </w:num>
  <w:num w:numId="7" w16cid:durableId="1409426959">
    <w:abstractNumId w:val="2"/>
  </w:num>
  <w:num w:numId="8" w16cid:durableId="2038920643">
    <w:abstractNumId w:val="1"/>
  </w:num>
  <w:num w:numId="9" w16cid:durableId="9788059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2F"/>
    <w:rsid w:val="0006063C"/>
    <w:rsid w:val="0015074B"/>
    <w:rsid w:val="0029639D"/>
    <w:rsid w:val="00326F90"/>
    <w:rsid w:val="007C7D6C"/>
    <w:rsid w:val="009717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A8F1E"/>
  <w14:defaultImageDpi w14:val="300"/>
  <w15:docId w15:val="{1C9E0F39-9016-5C46-BC20-12907F473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Ziyao Xiao</cp:lastModifiedBy>
  <cp:revision>2</cp:revision>
  <dcterms:created xsi:type="dcterms:W3CDTF">2013-12-23T23:15:00Z</dcterms:created>
  <dcterms:modified xsi:type="dcterms:W3CDTF">2026-06-25T02:43:00Z</dcterms:modified>
  <cp:category/>
</cp:coreProperties>
</file>