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B2545"/>
          <w:sz w:val="40"/>
        </w:rPr>
        <w:t>数据质检模块内容重设计</w:t>
      </w:r>
    </w:p>
    <w:p>
      <w:pPr>
        <w:pStyle w:val="Subtitle"/>
      </w:pPr>
      <w:r>
        <w:rPr>
          <w:rFonts w:ascii="Microsoft YaHei" w:hAnsi="Microsoft YaHei" w:eastAsia="Microsoft YaHei"/>
          <w:b w:val="0"/>
          <w:color w:val="5B677A"/>
          <w:sz w:val="22"/>
        </w:rPr>
        <w:t>适用于具身智能数据平台原型的页面说明、字段口径与操作流程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设计定位</w:t>
            </w:r>
          </w:p>
          <w:p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数据质检不只是“查看表格并点通过”，而是从任务分配、序列包解析、视频帧级复核到结果沉淀的闭环工作台。页面应帮助质检主管看清进度与风险，帮助质检员快速定位问题并形成可追溯结论。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模块目标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让待质检任务、已分配任务、异常任务和完成任务在同一入口中可筛选、可统计、可追踪。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将序列包的机器解析结果与人工审核动作放在同一条链路中，减少质检员反复切换页面。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支持四路视频同步播放、动作步骤对照、帧范围标记、问题原因选择和备注留痕。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质检完成后页面进入只读状态，保留结果、帧段、原因、操作人和时间，用于复核与报表导出。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页面结构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80"/>
        <w:gridCol w:w="318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页面</w:t>
            </w:r>
          </w:p>
        </w:tc>
        <w:tc>
          <w:tcPr>
            <w:tcW w:type="dxa" w:w="43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核心内容</w:t>
            </w:r>
          </w:p>
        </w:tc>
        <w:tc>
          <w:tcPr>
            <w:tcW w:type="dxa" w:w="31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用户动作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数据质检列表</w:t>
            </w:r>
          </w:p>
        </w:tc>
        <w:tc>
          <w:tcPr>
            <w:tcW w:type="dxa" w:w="43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项目、任务、实例、采集进度、解析进度、质检进度、合格率、负责人等汇总信息。</w:t>
            </w:r>
          </w:p>
        </w:tc>
        <w:tc>
          <w:tcPr>
            <w:tcW w:type="dxa" w:w="31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筛选任务、批量分配质检员、导出报表、进入序列包详情。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序列包详情</w:t>
            </w:r>
          </w:p>
        </w:tc>
        <w:tc>
          <w:tcPr>
            <w:tcW w:type="dxa" w:w="43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序列包ID、文件路径、文件大小、内容帧数、是否接管、解析状态、上传时间、覆检状态。</w:t>
            </w:r>
          </w:p>
        </w:tc>
        <w:tc>
          <w:tcPr>
            <w:tcW w:type="dxa" w:w="31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查看机检结果、重新解析异常包、进入人工质检、删除无效包。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视频质检工作台</w:t>
            </w:r>
          </w:p>
        </w:tc>
        <w:tc>
          <w:tcPr>
            <w:tcW w:type="dxa" w:w="43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四路视频、播放控制、时间轴、动作步骤清单、帧段标记、质检结论区。</w:t>
            </w:r>
          </w:p>
        </w:tc>
        <w:tc>
          <w:tcPr>
            <w:tcW w:type="dxa" w:w="31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同步播放、多视角核对、标记起止帧、选择合格/待定/不合格并提交。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只读复核页</w:t>
            </w:r>
          </w:p>
        </w:tc>
        <w:tc>
          <w:tcPr>
            <w:tcW w:type="dxa" w:w="43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展示最终质检结果、问题原因、帧段、备注、操作记录和导出入口。</w:t>
            </w:r>
          </w:p>
        </w:tc>
        <w:tc>
          <w:tcPr>
            <w:tcW w:type="dxa" w:w="31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查看历史结论、下载证据、必要时由主管发起复核。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数据质检列表设计</w:t>
      </w:r>
    </w:p>
    <w:p>
      <w:r>
        <w:rPr>
          <w:rFonts w:ascii="Microsoft YaHei" w:hAnsi="Microsoft YaHei" w:eastAsia="Microsoft YaHei"/>
          <w:b w:val="0"/>
          <w:color w:val="0B2545"/>
        </w:rPr>
        <w:t>列表页承担“派单、跟进、定位异常”的职责，建议从原来的长字段表格重组为筛选区、指标区、任务表和批量操作四个层级。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3.1 顶部筛选与指标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筛选项：项目、任务书、任务ID、实例ID、任务状态、解析状态、质检员、设备SN、上传时间、质检结果。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指标卡：待分配数量、质检中数量、待复核数量、已完成数量、当前合格率、异常包数量。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默认视图：优先展示“待分配 + 解析完成 + 未质检”的任务，避免质检员先看到大量不可处理数据。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3.2 列表字段口径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80"/>
        <w:gridCol w:w="4880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字段组</w:t>
            </w:r>
          </w:p>
        </w:tc>
        <w:tc>
          <w:tcPr>
            <w:tcW w:type="dxa" w:w="28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48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展示口径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任务信息</w:t>
            </w:r>
          </w:p>
        </w:tc>
        <w:tc>
          <w:tcPr>
            <w:tcW w:type="dxa" w:w="2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项目、任务书、任务ID、实例ID、任务名称</w:t>
            </w:r>
          </w:p>
        </w:tc>
        <w:tc>
          <w:tcPr>
            <w:tcW w:type="dxa" w:w="4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用于定位数据归属；任务名称保留可读的采集场景描述。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采集信息</w:t>
            </w:r>
          </w:p>
        </w:tc>
        <w:tc>
          <w:tcPr>
            <w:tcW w:type="dxa" w:w="2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采集进度、采集员、设备SN、开始上传时间</w:t>
            </w:r>
          </w:p>
        </w:tc>
        <w:tc>
          <w:tcPr>
            <w:tcW w:type="dxa" w:w="4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采集进度显示“已采集/目标配额”；设备SN用于追踪机器人硬件来源。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解析信息</w:t>
            </w:r>
          </w:p>
        </w:tc>
        <w:tc>
          <w:tcPr>
            <w:tcW w:type="dxa" w:w="2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解析进度、解析状态、异常包数量</w:t>
            </w:r>
          </w:p>
        </w:tc>
        <w:tc>
          <w:tcPr>
            <w:tcW w:type="dxa" w:w="4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解析完成才允许进入人工质检；解析失败提供重新解析入口。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质检信息</w:t>
            </w:r>
          </w:p>
        </w:tc>
        <w:tc>
          <w:tcPr>
            <w:tcW w:type="dxa" w:w="2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质检员、已质检、通过数、质检进度、质检合格率</w:t>
            </w:r>
          </w:p>
        </w:tc>
        <w:tc>
          <w:tcPr>
            <w:tcW w:type="dxa" w:w="4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已质检与通过数分开展示，不合格数由差值得出；合格率按通过数/已质检计算。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批量分配、下载、查看</w:t>
            </w:r>
          </w:p>
        </w:tc>
        <w:tc>
          <w:tcPr>
            <w:tcW w:type="dxa" w:w="48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批量分配用于派单；下载导出当前筛选结果；查看进入序列包详情。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序列包详情设计</w:t>
      </w:r>
    </w:p>
    <w:p>
      <w:r>
        <w:rPr>
          <w:rFonts w:ascii="Microsoft YaHei" w:hAnsi="Microsoft YaHei" w:eastAsia="Microsoft YaHei"/>
          <w:b w:val="0"/>
          <w:color w:val="0B2545"/>
        </w:rPr>
        <w:t>序列包详情页应从“字段解释页”升级为“质检前检查页”。质检员进入人工审核前，先确认包是否完整、解析是否完成、是否存在接管片段或基础指标异常。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信息块</w:t>
            </w:r>
          </w:p>
        </w:tc>
        <w:tc>
          <w:tcPr>
            <w:tcW w:type="dxa" w:w="30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关键字段</w:t>
            </w:r>
          </w:p>
        </w:tc>
        <w:tc>
          <w:tcPr>
            <w:tcW w:type="dxa" w:w="476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质检含义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基础信息</w:t>
            </w:r>
          </w:p>
        </w:tc>
        <w:tc>
          <w:tcPr>
            <w:tcW w:type="dxa" w:w="30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ID、文件路径、上传时间</w:t>
            </w:r>
          </w:p>
        </w:tc>
        <w:tc>
          <w:tcPr>
            <w:tcW w:type="dxa" w:w="47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确认序列包唯一身份和存储来源。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内容指标</w:t>
            </w:r>
          </w:p>
        </w:tc>
        <w:tc>
          <w:tcPr>
            <w:tcW w:type="dxa" w:w="30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文件大小、内容帧数、四路视频状态</w:t>
            </w:r>
          </w:p>
        </w:tc>
        <w:tc>
          <w:tcPr>
            <w:tcW w:type="dxa" w:w="47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用于判断数据是否缺失、损坏或帧数异常。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采集属性</w:t>
            </w:r>
          </w:p>
        </w:tc>
        <w:tc>
          <w:tcPr>
            <w:tcW w:type="dxa" w:w="30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是否接管、设备SN、采集员</w:t>
            </w:r>
          </w:p>
        </w:tc>
        <w:tc>
          <w:tcPr>
            <w:tcW w:type="dxa" w:w="47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用于区分正常采集、遥操接管和可能需要复核的特殊片段。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解析结果</w:t>
            </w:r>
          </w:p>
        </w:tc>
        <w:tc>
          <w:tcPr>
            <w:tcW w:type="dxa" w:w="30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解析状态、解析时间、重新解析</w:t>
            </w:r>
          </w:p>
        </w:tc>
        <w:tc>
          <w:tcPr>
            <w:tcW w:type="dxa" w:w="47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解析完成可进入质检；解析失败或缺失时先重新解析。</w:t>
            </w:r>
          </w:p>
        </w:tc>
      </w:tr>
      <w:tr>
        <w:tc>
          <w:tcPr>
            <w:tcW w:type="dxa" w:w="16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覆检结果</w:t>
            </w:r>
          </w:p>
        </w:tc>
        <w:tc>
          <w:tcPr>
            <w:tcW w:type="dxa" w:w="30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覆检状态、质检结论、操作记录</w:t>
            </w:r>
          </w:p>
        </w:tc>
        <w:tc>
          <w:tcPr>
            <w:tcW w:type="dxa" w:w="47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完成后只读展示，支持追溯而不允许普通质检员二次修改。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视频质检工作台</w:t>
      </w:r>
    </w:p>
    <w:p>
      <w:r>
        <w:rPr>
          <w:rFonts w:ascii="Microsoft YaHei" w:hAnsi="Microsoft YaHei" w:eastAsia="Microsoft YaHei"/>
          <w:b w:val="0"/>
          <w:color w:val="0B2545"/>
        </w:rPr>
        <w:t>工作台围绕“看视频、对步骤、标帧段、下结论”组织。四路视频应同步加载，同一播放头驱动所有视角，右侧固定展示任务步骤与质检清单。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打开序列包后，系统同步加载四路视频、元数据和任务步骤清单。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质检员播放视频，对照右侧步骤，确认动作是否按任务描述完成。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拖动播放头定位到具体帧，点击“起始帧”和“结束帧”记录动作片段，系统自动计算持续帧数与时间。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时间轴以不同颜色显示已标注片段，不同动作步骤对应不同色段，便于检查漏标、重叠和异常时长。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质检员选择合格、待定或不合格；若为待定/不合格，必须选择问题原因并填写必要备注。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B2545"/>
        </w:rPr>
        <w:t>提交后生成质检记录；完成状态下页面仅可查看，需主管权限才能发起复核或退回重检。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质检标准与问题分类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80"/>
        <w:gridCol w:w="3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质检维度</w:t>
            </w:r>
          </w:p>
        </w:tc>
        <w:tc>
          <w:tcPr>
            <w:tcW w:type="dxa" w:w="39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通过标准</w:t>
            </w:r>
          </w:p>
        </w:tc>
        <w:tc>
          <w:tcPr>
            <w:tcW w:type="dxa" w:w="36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常见问题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视频完整性</w:t>
            </w:r>
          </w:p>
        </w:tc>
        <w:tc>
          <w:tcPr>
            <w:tcW w:type="dxa" w:w="39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四路视频均可播放，帧数与元数据一致，无明显缺帧或损坏。</w:t>
            </w:r>
          </w:p>
        </w:tc>
        <w:tc>
          <w:tcPr>
            <w:tcW w:type="dxa" w:w="36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视频缺失、无法播放、帧数异常、画面冻结。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动作一致性</w:t>
            </w:r>
          </w:p>
        </w:tc>
        <w:tc>
          <w:tcPr>
            <w:tcW w:type="dxa" w:w="39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采集动作与任务描述、步骤顺序和目标对象一致。</w:t>
            </w:r>
          </w:p>
        </w:tc>
        <w:tc>
          <w:tcPr>
            <w:tcW w:type="dxa" w:w="36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动作遗漏、顺序错误、目标物体不匹配、提前结束。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视角可用性</w:t>
            </w:r>
          </w:p>
        </w:tc>
        <w:tc>
          <w:tcPr>
            <w:tcW w:type="dxa" w:w="39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关键动作在至少一个主视角中清晰可见，多视角能互相补充。</w:t>
            </w:r>
          </w:p>
        </w:tc>
        <w:tc>
          <w:tcPr>
            <w:tcW w:type="dxa" w:w="36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遮挡严重、镜头偏移、关键帧不可见、光照过暗。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接管合规性</w:t>
            </w:r>
          </w:p>
        </w:tc>
        <w:tc>
          <w:tcPr>
            <w:tcW w:type="dxa" w:w="39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接管片段被准确标记，且不影响任务数据用途或已按规则剔除。</w:t>
            </w:r>
          </w:p>
        </w:tc>
        <w:tc>
          <w:tcPr>
            <w:tcW w:type="dxa" w:w="36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接管未标识、接管时长异常、接管后动作不可复现。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标帧准确性</w:t>
            </w:r>
          </w:p>
        </w:tc>
        <w:tc>
          <w:tcPr>
            <w:tcW w:type="dxa" w:w="39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起止帧覆盖完整动作片段，持续帧数合理，时间轴无明显漏标和错标。</w:t>
            </w:r>
          </w:p>
        </w:tc>
        <w:tc>
          <w:tcPr>
            <w:tcW w:type="dxa" w:w="36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起点过早/过晚、终点缺失、片段重叠、步骤与色段不一致。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状态流转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20"/>
        <w:gridCol w:w="344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442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触发条件</w:t>
            </w:r>
          </w:p>
        </w:tc>
        <w:tc>
          <w:tcPr>
            <w:tcW w:type="dxa" w:w="344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允许操作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待分配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解析完成但尚未分配质检员。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批量分配、查看详情、下载。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待质检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已分配质检员，尚未开始人工审核。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进入质检、转派、查看详情。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质检中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质检员已打开并保存过帧段或结论草稿。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继续质检、保存草稿、提交结论。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待复核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质检结论为待定，或命中高风险问题规则。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主管复核、退回重检、标记完成。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已完成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结论为合格或不合格，且记录已提交。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只读查看、下载记录、主管发起复核。</w:t>
            </w:r>
          </w:p>
        </w:tc>
      </w:tr>
      <w:tr>
        <w:tc>
          <w:tcPr>
            <w:tcW w:type="dxa" w:w="15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已驳回</w:t>
            </w:r>
          </w:p>
        </w:tc>
        <w:tc>
          <w:tcPr>
            <w:tcW w:type="dxa" w:w="44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主管判定需重新采集或重新标注。</w:t>
            </w:r>
          </w:p>
        </w:tc>
        <w:tc>
          <w:tcPr>
            <w:tcW w:type="dxa" w:w="34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查看原因、关联重采任务、导出问题清单。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操作与权限规则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批量分配只对质检主管开放；普通质检员只看到分配给自己的任务。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解析未完成或解析失败的序列包不可进入人工质检，只能查看详情或触发重新解析。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待定和不合格必须填写问题原因；不合格建议支持多选原因，便于后续统计。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已完成页面默认只读，保留视频、时间轴、帧段、结论、备注、操作人和提交时间。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B2545"/>
        </w:rPr>
        <w:t>下载报表应跟随当前筛选条件，包含任务维度、序列包维度、质检结果和问题分类统计。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报表输出建议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报表字段</w:t>
            </w:r>
          </w:p>
        </w:tc>
        <w:tc>
          <w:tcPr>
            <w:tcW w:type="dxa" w:w="716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2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任务标识</w:t>
            </w:r>
          </w:p>
        </w:tc>
        <w:tc>
          <w:tcPr>
            <w:tcW w:type="dxa" w:w="7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项目、任务书、任务ID、实例ID、任务名称。</w:t>
            </w:r>
          </w:p>
        </w:tc>
      </w:tr>
      <w:tr>
        <w:tc>
          <w:tcPr>
            <w:tcW w:type="dxa" w:w="22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采集与设备</w:t>
            </w:r>
          </w:p>
        </w:tc>
        <w:tc>
          <w:tcPr>
            <w:tcW w:type="dxa" w:w="7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采集员、设备SN、上传时间、采集进度。</w:t>
            </w:r>
          </w:p>
        </w:tc>
      </w:tr>
      <w:tr>
        <w:tc>
          <w:tcPr>
            <w:tcW w:type="dxa" w:w="22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质检结果</w:t>
            </w:r>
          </w:p>
        </w:tc>
        <w:tc>
          <w:tcPr>
            <w:tcW w:type="dxa" w:w="7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质检员、质检状态、结论、问题原因、备注、提交时间。</w:t>
            </w:r>
          </w:p>
        </w:tc>
      </w:tr>
      <w:tr>
        <w:tc>
          <w:tcPr>
            <w:tcW w:type="dxa" w:w="22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帧段证据</w:t>
            </w:r>
          </w:p>
        </w:tc>
        <w:tc>
          <w:tcPr>
            <w:tcW w:type="dxa" w:w="7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动作步骤、起始帧、结束帧、持续帧数、对应时间。</w:t>
            </w:r>
          </w:p>
        </w:tc>
      </w:tr>
      <w:tr>
        <w:tc>
          <w:tcPr>
            <w:tcW w:type="dxa" w:w="22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统计指标</w:t>
            </w:r>
          </w:p>
        </w:tc>
        <w:tc>
          <w:tcPr>
            <w:tcW w:type="dxa" w:w="7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已质检数、通过数、不合格数、待定数、合格率、异常包数量。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附录：原字段合并建议</w:t>
      </w:r>
    </w:p>
    <w:p>
      <w:r>
        <w:rPr>
          <w:rFonts w:ascii="Microsoft YaHei" w:hAnsi="Microsoft YaHei" w:eastAsia="Microsoft YaHei"/>
          <w:b w:val="0"/>
          <w:color w:val="0B2545"/>
        </w:rPr>
        <w:t>原文档中的 24 个列表字段不建议在页面中等宽平铺。以下为建议的前台展示方式，既保留业务口径，也减少表格横向滚动。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展示区域</w:t>
            </w:r>
          </w:p>
        </w:tc>
        <w:tc>
          <w:tcPr>
            <w:tcW w:type="dxa" w:w="37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保留字段</w:t>
            </w:r>
          </w:p>
        </w:tc>
        <w:tc>
          <w:tcPr>
            <w:tcW w:type="dxa" w:w="378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处理建议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主表固定列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项目、任务名称、任务状态、质检进度、质检合格率、质检员、操作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作为列表默认可见列，保证管理者能快速判断任务是否需要处理。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悬浮/展开详情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任务书、任务ID、实例ID、行列号、是否货架任务、任务描述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放入展开面板，避免主表过宽。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进度字段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采集进度、解析进度、通过质检(分钟)、质检进度(数量/分钟)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合并为“采集/解析/质检”三段进度，并在详情中展示数量和分钟。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人员字段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采集员、质检员、创建人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在列表中显示质检员，其他人员放入详情或筛选条件。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结果字段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已质检、通过质检(数量)、质检合格率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主表显示合格率和质检进度；已质检/通过数在悬浮说明中展示。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系统字段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开始上传时间、设备SN、标注类型</w:t>
            </w:r>
          </w:p>
        </w:tc>
        <w:tc>
          <w:tcPr>
            <w:tcW w:type="dxa" w:w="37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B2545"/>
                <w:sz w:val="19"/>
              </w:rPr>
              <w:t>保留筛选能力，列表中按场景选择展示。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77A"/>
        <w:sz w:val="18"/>
      </w:rPr>
      <w:t>重新设计稿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77A"/>
        <w:sz w:val="18"/>
      </w:rPr>
      <w:t>具身智能数据平台 | 数据质检模块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7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