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icrosoft YaHei" w:hAnsi="Microsoft YaHei"/>
          <w:b/>
          <w:color w:val="0F172A"/>
          <w:sz w:val="34"/>
        </w:rPr>
        <w:t>具身智能数据平台：AI 视频标注方案一（修订整合版）</w:t>
      </w:r>
    </w:p>
    <w:p>
      <w:pPr>
        <w:spacing w:before="0" w:after="240"/>
      </w:pPr>
      <w:r>
        <w:rPr>
          <w:rFonts w:ascii="Microsoft YaHei" w:hAnsi="Microsoft YaHei"/>
          <w:b/>
          <w:color w:val="2563EB"/>
          <w:sz w:val="20"/>
        </w:rPr>
        <w:t>递进式三层能力架构 · 基础标注层 ➔ 多证据融合层 ➔ 专用时序模型层</w:t>
      </w:r>
    </w:p>
    <w:p>
      <w:pPr>
        <w:spacing w:after="200"/>
        <w:pBdr>
          <w:bottom w:val="single" w:sz="12" w:space="1" w:color="2563EB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EFF6FF"/>
            <w:tcBorders>
              <w:left w:val="single" w:sz="24" w:space="0" w:color="3B82F6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/>
            </w:pPr>
            <w:r>
              <w:rPr>
                <w:rFonts w:ascii="Microsoft YaHei" w:hAnsi="Microsoft YaHei"/>
                <w:b/>
                <w:color w:val="1E3A8A"/>
                <w:sz w:val="18"/>
              </w:rPr>
              <w:t xml:space="preserve">【前置说明与正交维度定位】 </w:t>
            </w:r>
            <w:r>
              <w:rPr>
                <w:rFonts w:ascii="Microsoft YaHei" w:hAnsi="Microsoft YaHei"/>
                <w:color w:val="1E293B"/>
                <w:sz w:val="18"/>
              </w:rPr>
              <w:t>【三份方案定位】本方案（方案一）围绕“技术能力的纵向成熟度演进”组织；方案二围绕“数据来源横向分流”组织；方案三围绕“质量与风险动态路由”组织。三者是正交协同关系，而非非此即彼的互斥方案。</w:t>
              <w:br/>
              <w:t>【100+TB 硬件约束】在 100+TB 数据规模与单卡 4090/3090 (24GB 显存) 条件下，严禁对全量数据无差别运行完整融合大模型链路。本方案多证据融合层调用量直接受《方案三》风险评分动态控制，并优先通过《方案二》日志通道分流减轻 GPU 负载。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1、调研哪些模型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本方案将具身智能视频 AI 标注中台的能力拆解为三个递进层次，调研选型如下：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1.1 基础标注层（Video VLM 视觉语言模型）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• Qwen2.5-VL-7B-Instruct（主选基线）：阿里开源最新多模态大模型，原生支持动态分辨率与视频时序抽帧理解，对中文工业操作语义与机械臂/双臂协同动作识别精准。</w:t>
        <w:br/>
        <w:t>• Qwen3-VL-8B-Instruct（评估对照）：作为单一变量对照模型，在基线固定后横向对比动作召回率与时序断点表现。</w:t>
        <w:br/>
        <w:t>• MLX-VLM：面向 Apple Silicon Metal GPU 边缘推理，用于本地化低功耗快速原型验证。</w:t>
        <w:br/>
        <w:t>• vLLM Serving：工业级高性能模型推理服务底座，提供标准兼容 OpenAI 的 API 接口，内置 PagedAttention 支持高并发视频帧序列处理。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1.2 多证据融合层（目标检测、时序跟踪与传感器信号）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• GroundingDINO（开放词表目标检测）：基于文本 Prompt（如 'robot gripper . electric screwdriver . cardboard box'）定位具体装配工件与末端执行器。</w:t>
        <w:br/>
        <w:t>• SAM2（Segment Anything Model 2 时序跟踪）：对检测出的工件进行跨帧掩码（Mask）跟踪，维持同一个工件的唯一 Track ID，提取时空运动轨迹与速度曲线。</w:t>
        <w:br/>
        <w:t>• 机器人状态信号解析程序（非大模型）：解析 Gripper 开闭脉冲、关节角速度突变、6维力矩传感器读数，输出毫秒级物理事件。</w:t>
        <w:br/>
        <w:t>• 任务执行日志解析引擎（非大模型）：解析控制系统下发的 Task Planner / Skill 阶段意图。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1.3 专用时序模型层（TAS 时序动作分割 vs TAL 时序动作定位）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• TAS（Temporal Action Segmentation）：代表模型 ASFormer、MS-TCN。目标是对长视频时间轴进行密集逐帧分类（Frame-level Dense Labeling），适用于动作无缝衔接的高密度装配流水线。</w:t>
        <w:br/>
        <w:t>• TAL（Temporal Action Localization）：代表模型 ActionFormer、OpenTAD。目标是在长视频中定位离散动作实例的起止点 [Start, End]，适用于包含大量等待或无关空闲的稀疏动作长视频。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2、每个模型的安装步骤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2.1 基础标注层：vLLM + Qwen2.5-VL 部署</w:t>
      </w:r>
    </w:p>
    <w:p>
      <w:pPr>
        <w:spacing w:before="40" w:after="60"/>
        <w:ind w:left="173"/>
        <w:shd w:fill="F8FAFC"/>
        <w:pBdr>
          <w:left w:val="single" w:sz="16" w:space="6" w:color="94A3B8"/>
          <w:top w:val="single" w:sz="4" w:space="4" w:color="E2E8F0"/>
          <w:bottom w:val="single" w:sz="4" w:space="4" w:color="E2E8F0"/>
          <w:right w:val="single" w:sz="4" w:space="4" w:color="E2E8F0"/>
        </w:pBdr>
      </w:pPr>
      <w:r>
        <w:rPr>
          <w:rFonts w:ascii="Courier New" w:hAnsi="Courier New"/>
          <w:color w:val="0F172A"/>
          <w:sz w:val="16"/>
        </w:rPr>
        <w:t>conda create -n vlm_serving python=3.10 -y &amp;&amp; conda activate vlm_serving</w:t>
        <w:br/>
        <w:t>pip install torch torchvision --index-url https://download.pytorch.org/whl/cu121</w:t>
        <w:br/>
        <w:t>pip install "vllm&gt;=0.6.3" transformers accelerate pyav ffmpeg-python</w:t>
        <w:br/>
        <w:br/>
        <w:t># 启动单卡 4090 推理服务 (显存占用 90%，留出上下文缓存)</w:t>
        <w:br/>
        <w:t>python -m vllm.entrypoints.openai.api_server   --model Qwen/Qwen2.5-VL-7B-Instruct   --tensor-parallel-size 1   --gpu-memory-utilization 0.90   --max-model-len 8192   --port 8000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2.2 多证据融合层：GroundingDINO + SAM2 部署</w:t>
      </w:r>
    </w:p>
    <w:p>
      <w:pPr>
        <w:spacing w:before="40" w:after="60"/>
        <w:ind w:left="173"/>
        <w:shd w:fill="F8FAFC"/>
        <w:pBdr>
          <w:left w:val="single" w:sz="16" w:space="6" w:color="94A3B8"/>
          <w:top w:val="single" w:sz="4" w:space="4" w:color="E2E8F0"/>
          <w:bottom w:val="single" w:sz="4" w:space="4" w:color="E2E8F0"/>
          <w:right w:val="single" w:sz="4" w:space="4" w:color="E2E8F0"/>
        </w:pBdr>
      </w:pPr>
      <w:r>
        <w:rPr>
          <w:rFonts w:ascii="Courier New" w:hAnsi="Courier New"/>
          <w:color w:val="0F172A"/>
          <w:sz w:val="16"/>
        </w:rPr>
        <w:t>conda create -n vision_fusion python=3.10 -y &amp;&amp; conda activate vision_fusion</w:t>
        <w:br/>
        <w:t>pip install torch torchvision --index-url https://download.pytorch.org/whl/cu121</w:t>
        <w:br/>
        <w:br/>
        <w:t># 安装 GroundingDINO</w:t>
        <w:br/>
        <w:t>git clone https://github.com/IDEA-Research/GroundingDINO.git</w:t>
        <w:br/>
        <w:t>cd GroundingDINO &amp;&amp; pip install -e .</w:t>
        <w:br/>
        <w:br/>
        <w:t># 安装 SAM2</w:t>
        <w:br/>
        <w:t>git clone https://github.com/facebookresearch/segment-anything-2.git</w:t>
        <w:br/>
        <w:t>cd segment-anything-2 &amp;&amp; pip install -e .</w:t>
        <w:br/>
        <w:t># 下载官方预训练检查点</w:t>
        <w:br/>
        <w:t>mkdir -p checkpoints &amp;&amp; cd checkpoints</w:t>
        <w:br/>
        <w:t>wget -q https://dl.fbaipublicfiles.com/segment_anything_2/072824/sam2_hiera_large.pt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2.3 专用时序模型层：ActionFormer / ASFormer 部署</w:t>
      </w:r>
    </w:p>
    <w:p>
      <w:pPr>
        <w:spacing w:before="40" w:after="60"/>
        <w:ind w:left="173"/>
        <w:shd w:fill="F8FAFC"/>
        <w:pBdr>
          <w:left w:val="single" w:sz="16" w:space="6" w:color="94A3B8"/>
          <w:top w:val="single" w:sz="4" w:space="4" w:color="E2E8F0"/>
          <w:bottom w:val="single" w:sz="4" w:space="4" w:color="E2E8F0"/>
          <w:right w:val="single" w:sz="4" w:space="4" w:color="E2E8F0"/>
        </w:pBdr>
      </w:pPr>
      <w:r>
        <w:rPr>
          <w:rFonts w:ascii="Courier New" w:hAnsi="Courier New"/>
          <w:color w:val="0F172A"/>
          <w:sz w:val="16"/>
        </w:rPr>
        <w:t>conda create -n action_former python=3.9 -y &amp;&amp; conda activate action_former</w:t>
        <w:br/>
        <w:t>pip install torch==2.1.0 torchvision==0.16.0 --index-url https://download.pytorch.org/whl/cu121</w:t>
        <w:br/>
        <w:t>git clone https://github.com/happyharrycn/actionformer_release.git</w:t>
        <w:br/>
        <w:t>cd actionformer_release &amp;&amp; pip install -r requirements.txt</w:t>
        <w:br/>
        <w:t># 编译核心 CUDA 扩展算子</w:t>
        <w:br/>
        <w:t>cd ./libs/utils &amp;&amp; python setup.py install --user &amp;&amp; cd ../..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3、模型应用效果对比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评估指标</w:t>
            </w:r>
          </w:p>
        </w:tc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基础标注层 (Video VLM)</w:t>
            </w:r>
          </w:p>
        </w:tc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多证据融合层 (VLM+DINO+SAM2+状态)</w:t>
            </w:r>
          </w:p>
        </w:tc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专用时序模型层 (TAS/TAL)</w:t>
            </w:r>
          </w:p>
        </w:tc>
      </w:tr>
      <w:tr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动作语义识别率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88% ~ 92% (理解复杂泛化意图)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94% ~ 96% (多源证据校验去噪)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85% ~ 90% (受限于固定标签集)</w:t>
            </w:r>
          </w:p>
        </w:tc>
      </w:tr>
      <w:tr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边界误差 (Boundary Error)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±0.5s ~ 1.5s (起止帧易漂移)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±0.1s ~ 0.3s (力矩与位移精准锚定)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±0.03s ~ 0.1s (微秒级密集回归)</w:t>
            </w:r>
          </w:p>
        </w:tc>
      </w:tr>
      <w:tr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同类对象消歧能力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较弱 (容易混淆 box_01 与 02)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极高 (SAM2 维持全局唯一 Track ID)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不直接输出对象 Mask</w:t>
            </w:r>
          </w:p>
        </w:tc>
      </w:tr>
      <w:tr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单视频 GPU 处理耗时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约 20s ~ 45s (8s 分窗粗抽)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约 60s ~ 120s (级联排队)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约 0.2s ~ 1.5s (毫秒级推理)</w:t>
            </w:r>
          </w:p>
        </w:tc>
      </w:tr>
      <w:tr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单卡 4090 显存适配性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极佳 (单模型独占 ~18GB)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紧张 (单卡必须时分复用串行挂载)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极佳 (轻量化模型仅占 ~2GB)</w:t>
            </w:r>
          </w:p>
        </w:tc>
      </w:tr>
      <w:tr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冷启动真值数据依赖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0 依赖 (Prompt 零样本即可启动)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低至中 (仅需配置状态机规则)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强依赖 (需 100+ 确认 Episode)</w:t>
            </w:r>
          </w:p>
        </w:tc>
      </w:tr>
    </w:tbl>
    <w:p>
      <w:pPr>
        <w:spacing w:after="60"/>
      </w:pP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4、模型的训练过程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4.1 基础标注层（Video VLM 分窗推理机制）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长视频不直接全文送入，采用重叠时间窗口（Window Overlap）流水线：</w:t>
        <w:br/>
        <w:t>1. 粗采样阶段：以 1~2 FPS 抽帧送入 Video VLM，输出动作四元组（Arm, Skill, Object, Goal）及粗时间区间 [start_sec, end_sec]。</w:t>
        <w:br/>
        <w:t>2. 细采样阶段：在粗区间起始与结束附近 ±1.0s 内，自适应提升至 4~8 FPS 进行局部边界复核。</w:t>
        <w:br/>
        <w:t>3. 跨窗融合：对相邻窗口内重叠率（tIoU）&gt; 0.6 且动词相同的候选片段执行时间并集融合，杜绝动作碎片化。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4.2 多证据融合机制（多源时序交叉验证）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多证据融合层不依赖黑盒神经网络端到端训练，而是基于物理规律建立因果对齐链：</w:t>
        <w:br/>
        <w:t>• 案例示范：VLM 给出粗区间 [18s, 26s] 为 place；Execution Log 记录 17.5s 下发 place_object；SAM2 跟踪到工件在 24.3s 停止位移；Robot State 检测到夹爪在 24.6s 释放电压。</w:t>
        <w:br/>
        <w:t>• 融合判决：采纳动作语义为 place，起始时间取工件减速进入目标区时间，结束时间取 24.3s~24.6s 接触释放瞬间，置信度评级提升为 High。多源冲突时标记 needs_review=true。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4.3 专用时序模型（TAS / TAL）训练流程与防泄漏准则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1. 特征预提取：使用冻结的 Video Backbone（如 VideoMAE-v2 或 I3D）对全视频进行逐帧特征抽取，保存为离线嵌入向量。</w:t>
        <w:br/>
        <w:t>2. 模型微调训练：</w:t>
        <w:br/>
        <w:t xml:space="preserve">   - TAS 训练：输入时序特征矩阵，计算逐帧 Cross-Entropy 损失与截断平滑损失 L_smooth，压制帧间预测抖动。</w:t>
        <w:br/>
        <w:t xml:space="preserve">   - TAL 训练：采用金字塔特征网络（FPN），同时计算动作类别 Classification Loss 与边界边界回归 DIoU Loss。</w:t>
        <w:br/>
        <w:t>3. 数据集硬隔离规范：必须按整个 Episode 或采集批次进行 Train / Val / Test 隔离，严禁将同一视频的前半段与后半段分别放入训练集和测试集，防止视觉背景泄漏。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5、如果调优怎么调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5.1 基础层调优：单一变量法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严禁同时更改“模型架构 + Prompt + 抽帧率 + 量化位宽”。优化必须遵循对照试验：</w:t>
        <w:br/>
        <w:t>• 实验 A：保持 Qwen2.5-VL 不变，测试 6s / 8s / 12s 窗口长度对动作漏标率的影响。</w:t>
        <w:br/>
        <w:t>• 实验 B：保持最佳窗口配置不变，测试纯秒级提示词与帧编号提示词的解析失败率。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5.2 融合层调优：防范“Mask 重叠不等于真实抓取”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严禁将摄像头视角下夹爪与工件的 Bounding Box / Mask 重叠直接判定为 grasp 动作（可能由视差、遮挡、手部从前方晃过引起）。调优后的抓取判定规则必须同时满足：</w:t>
        <w:br/>
        <w:t>1. 几何接近：Gripper 与 Object 欧氏距离单调递减；</w:t>
        <w:br/>
        <w:t>2. 状态突变：Gripper 闭合电信号产生且电机电流达到阈值；</w:t>
        <w:br/>
        <w:t>3. 动力学伴随：Object 随 Gripper 保持同向等速位移超过 15 帧。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5.3 专用模型调优：基于量化指标的科学选型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专用时序模型的选型不可凭主观经验，必须对业务数据集提取以下统计量：</w:t>
        <w:br/>
        <w:t>• 动作密度（单位时间动作数）与覆盖率：若有效动作时长占比 &gt; 75% 且工序高度连续，选择 TAS（ASFormer）；</w:t>
        <w:br/>
        <w:t>• 背景占比与动作离散度：若空白等待时间占比 &gt; 40% 且动作离散发生，选择 TAL（ActionFormer）。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6、问题点有哪些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1. 单卡 4090/3090 显存瓶颈：VLM（~18GB）、GroundingDINO（~4GB）、SAM2（~6GB）无法同时塞入 24GB 显存，多模型强行并发必然引发 OOM。必须在工程上执行“状态解析 ➔ 释放/切换 ➔ 视觉跟踪 ➔ 释放 ➔ VLM 语义”的时分复用调度。</w:t>
        <w:br/>
        <w:t>2. 视觉遮挡引发伪冲突：双臂协同装配时，操作手自身常完全遮挡工装孔位，导致视觉跟踪中断，容易与持续输出的控制日志产生假冲突。</w:t>
        <w:br/>
        <w:t>3. 标注真值累积周期长：专用时序模型对噪声标签极度敏感，早期若使用未经验收的伪标签训练，将导致动作边界严重崩塌。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7、或者其他的补充事项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7.1 统一输出契约（JSON Schema 标准规范）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所有能力层输出严格对齐以下规范，时间区间采用半开区间 [start_frame, end_frame)，置信度三维拆解，并为风险路由留出系统字段：</w:t>
      </w:r>
    </w:p>
    <w:p>
      <w:pPr>
        <w:spacing w:before="40" w:after="60"/>
        <w:ind w:left="173"/>
        <w:shd w:fill="F8FAFC"/>
        <w:pBdr>
          <w:left w:val="single" w:sz="16" w:space="6" w:color="94A3B8"/>
          <w:top w:val="single" w:sz="4" w:space="4" w:color="E2E8F0"/>
          <w:bottom w:val="single" w:sz="4" w:space="4" w:color="E2E8F0"/>
          <w:right w:val="single" w:sz="4" w:space="4" w:color="E2E8F0"/>
        </w:pBdr>
      </w:pPr>
      <w:r>
        <w:rPr>
          <w:rFonts w:ascii="Courier New" w:hAnsi="Courier New"/>
          <w:color w:val="0F172A"/>
          <w:sz w:val="16"/>
        </w:rPr>
        <w:t>{</w:t>
        <w:br/>
        <w:t xml:space="preserve">  "episode_id": "ep_20260917_001",</w:t>
        <w:br/>
        <w:t xml:space="preserve">  "total_frames": 4150,</w:t>
        <w:br/>
        <w:t xml:space="preserve">  "fps": 30.0,</w:t>
        <w:br/>
        <w:t xml:space="preserve">  "service_level": "L2",             // 对应方案三质量等级</w:t>
        <w:br/>
        <w:t xml:space="preserve">  "risk_score": 0.42,                // 综合风险评分</w:t>
        <w:br/>
        <w:t xml:space="preserve">  "events": [</w:t>
        <w:br/>
        <w:t xml:space="preserve">    {</w:t>
        <w:br/>
        <w:t xml:space="preserve">      "event_id": "evt_001",</w:t>
        <w:br/>
        <w:t xml:space="preserve">      "skill": "螺栓紧固",</w:t>
        <w:br/>
        <w:t xml:space="preserve">      "action": "screw_tighten",</w:t>
        <w:br/>
        <w:t xml:space="preserve">      "arm": "right",</w:t>
        <w:br/>
        <w:t xml:space="preserve">      "start_frame": 658,</w:t>
        <w:br/>
        <w:t xml:space="preserve">      "end_frame": 992,</w:t>
        <w:br/>
        <w:t xml:space="preserve">      "start_sec": 21.93,</w:t>
        <w:br/>
        <w:t xml:space="preserve">      "end_sec": 33.07,</w:t>
        <w:br/>
        <w:t xml:space="preserve">      "command_start_sec": 21.50,     // 控制层下发意图时标</w:t>
        <w:br/>
        <w:t xml:space="preserve">      "command_end_sec": 33.20,</w:t>
        <w:br/>
        <w:t xml:space="preserve">      "confidence": {</w:t>
        <w:br/>
        <w:t xml:space="preserve">        "semantic": 0.96,</w:t>
        <w:br/>
        <w:t xml:space="preserve">        "boundary": 0.88,</w:t>
        <w:br/>
        <w:t xml:space="preserve">        "object": 0.94</w:t>
        <w:br/>
        <w:t xml:space="preserve">      },</w:t>
        <w:br/>
        <w:t xml:space="preserve">      "evidence": [</w:t>
        <w:br/>
        <w:t xml:space="preserve">        { "source": "vlm", "type": "semantic", "desc": "批头咬合螺槽垂直下压" },</w:t>
        <w:br/>
        <w:t xml:space="preserve">        { "source": "robot_state", "type": "torque", "desc": "定扭传感器触发峰值 4.2N*m" },</w:t>
        <w:br/>
        <w:t xml:space="preserve">        { "source": "sam2", "type": "motion", "track_id": "tool_01" }</w:t>
        <w:br/>
        <w:t xml:space="preserve">      ],</w:t>
        <w:br/>
        <w:t xml:space="preserve">      "needs_review": false</w:t>
        <w:br/>
        <w:t xml:space="preserve">    }</w:t>
        <w:br/>
        <w:t xml:space="preserve">  ]</w:t>
        <w:br/>
        <w:t>}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7.2 与方案二、方案三的协同落地路线（100+TB 规模排期）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• 前置摸底（第 0 周）：统计 100+TB 历史库存中技能驱动与纯遥操作比例，测算日志可用度。</w:t>
        <w:br/>
        <w:t>• 能力上线阶段：第一阶段打通基础 VLM 分窗标注；第二阶段挂载多证据融合；第三阶段当特定工序真值积累 &gt; 100 Episode 时，启动专用模型训练。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