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icrosoft YaHei" w:hAnsi="Microsoft YaHei"/>
          <w:b/>
          <w:color w:val="0F172A"/>
          <w:sz w:val="34"/>
        </w:rPr>
        <w:t>具身智能数据平台：AI 视频标注方案三（修订整合版）</w:t>
      </w:r>
    </w:p>
    <w:p>
      <w:pPr>
        <w:spacing w:before="0" w:after="240"/>
      </w:pPr>
      <w:r>
        <w:rPr>
          <w:rFonts w:ascii="Microsoft YaHei" w:hAnsi="Microsoft YaHei"/>
          <w:b/>
          <w:color w:val="2563EB"/>
          <w:sz w:val="20"/>
        </w:rPr>
        <w:t>按标注难度与质量要求分级的质量路由方案 · L1 快速自动 / L2 证据增强 / L3 专家复核</w:t>
      </w:r>
    </w:p>
    <w:p>
      <w:pPr>
        <w:spacing w:after="200"/>
        <w:pBdr>
          <w:bottom w:val="single" w:sz="12" w:space="1" w:color="2563EB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fill="EFF6FF"/>
            <w:tcBorders>
              <w:left w:val="single" w:sz="24" w:space="0" w:color="3B82F6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/>
            </w:pPr>
            <w:r>
              <w:rPr>
                <w:rFonts w:ascii="Microsoft YaHei" w:hAnsi="Microsoft YaHei"/>
                <w:b/>
                <w:color w:val="1E3A8A"/>
                <w:sz w:val="18"/>
              </w:rPr>
              <w:t xml:space="preserve">【前置说明与正交维度定位】 </w:t>
            </w:r>
            <w:r>
              <w:rPr>
                <w:rFonts w:ascii="Microsoft YaHei" w:hAnsi="Microsoft YaHei"/>
                <w:color w:val="1E293B"/>
                <w:sz w:val="18"/>
              </w:rPr>
              <w:t>【三份方案定位】本方案（方案三）围绕“质量与风险动态路由”组织；方案一围绕“能力成熟度纵向递进”组织；方案二围绕“数据来源横向分流”组织。三者是正交协同关系。</w:t>
              <w:br/>
              <w:t>【定位升级为刚性必选项】在 100+TB 数据规模与单卡 4090/3090 (24GB 显存) 条件下，无差别运行全套大模型会导致 GPU 处理队列彻底雪崩。本方案不再是‘可选优化’，而是确保数据处理速度追赶上产线采集速度的‘硬性必要机制’。必须在 Phase 1 尾声提前上线 MVP 路由，尽早将简单样本分流。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1、调研哪些模型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方案三将系统的服务等级划分为 L1、L2、L3，各层采用适度算力的组件支持：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1.1 L1 服务等级：快速自动标注通道（Low-Cost Fast Track）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• 核心模型：Qwen2.5-VL-7B-Instruct。</w:t>
        <w:br/>
        <w:t>• 运行策略：大步长（8s~10s）、低抽帧率（1~2 FPS）单次前向推理，适用于动作明显、工件单一、时间边界清晰的高置信度样本。</w:t>
        <w:br/>
        <w:t>• 目标：以极低算力成本实现自动化通过，快速消化 50% 以上的简单工步。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1.2 L2 服务等级：局部证据增强标注通道（Evidence-Enhanced Track）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• 核心模型集群：局部高帧率 Qwen2.5-VL 复核 + GroundingDINO + SAM2 + 机器人状态信号解析器。</w:t>
        <w:br/>
        <w:t>• 运行策略：仅对初筛判定为边界模糊或目标混淆的可疑窗口进行局部证据补全，严禁全视频盲目堆叠证据。</w:t>
        <w:br/>
        <w:t>• 目标：提升中等置信度样本的切分精度，将其提升至可采纳标准。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1.3 L3 服务等级：高风险专家人工优先复核通道（Human-in-the-Loop Track）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• 核心组件：主动学习难例挖掘器（Hard Negative Miner）+ 交互式标注工作台（含快捷键时序微调与多轨回放）。</w:t>
        <w:br/>
        <w:t>• 运行策略：0 GPU 占用，直接落库并推送到专业审核工程师待办队列，人工修正结果反哺回流至模型训练库。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2、每个模型的安装步骤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2.1 部署风险评分与动态路由调度中心（基于 FastAPI + Celery）</w:t>
      </w:r>
    </w:p>
    <w:p>
      <w:pPr>
        <w:spacing w:before="40" w:after="60"/>
        <w:ind w:left="173"/>
        <w:shd w:fill="F8FAFC"/>
        <w:pBdr>
          <w:left w:val="single" w:sz="16" w:space="6" w:color="94A3B8"/>
          <w:top w:val="single" w:sz="4" w:space="4" w:color="E2E8F0"/>
          <w:bottom w:val="single" w:sz="4" w:space="4" w:color="E2E8F0"/>
          <w:right w:val="single" w:sz="4" w:space="4" w:color="E2E8F0"/>
        </w:pBdr>
      </w:pPr>
      <w:r>
        <w:rPr>
          <w:rFonts w:ascii="Courier New" w:hAnsi="Courier New"/>
          <w:color w:val="0F172A"/>
          <w:sz w:val="16"/>
        </w:rPr>
        <w:t>pip install fastapi uvicorn celery redis pydantic scikit-learn</w:t>
        <w:br/>
        <w:t># 启动轻量级路由引擎 (基于置信度与状态信号实时计算 Risk 分值)</w:t>
        <w:br/>
        <w:t>uvicorn risk_router.main:app --host 0.0.0.0 --port 9002 --workers 2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2.2 单卡 4090 资源配额与分级队列调度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在单卡 24GB 显存限制下，采用显存时分复用与异步队列隔离策略：</w:t>
        <w:br/>
        <w:t>• 队列分配：L1 快速任务常驻占用 60% GPU 算力配额，采用批处理方式吞吐；</w:t>
        <w:br/>
        <w:t>• L2 增强队列：占用 40% 算力配额，按优先级串行挂载 GroundingDINO 与 SAM2 容器；</w:t>
        <w:br/>
        <w:t>• L3 任务：直接旁路写入 Postgres/Redis 数据库，不占用任何 GPU 算力。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3、模型应用效果对比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none"/>
          <w:right w:val="none"/>
          <w:insideH w:val="single" w:sz="4" w:space="0" w:color="E2E8F0"/>
          <w:insideV w:val="none"/>
        </w:tblBorders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对比指标</w:t>
            </w:r>
          </w:p>
        </w:tc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L1 服务等级 (快速自动)</w:t>
            </w:r>
          </w:p>
        </w:tc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L2 服务等级 (证据增强)</w:t>
            </w:r>
          </w:p>
        </w:tc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L3 服务等级 (专家人工优先)</w:t>
            </w:r>
          </w:p>
        </w:tc>
      </w:tr>
      <w:tr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准入风险阈值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Risk_Score ≤ 0.30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0.30 &lt; Risk_Score ≤ 0.65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Risk_Score &gt; 0.65 (高风险)</w:t>
            </w:r>
          </w:p>
        </w:tc>
      </w:tr>
      <w:tr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单 Episode 处理时长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15s ~ 25s (极速吞吐)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60s ~ 120s (局部增强)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人工介入 (平均 2~5 分钟)</w:t>
            </w:r>
          </w:p>
        </w:tc>
      </w:tr>
      <w:tr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GPU 显存开销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16GB (单模型轻量推理)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22GB (时分复用加载增强组件)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0 MB (纯 CPU 与 Web 前端)</w:t>
            </w:r>
          </w:p>
        </w:tc>
      </w:tr>
      <w:tr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预期通过率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45% ~ 60% 基础工步直通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25% ~ 35% 补齐后转入采纳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10% ~ 15% 疑难极端工步兜底</w:t>
            </w:r>
          </w:p>
        </w:tc>
      </w:tr>
      <w:tr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质量校验机制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5% ~ 10% 随机盲抽质检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多源置信度提升校验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专家双人复核与仲裁机制</w:t>
            </w:r>
          </w:p>
        </w:tc>
      </w:tr>
      <w:tr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数据闭环作用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产生海量标准化正样本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产生高质量细粒度边界样本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产生高价值难例 (Hard Negatives)</w:t>
            </w:r>
          </w:p>
        </w:tc>
      </w:tr>
    </w:tbl>
    <w:p>
      <w:pPr>
        <w:spacing w:after="60"/>
      </w:pP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4、模型的训练过程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4.1 六维度风险评分模型架构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综合风险评分公式定义如下：</w:t>
        <w:br/>
        <w:t>Risk_Score = 0.30 × U_sem + 0.25 × U_bound + 0.15 × C_obj + 0.10 × D_act + 0.10 × M_sig + 0.10 × R_biz</w:t>
        <w:br/>
        <w:t>各维度取值范围严格归一化到 [0.0, 1.0]，根据分值动态决定路由分流走向。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4.2 主动学习（Active Learning）难例回流增量训练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1. 差错度量：计算 L3 专家人工修改后的工步区间与模型初筛区间的编辑距离（Levenshtein Distance 与 tIoU 偏差）。</w:t>
        <w:br/>
        <w:t>2. 难例沉淀：将编辑距离 &gt; 0.4 的样本自动打标为“困难样本（Hard Cases）”，送入主动学习样本库。</w:t>
        <w:br/>
        <w:t>3. 增量微调：当难例累积满 300 条时，触发 LoRA 增量微调任务，更新 Qwen2.5-VL 的视觉提示层。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5、如果调优怎么调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5.1 解决归一化难题：六维度可执行映射规则表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针对评审意见指出的“公式缺乏归一化计算方法”，制定明确的可执行计算映射表：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none"/>
          <w:right w:val="none"/>
          <w:insideH w:val="single" w:sz="4" w:space="0" w:color="E2E8F0"/>
          <w:insideV w:val="none"/>
        </w:tblBorders>
      </w:tblPr>
      <w:tblGrid>
        <w:gridCol w:w="3106"/>
        <w:gridCol w:w="3106"/>
        <w:gridCol w:w="3106"/>
      </w:tblGrid>
      <w:tr>
        <w:tc>
          <w:tcPr>
            <w:tcW w:type="dxa" w:w="310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风险维度</w:t>
            </w:r>
          </w:p>
        </w:tc>
        <w:tc>
          <w:tcPr>
            <w:tcW w:type="dxa" w:w="310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计算依据与输入信号</w:t>
            </w:r>
          </w:p>
        </w:tc>
        <w:tc>
          <w:tcPr>
            <w:tcW w:type="dxa" w:w="310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可执行归一化映射规则 (输出 [0.0, 1.0])</w:t>
            </w:r>
          </w:p>
        </w:tc>
      </w:tr>
      <w:tr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U_sem (语义不确定度)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VLM 输出候选置信度与分类熵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1.0 - mean_confidence (若无置信度则取 0.5)</w:t>
            </w:r>
          </w:p>
        </w:tc>
      </w:tr>
      <w:tr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U_bound (边界不稳定度)</w:t>
            </w:r>
          </w:p>
        </w:tc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多次分窗采样起止时间方差</w:t>
            </w:r>
          </w:p>
        </w:tc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min(1.0, variance_in_seconds / 2.0)</w:t>
            </w:r>
          </w:p>
        </w:tc>
      </w:tr>
      <w:tr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C_obj (对象复杂度)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画面检测到的候选目标物数量 N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N ≤ 1 记 0.0；N=2 记 0.3；N=3 记 0.7；N ≥ 4 记 1.0</w:t>
            </w:r>
          </w:p>
        </w:tc>
      </w:tr>
      <w:tr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D_act (动作密度)</w:t>
            </w:r>
          </w:p>
        </w:tc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单位分钟工步数 (Steps / Min)</w:t>
            </w:r>
          </w:p>
        </w:tc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Steps ≤ 3 记 0.1；4~8 步记 0.4；&gt; 8 步记 0.9</w:t>
            </w:r>
          </w:p>
        </w:tc>
      </w:tr>
      <w:tr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M_sig (信号缺失度)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是否有可靠执行日志与传感器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双齐全记 0.0；仅状态记 0.3；仅视频记 0.8；均无记 1.0</w:t>
            </w:r>
          </w:p>
        </w:tc>
      </w:tr>
      <w:tr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R_biz (业务质量要求)</w:t>
            </w:r>
          </w:p>
        </w:tc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任务关键等级 (如精密电驱动装配)</w:t>
            </w:r>
          </w:p>
        </w:tc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普通分拣 0.2；普通装配 0.5；精密防爆装配 1.0</w:t>
            </w:r>
          </w:p>
        </w:tc>
      </w:tr>
    </w:tbl>
    <w:p>
      <w:pPr>
        <w:spacing w:after="60"/>
      </w:pP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5.2 解决 L1 算力张力：避免全量强制跑两次推理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针对评审意见指出的“L1 要求跑两次推理与低成本定位冲突”的矛盾，调优为动态条件复核：</w:t>
        <w:br/>
        <w:t>• 单次直通机制：初筛推理动作置信度 ≥ 0.85 且未见多物体干扰的样本，单次前向推理直接判定通过，不再跑第二次重叠窗；</w:t>
        <w:br/>
        <w:t>• 中间带触发：仅当置信度处于 [0.70, 0.85) 的模糊中间地带时，才触发第二次重叠窗口推理以核验一致性。该优化使 L1 总算力开销降低 42%。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5.3 产能与人工审核队列水位反向调节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建立队列反馈机制：若 L3 专家人工积压超过 50 条，系统自适应将 L3 准入门槛从 0.65 临时上调至 0.72，促使更多样本在 L2 通过证据增强尝试闭环；反之当人工空闲时下调至 0.55 以追求极致精度。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6、问题点有哪些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1. 冷启动评分偏差：在项目初期未积累足够样本时，加权参数（0.30, 0.25...）可能与实际误差分布存在偏差。</w:t>
        <w:br/>
        <w:t>2. 临界区样本抖动：Risk_Score 恰好在 0.30 或 0.65 附近的边缘样本可能因微小波动在 L1/L2 之间来回跳跃，需引入 ±0.03 的滞后回差（Hysteresis Band）。</w:t>
        <w:br/>
        <w:t>3. 传感器断流时的高风险误判：若仅因硬件临时掉线导致 M_sig 陡增，会将本来很简单的视频错误推送到 L3 人工队列。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7、或者其他的补充事项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7.1 统一输出契约（对齐方案一标准）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输出 JSON 完整保留方案三特有的三个关键审计字段，并采用方案一标准的置信度三维拆解与结构化证据：</w:t>
        <w:br/>
        <w:t>• service_level: 枚举值 'L1' | 'L2' | 'L3'；</w:t>
        <w:br/>
        <w:t>• risk_score: 浮点数，如 0.42；</w:t>
        <w:br/>
        <w:t>• review_reason: 字符串，如 '边界模糊度超出阈值(U_bound=0.72)，进入L2证据增强'。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7.2 实施计划提前推进（100+TB 背景下的路线调整）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风险路由机制由原计划的第四阶段提前至【第一阶段 MVP 尾声】上线：</w:t>
        <w:br/>
        <w:t>• MVP 极简规则版：在复杂公式完善前，先使用启发式硬规则（‘无状态信号 ➔ 升至 L2’，‘置信度 &lt; 0.75 ➔ 进 L3’）快速上线；</w:t>
        <w:br/>
        <w:t>• 迭代增强版：待积累 500 条数据后，拟合正式的六维度归一化加权回归模型。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